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6BF4FF" w14:textId="77777777" w:rsidR="0084006F" w:rsidRDefault="0084006F" w:rsidP="0084006F">
      <w:pPr>
        <w:pStyle w:val="paragraph"/>
        <w:spacing w:before="0" w:beforeAutospacing="0" w:after="0" w:afterAutospacing="0"/>
        <w:jc w:val="center"/>
        <w:textAlignment w:val="baseline"/>
        <w:rPr>
          <w:rStyle w:val="normaltextrun"/>
          <w:rFonts w:ascii="Arial" w:hAnsi="Arial" w:cs="Arial"/>
          <w:b/>
          <w:bCs/>
          <w:sz w:val="28"/>
          <w:szCs w:val="28"/>
        </w:rPr>
      </w:pPr>
      <w:bookmarkStart w:id="0" w:name="_Toc230258197"/>
    </w:p>
    <w:p w14:paraId="1C1321A2" w14:textId="77777777" w:rsidR="0084006F" w:rsidRDefault="0084006F" w:rsidP="0084006F">
      <w:pPr>
        <w:pStyle w:val="paragraph"/>
        <w:spacing w:before="0" w:beforeAutospacing="0" w:after="0" w:afterAutospacing="0"/>
        <w:jc w:val="center"/>
        <w:textAlignment w:val="baseline"/>
        <w:rPr>
          <w:rStyle w:val="normaltextrun"/>
          <w:rFonts w:ascii="Arial" w:hAnsi="Arial" w:cs="Arial"/>
          <w:b/>
          <w:bCs/>
          <w:sz w:val="28"/>
          <w:szCs w:val="28"/>
        </w:rPr>
      </w:pPr>
    </w:p>
    <w:p w14:paraId="3F0037F0" w14:textId="77777777" w:rsidR="0084006F" w:rsidRDefault="0084006F" w:rsidP="0084006F">
      <w:pPr>
        <w:pStyle w:val="paragraph"/>
        <w:spacing w:before="0" w:beforeAutospacing="0" w:after="0" w:afterAutospacing="0"/>
        <w:jc w:val="center"/>
        <w:textAlignment w:val="baseline"/>
        <w:rPr>
          <w:rStyle w:val="normaltextrun"/>
          <w:rFonts w:ascii="Arial" w:hAnsi="Arial" w:cs="Arial"/>
          <w:b/>
          <w:bCs/>
          <w:sz w:val="28"/>
          <w:szCs w:val="28"/>
        </w:rPr>
      </w:pPr>
    </w:p>
    <w:p w14:paraId="6187F1E1" w14:textId="77777777" w:rsidR="0084006F" w:rsidRDefault="0084006F" w:rsidP="0084006F">
      <w:pPr>
        <w:pStyle w:val="paragraph"/>
        <w:spacing w:before="0" w:beforeAutospacing="0" w:after="0" w:afterAutospacing="0"/>
        <w:jc w:val="center"/>
        <w:textAlignment w:val="baseline"/>
        <w:rPr>
          <w:rStyle w:val="normaltextrun"/>
          <w:rFonts w:ascii="Arial" w:hAnsi="Arial" w:cs="Arial"/>
          <w:b/>
          <w:bCs/>
          <w:sz w:val="28"/>
          <w:szCs w:val="28"/>
        </w:rPr>
      </w:pPr>
    </w:p>
    <w:p w14:paraId="27F45AA2" w14:textId="77777777" w:rsidR="0084006F" w:rsidRDefault="0084006F" w:rsidP="0084006F">
      <w:pPr>
        <w:pStyle w:val="paragraph"/>
        <w:spacing w:before="0" w:beforeAutospacing="0" w:after="0" w:afterAutospacing="0"/>
        <w:jc w:val="center"/>
        <w:textAlignment w:val="baseline"/>
        <w:rPr>
          <w:rStyle w:val="normaltextrun"/>
          <w:rFonts w:ascii="Arial" w:hAnsi="Arial" w:cs="Arial"/>
          <w:b/>
          <w:bCs/>
          <w:sz w:val="28"/>
          <w:szCs w:val="28"/>
        </w:rPr>
      </w:pPr>
    </w:p>
    <w:p w14:paraId="626C279B" w14:textId="77777777" w:rsidR="0084006F" w:rsidRDefault="0084006F" w:rsidP="0084006F">
      <w:pPr>
        <w:pStyle w:val="paragraph"/>
        <w:spacing w:before="0" w:beforeAutospacing="0" w:after="0" w:afterAutospacing="0"/>
        <w:jc w:val="center"/>
        <w:textAlignment w:val="baseline"/>
        <w:rPr>
          <w:rStyle w:val="normaltextrun"/>
          <w:rFonts w:ascii="Arial" w:hAnsi="Arial" w:cs="Arial"/>
          <w:b/>
          <w:bCs/>
          <w:sz w:val="28"/>
          <w:szCs w:val="28"/>
        </w:rPr>
      </w:pPr>
    </w:p>
    <w:p w14:paraId="0C48760E" w14:textId="77777777" w:rsidR="0084006F" w:rsidRDefault="0084006F" w:rsidP="0084006F">
      <w:pPr>
        <w:pStyle w:val="paragraph"/>
        <w:spacing w:before="0" w:beforeAutospacing="0" w:after="0" w:afterAutospacing="0"/>
        <w:jc w:val="center"/>
        <w:textAlignment w:val="baseline"/>
        <w:rPr>
          <w:rStyle w:val="normaltextrun"/>
          <w:rFonts w:ascii="Arial" w:hAnsi="Arial" w:cs="Arial"/>
          <w:b/>
          <w:bCs/>
          <w:sz w:val="28"/>
          <w:szCs w:val="28"/>
        </w:rPr>
      </w:pPr>
    </w:p>
    <w:p w14:paraId="51C9F118" w14:textId="77777777" w:rsidR="0084006F" w:rsidRDefault="0084006F" w:rsidP="0084006F">
      <w:pPr>
        <w:pStyle w:val="paragraph"/>
        <w:spacing w:before="0" w:beforeAutospacing="0" w:after="0" w:afterAutospacing="0"/>
        <w:jc w:val="center"/>
        <w:textAlignment w:val="baseline"/>
        <w:rPr>
          <w:rStyle w:val="normaltextrun"/>
          <w:rFonts w:ascii="Arial" w:hAnsi="Arial" w:cs="Arial"/>
          <w:b/>
          <w:bCs/>
          <w:sz w:val="28"/>
          <w:szCs w:val="28"/>
        </w:rPr>
      </w:pPr>
    </w:p>
    <w:p w14:paraId="7E5D844C" w14:textId="77777777" w:rsidR="0084006F" w:rsidRDefault="0084006F" w:rsidP="0084006F">
      <w:pPr>
        <w:pStyle w:val="paragraph"/>
        <w:spacing w:before="0" w:beforeAutospacing="0" w:after="0" w:afterAutospacing="0"/>
        <w:jc w:val="center"/>
        <w:textAlignment w:val="baseline"/>
        <w:rPr>
          <w:rStyle w:val="normaltextrun"/>
          <w:rFonts w:ascii="Arial" w:hAnsi="Arial" w:cs="Arial"/>
          <w:b/>
          <w:bCs/>
          <w:sz w:val="28"/>
          <w:szCs w:val="28"/>
        </w:rPr>
      </w:pPr>
    </w:p>
    <w:p w14:paraId="0D182356" w14:textId="77777777" w:rsidR="0084006F" w:rsidRDefault="0084006F" w:rsidP="0084006F">
      <w:pPr>
        <w:pStyle w:val="paragraph"/>
        <w:spacing w:before="0" w:beforeAutospacing="0" w:after="0" w:afterAutospacing="0"/>
        <w:jc w:val="center"/>
        <w:textAlignment w:val="baseline"/>
        <w:rPr>
          <w:rStyle w:val="normaltextrun"/>
          <w:rFonts w:ascii="Arial" w:hAnsi="Arial" w:cs="Arial"/>
          <w:b/>
          <w:bCs/>
          <w:sz w:val="28"/>
          <w:szCs w:val="28"/>
        </w:rPr>
      </w:pPr>
    </w:p>
    <w:p w14:paraId="51D0DEC2" w14:textId="77777777" w:rsidR="0084006F" w:rsidRDefault="0084006F" w:rsidP="0084006F">
      <w:pPr>
        <w:pStyle w:val="paragraph"/>
        <w:spacing w:before="0" w:beforeAutospacing="0" w:after="0" w:afterAutospacing="0"/>
        <w:jc w:val="center"/>
        <w:textAlignment w:val="baseline"/>
        <w:rPr>
          <w:rStyle w:val="normaltextrun"/>
          <w:rFonts w:ascii="Arial" w:hAnsi="Arial" w:cs="Arial"/>
          <w:b/>
          <w:bCs/>
          <w:sz w:val="28"/>
          <w:szCs w:val="28"/>
        </w:rPr>
      </w:pPr>
    </w:p>
    <w:p w14:paraId="64D3E197" w14:textId="64A96692" w:rsidR="0084006F" w:rsidRDefault="0084006F" w:rsidP="0084006F">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Request for Proposals</w:t>
      </w:r>
      <w:r>
        <w:rPr>
          <w:rStyle w:val="eop"/>
          <w:rFonts w:ascii="Arial" w:hAnsi="Arial"/>
        </w:rPr>
        <w:t> </w:t>
      </w:r>
    </w:p>
    <w:p w14:paraId="2F82470E" w14:textId="77777777" w:rsidR="0084006F" w:rsidRDefault="0084006F" w:rsidP="0084006F">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rPr>
        <w:t> </w:t>
      </w:r>
    </w:p>
    <w:p w14:paraId="33ECBED3" w14:textId="7637F716" w:rsidR="0084006F" w:rsidRDefault="0084006F" w:rsidP="0084006F">
      <w:pPr>
        <w:pStyle w:val="paragraph"/>
        <w:spacing w:before="0" w:beforeAutospacing="0" w:after="0" w:afterAutospacing="0"/>
        <w:jc w:val="center"/>
        <w:textAlignment w:val="baseline"/>
        <w:rPr>
          <w:rFonts w:ascii="Segoe UI" w:hAnsi="Segoe UI" w:cs="Segoe UI"/>
          <w:sz w:val="18"/>
          <w:szCs w:val="18"/>
        </w:rPr>
      </w:pPr>
      <w:r>
        <w:rPr>
          <w:rStyle w:val="contentcontrolboundarysink"/>
          <w:rFonts w:ascii="Arial" w:hAnsi="Arial" w:cs="Arial"/>
          <w:b/>
          <w:bCs/>
          <w:sz w:val="28"/>
          <w:szCs w:val="28"/>
        </w:rPr>
        <w:t>​​</w:t>
      </w:r>
      <w:r>
        <w:rPr>
          <w:rStyle w:val="normaltextrun"/>
          <w:rFonts w:ascii="Arial" w:hAnsi="Arial" w:cs="Arial"/>
          <w:b/>
          <w:bCs/>
          <w:sz w:val="28"/>
          <w:szCs w:val="28"/>
        </w:rPr>
        <w:t>RFP #C043776</w:t>
      </w:r>
    </w:p>
    <w:p w14:paraId="1C617D38" w14:textId="77777777" w:rsidR="0084006F" w:rsidRDefault="0084006F" w:rsidP="0084006F">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rPr>
        <w:t> </w:t>
      </w:r>
    </w:p>
    <w:p w14:paraId="630D9BA4" w14:textId="77777777" w:rsidR="0084006F" w:rsidRDefault="0084006F" w:rsidP="0084006F">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32"/>
          <w:szCs w:val="32"/>
        </w:rPr>
        <w:t>Converged Eligibility and Enrollment System and Appeals Management System</w:t>
      </w:r>
      <w:r>
        <w:rPr>
          <w:rStyle w:val="eop"/>
          <w:rFonts w:ascii="Arial" w:hAnsi="Arial"/>
          <w:sz w:val="32"/>
          <w:szCs w:val="32"/>
        </w:rPr>
        <w:t> </w:t>
      </w:r>
    </w:p>
    <w:p w14:paraId="1C18DBAA" w14:textId="77777777" w:rsidR="0084006F" w:rsidRDefault="0084006F" w:rsidP="0084006F">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sz w:val="32"/>
          <w:szCs w:val="32"/>
        </w:rPr>
        <w:t> </w:t>
      </w:r>
    </w:p>
    <w:p w14:paraId="00AFD09E" w14:textId="77777777" w:rsidR="0084006F" w:rsidRDefault="0084006F" w:rsidP="0084006F">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rPr>
        <w:t> </w:t>
      </w:r>
    </w:p>
    <w:p w14:paraId="3D7EAF46" w14:textId="756C5423" w:rsidR="0084006F" w:rsidRPr="0084006F" w:rsidRDefault="0084006F" w:rsidP="0084006F">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40"/>
          <w:szCs w:val="40"/>
        </w:rPr>
        <w:t>Attachment F – Service Level Agreements_redacted</w:t>
      </w:r>
      <w:r>
        <w:br w:type="page"/>
      </w:r>
    </w:p>
    <w:p w14:paraId="6BA09B9A" w14:textId="461562DE" w:rsidR="00D24ABF" w:rsidRDefault="006B6AFC" w:rsidP="00D24ABF">
      <w:pPr>
        <w:pStyle w:val="TOCHeading"/>
      </w:pPr>
      <w:r>
        <w:lastRenderedPageBreak/>
        <w:t>Converged E&amp;E System and AMS Service Level Agreements</w:t>
      </w:r>
    </w:p>
    <w:p w14:paraId="43BED101" w14:textId="726A5914" w:rsidR="00F957DD" w:rsidRDefault="00937454">
      <w:pPr>
        <w:pStyle w:val="TOC1"/>
        <w:rPr>
          <w:rFonts w:asciiTheme="minorHAnsi" w:eastAsiaTheme="minorEastAsia" w:hAnsiTheme="minorHAnsi" w:cstheme="minorBidi"/>
          <w:b w:val="0"/>
          <w:kern w:val="2"/>
          <w:sz w:val="24"/>
          <w:szCs w:val="24"/>
          <w14:ligatures w14:val="standardContextual"/>
        </w:rPr>
      </w:pPr>
      <w:r>
        <w:rPr>
          <w:b w:val="0"/>
        </w:rPr>
        <w:fldChar w:fldCharType="begin"/>
      </w:r>
      <w:r>
        <w:rPr>
          <w:b w:val="0"/>
        </w:rPr>
        <w:instrText xml:space="preserve"> TOC \o "1-3" \h \z \u </w:instrText>
      </w:r>
      <w:r>
        <w:rPr>
          <w:b w:val="0"/>
        </w:rPr>
        <w:fldChar w:fldCharType="separate"/>
      </w:r>
      <w:hyperlink w:anchor="_Toc233199120" w:history="1">
        <w:r>
          <w:rPr>
            <w:rStyle w:val="Hyperlink"/>
          </w:rPr>
          <w:t>1.0</w:t>
        </w:r>
        <w:r>
          <w:rPr>
            <w:rFonts w:asciiTheme="minorHAnsi" w:eastAsiaTheme="minorEastAsia" w:hAnsiTheme="minorHAnsi" w:cstheme="minorBidi"/>
            <w:b w:val="0"/>
            <w:kern w:val="2"/>
            <w:sz w:val="24"/>
            <w:szCs w:val="24"/>
            <w14:ligatures w14:val="standardContextual"/>
          </w:rPr>
          <w:tab/>
        </w:r>
        <w:r>
          <w:rPr>
            <w:rStyle w:val="Hyperlink"/>
          </w:rPr>
          <w:t>Service Level Agreements Overview</w:t>
        </w:r>
        <w:r>
          <w:rPr>
            <w:webHidden/>
          </w:rPr>
          <w:tab/>
        </w:r>
        <w:r>
          <w:rPr>
            <w:webHidden/>
          </w:rPr>
          <w:fldChar w:fldCharType="begin"/>
        </w:r>
        <w:r>
          <w:rPr>
            <w:webHidden/>
          </w:rPr>
          <w:instrText xml:space="preserve"> PAGEREF _Toc233199120 \h </w:instrText>
        </w:r>
        <w:r>
          <w:rPr>
            <w:webHidden/>
          </w:rPr>
        </w:r>
        <w:r>
          <w:rPr>
            <w:webHidden/>
          </w:rPr>
          <w:fldChar w:fldCharType="separate"/>
        </w:r>
        <w:r>
          <w:rPr>
            <w:webHidden/>
          </w:rPr>
          <w:t>5</w:t>
        </w:r>
        <w:r>
          <w:rPr>
            <w:webHidden/>
          </w:rPr>
          <w:fldChar w:fldCharType="end"/>
        </w:r>
      </w:hyperlink>
    </w:p>
    <w:p w14:paraId="0A64DEF8" w14:textId="0B8544D1" w:rsidR="00F957DD" w:rsidRDefault="00F957DD">
      <w:pPr>
        <w:pStyle w:val="TOC2"/>
        <w:tabs>
          <w:tab w:val="left" w:pos="1980"/>
        </w:tabs>
        <w:rPr>
          <w:rFonts w:asciiTheme="minorHAnsi" w:eastAsiaTheme="minorEastAsia" w:hAnsiTheme="minorHAnsi" w:cstheme="minorBidi"/>
          <w:kern w:val="2"/>
          <w:sz w:val="24"/>
          <w:szCs w:val="24"/>
          <w14:ligatures w14:val="standardContextual"/>
        </w:rPr>
      </w:pPr>
      <w:hyperlink w:anchor="_Toc233199121" w:history="1">
        <w:r>
          <w:rPr>
            <w:rStyle w:val="Hyperlink"/>
          </w:rPr>
          <w:t>1.1</w:t>
        </w:r>
        <w:r>
          <w:rPr>
            <w:rFonts w:asciiTheme="minorHAnsi" w:eastAsiaTheme="minorEastAsia" w:hAnsiTheme="minorHAnsi" w:cstheme="minorBidi"/>
            <w:kern w:val="2"/>
            <w:sz w:val="24"/>
            <w:szCs w:val="24"/>
            <w14:ligatures w14:val="standardContextual"/>
          </w:rPr>
          <w:tab/>
        </w:r>
        <w:r>
          <w:rPr>
            <w:rStyle w:val="Hyperlink"/>
          </w:rPr>
          <w:t>Instructions</w:t>
        </w:r>
        <w:r>
          <w:rPr>
            <w:webHidden/>
          </w:rPr>
          <w:tab/>
        </w:r>
        <w:r>
          <w:rPr>
            <w:webHidden/>
          </w:rPr>
          <w:fldChar w:fldCharType="begin"/>
        </w:r>
        <w:r>
          <w:rPr>
            <w:webHidden/>
          </w:rPr>
          <w:instrText xml:space="preserve"> PAGEREF _Toc233199121 \h </w:instrText>
        </w:r>
        <w:r>
          <w:rPr>
            <w:webHidden/>
          </w:rPr>
        </w:r>
        <w:r>
          <w:rPr>
            <w:webHidden/>
          </w:rPr>
          <w:fldChar w:fldCharType="separate"/>
        </w:r>
        <w:r>
          <w:rPr>
            <w:webHidden/>
          </w:rPr>
          <w:t>5</w:t>
        </w:r>
        <w:r>
          <w:rPr>
            <w:webHidden/>
          </w:rPr>
          <w:fldChar w:fldCharType="end"/>
        </w:r>
      </w:hyperlink>
    </w:p>
    <w:p w14:paraId="5ACA8E22" w14:textId="2D413B01"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22" w:history="1">
        <w:r>
          <w:rPr>
            <w:rStyle w:val="Hyperlink"/>
          </w:rPr>
          <w:t>1.1.1</w:t>
        </w:r>
        <w:r>
          <w:rPr>
            <w:rFonts w:asciiTheme="minorHAnsi" w:eastAsiaTheme="minorEastAsia" w:hAnsiTheme="minorHAnsi" w:cstheme="minorBidi"/>
            <w:i w:val="0"/>
            <w:kern w:val="2"/>
            <w:sz w:val="24"/>
            <w:szCs w:val="24"/>
            <w14:ligatures w14:val="standardContextual"/>
          </w:rPr>
          <w:tab/>
        </w:r>
        <w:r>
          <w:rPr>
            <w:rStyle w:val="Hyperlink"/>
          </w:rPr>
          <w:t>Defect Triage, Incident Categorization and Severity Management</w:t>
        </w:r>
        <w:r>
          <w:rPr>
            <w:webHidden/>
          </w:rPr>
          <w:tab/>
        </w:r>
        <w:r>
          <w:rPr>
            <w:webHidden/>
          </w:rPr>
          <w:fldChar w:fldCharType="begin"/>
        </w:r>
        <w:r>
          <w:rPr>
            <w:webHidden/>
          </w:rPr>
          <w:instrText xml:space="preserve"> PAGEREF _Toc233199122 \h </w:instrText>
        </w:r>
        <w:r>
          <w:rPr>
            <w:webHidden/>
          </w:rPr>
        </w:r>
        <w:r>
          <w:rPr>
            <w:webHidden/>
          </w:rPr>
          <w:fldChar w:fldCharType="separate"/>
        </w:r>
        <w:r>
          <w:rPr>
            <w:webHidden/>
          </w:rPr>
          <w:t>5</w:t>
        </w:r>
        <w:r>
          <w:rPr>
            <w:webHidden/>
          </w:rPr>
          <w:fldChar w:fldCharType="end"/>
        </w:r>
      </w:hyperlink>
    </w:p>
    <w:p w14:paraId="27BB977A" w14:textId="12FB6AE9" w:rsidR="00F957DD" w:rsidRDefault="00F957DD">
      <w:pPr>
        <w:pStyle w:val="TOC1"/>
        <w:rPr>
          <w:rFonts w:asciiTheme="minorHAnsi" w:eastAsiaTheme="minorEastAsia" w:hAnsiTheme="minorHAnsi" w:cstheme="minorBidi"/>
          <w:b w:val="0"/>
          <w:kern w:val="2"/>
          <w:sz w:val="24"/>
          <w:szCs w:val="24"/>
          <w14:ligatures w14:val="standardContextual"/>
        </w:rPr>
      </w:pPr>
      <w:hyperlink w:anchor="_Toc233199123" w:history="1">
        <w:r>
          <w:rPr>
            <w:rStyle w:val="Hyperlink"/>
          </w:rPr>
          <w:t>2.0</w:t>
        </w:r>
        <w:r>
          <w:rPr>
            <w:rFonts w:asciiTheme="minorHAnsi" w:eastAsiaTheme="minorEastAsia" w:hAnsiTheme="minorHAnsi" w:cstheme="minorBidi"/>
            <w:b w:val="0"/>
            <w:kern w:val="2"/>
            <w:sz w:val="24"/>
            <w:szCs w:val="24"/>
            <w14:ligatures w14:val="standardContextual"/>
          </w:rPr>
          <w:tab/>
        </w:r>
        <w:r>
          <w:rPr>
            <w:rStyle w:val="Hyperlink"/>
          </w:rPr>
          <w:t>Service Level Agreements</w:t>
        </w:r>
        <w:r>
          <w:rPr>
            <w:webHidden/>
          </w:rPr>
          <w:tab/>
        </w:r>
        <w:r>
          <w:rPr>
            <w:webHidden/>
          </w:rPr>
          <w:fldChar w:fldCharType="begin"/>
        </w:r>
        <w:r>
          <w:rPr>
            <w:webHidden/>
          </w:rPr>
          <w:instrText xml:space="preserve"> PAGEREF _Toc233199123 \h </w:instrText>
        </w:r>
        <w:r>
          <w:rPr>
            <w:webHidden/>
          </w:rPr>
        </w:r>
        <w:r>
          <w:rPr>
            <w:webHidden/>
          </w:rPr>
          <w:fldChar w:fldCharType="separate"/>
        </w:r>
        <w:r>
          <w:rPr>
            <w:webHidden/>
          </w:rPr>
          <w:t>9</w:t>
        </w:r>
        <w:r>
          <w:rPr>
            <w:webHidden/>
          </w:rPr>
          <w:fldChar w:fldCharType="end"/>
        </w:r>
      </w:hyperlink>
    </w:p>
    <w:p w14:paraId="62AEF717" w14:textId="282C4EEB" w:rsidR="00F957DD" w:rsidRDefault="00F957DD">
      <w:pPr>
        <w:pStyle w:val="TOC2"/>
        <w:tabs>
          <w:tab w:val="left" w:pos="1980"/>
        </w:tabs>
        <w:rPr>
          <w:rFonts w:asciiTheme="minorHAnsi" w:eastAsiaTheme="minorEastAsia" w:hAnsiTheme="minorHAnsi" w:cstheme="minorBidi"/>
          <w:kern w:val="2"/>
          <w:sz w:val="24"/>
          <w:szCs w:val="24"/>
          <w14:ligatures w14:val="standardContextual"/>
        </w:rPr>
      </w:pPr>
      <w:hyperlink w:anchor="_Toc233199124" w:history="1">
        <w:r>
          <w:rPr>
            <w:rStyle w:val="Hyperlink"/>
          </w:rPr>
          <w:t>2.1</w:t>
        </w:r>
        <w:r>
          <w:rPr>
            <w:rFonts w:asciiTheme="minorHAnsi" w:eastAsiaTheme="minorEastAsia" w:hAnsiTheme="minorHAnsi" w:cstheme="minorBidi"/>
            <w:kern w:val="2"/>
            <w:sz w:val="24"/>
            <w:szCs w:val="24"/>
            <w14:ligatures w14:val="standardContextual"/>
          </w:rPr>
          <w:tab/>
        </w:r>
        <w:r>
          <w:rPr>
            <w:rStyle w:val="Hyperlink"/>
          </w:rPr>
          <w:t>Procedural and Change</w:t>
        </w:r>
        <w:r>
          <w:rPr>
            <w:webHidden/>
          </w:rPr>
          <w:tab/>
        </w:r>
        <w:r>
          <w:rPr>
            <w:webHidden/>
          </w:rPr>
          <w:fldChar w:fldCharType="begin"/>
        </w:r>
        <w:r>
          <w:rPr>
            <w:webHidden/>
          </w:rPr>
          <w:instrText xml:space="preserve"> PAGEREF _Toc233199124 \h </w:instrText>
        </w:r>
        <w:r>
          <w:rPr>
            <w:webHidden/>
          </w:rPr>
        </w:r>
        <w:r>
          <w:rPr>
            <w:webHidden/>
          </w:rPr>
          <w:fldChar w:fldCharType="separate"/>
        </w:r>
        <w:r>
          <w:rPr>
            <w:webHidden/>
          </w:rPr>
          <w:t>9</w:t>
        </w:r>
        <w:r>
          <w:rPr>
            <w:webHidden/>
          </w:rPr>
          <w:fldChar w:fldCharType="end"/>
        </w:r>
      </w:hyperlink>
    </w:p>
    <w:p w14:paraId="6D4A0A0A" w14:textId="0C9380C8"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25" w:history="1">
        <w:r>
          <w:rPr>
            <w:rStyle w:val="Hyperlink"/>
          </w:rPr>
          <w:t>SLA 1</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Project Roadmap – Currency</w:t>
        </w:r>
        <w:r>
          <w:rPr>
            <w:webHidden/>
          </w:rPr>
          <w:tab/>
        </w:r>
        <w:r>
          <w:rPr>
            <w:webHidden/>
          </w:rPr>
          <w:fldChar w:fldCharType="begin"/>
        </w:r>
        <w:r>
          <w:rPr>
            <w:webHidden/>
          </w:rPr>
          <w:instrText xml:space="preserve"> PAGEREF _Toc233199125 \h </w:instrText>
        </w:r>
        <w:r>
          <w:rPr>
            <w:webHidden/>
          </w:rPr>
        </w:r>
        <w:r>
          <w:rPr>
            <w:webHidden/>
          </w:rPr>
          <w:fldChar w:fldCharType="separate"/>
        </w:r>
        <w:r>
          <w:rPr>
            <w:webHidden/>
          </w:rPr>
          <w:t>9</w:t>
        </w:r>
        <w:r>
          <w:rPr>
            <w:webHidden/>
          </w:rPr>
          <w:fldChar w:fldCharType="end"/>
        </w:r>
      </w:hyperlink>
    </w:p>
    <w:p w14:paraId="4C7015EC" w14:textId="1413A9E8"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26" w:history="1">
        <w:r>
          <w:rPr>
            <w:rStyle w:val="Hyperlink"/>
          </w:rPr>
          <w:t>SLA 2</w:t>
        </w:r>
        <w:r>
          <w:rPr>
            <w:rFonts w:asciiTheme="minorHAnsi" w:eastAsiaTheme="minorEastAsia" w:hAnsiTheme="minorHAnsi" w:cstheme="minorBidi"/>
            <w:i w:val="0"/>
            <w:kern w:val="2"/>
            <w:sz w:val="24"/>
            <w:szCs w:val="24"/>
            <w14:ligatures w14:val="standardContextual"/>
          </w:rPr>
          <w:tab/>
        </w:r>
        <w:r>
          <w:rPr>
            <w:rStyle w:val="Hyperlink"/>
          </w:rPr>
          <w:t>Project Management Plan – Currency</w:t>
        </w:r>
        <w:r>
          <w:rPr>
            <w:webHidden/>
          </w:rPr>
          <w:tab/>
        </w:r>
        <w:r>
          <w:rPr>
            <w:webHidden/>
          </w:rPr>
          <w:fldChar w:fldCharType="begin"/>
        </w:r>
        <w:r>
          <w:rPr>
            <w:webHidden/>
          </w:rPr>
          <w:instrText xml:space="preserve"> PAGEREF _Toc233199126 \h </w:instrText>
        </w:r>
        <w:r>
          <w:rPr>
            <w:webHidden/>
          </w:rPr>
        </w:r>
        <w:r>
          <w:rPr>
            <w:webHidden/>
          </w:rPr>
          <w:fldChar w:fldCharType="separate"/>
        </w:r>
        <w:r>
          <w:rPr>
            <w:webHidden/>
          </w:rPr>
          <w:t>10</w:t>
        </w:r>
        <w:r>
          <w:rPr>
            <w:webHidden/>
          </w:rPr>
          <w:fldChar w:fldCharType="end"/>
        </w:r>
      </w:hyperlink>
    </w:p>
    <w:p w14:paraId="0305D4FB" w14:textId="667D422E"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27" w:history="1">
        <w:r>
          <w:rPr>
            <w:rStyle w:val="Hyperlink"/>
          </w:rPr>
          <w:t>SLA 3</w:t>
        </w:r>
        <w:r>
          <w:rPr>
            <w:rFonts w:asciiTheme="minorHAnsi" w:eastAsiaTheme="minorEastAsia" w:hAnsiTheme="minorHAnsi" w:cstheme="minorBidi"/>
            <w:i w:val="0"/>
            <w:kern w:val="2"/>
            <w:sz w:val="24"/>
            <w:szCs w:val="24"/>
            <w14:ligatures w14:val="standardContextual"/>
          </w:rPr>
          <w:tab/>
        </w:r>
        <w:r>
          <w:rPr>
            <w:rStyle w:val="Hyperlink"/>
          </w:rPr>
          <w:t>Ad Hoc Documentation Submission Timeliness</w:t>
        </w:r>
        <w:r>
          <w:rPr>
            <w:webHidden/>
          </w:rPr>
          <w:tab/>
        </w:r>
        <w:r>
          <w:rPr>
            <w:webHidden/>
          </w:rPr>
          <w:fldChar w:fldCharType="begin"/>
        </w:r>
        <w:r>
          <w:rPr>
            <w:webHidden/>
          </w:rPr>
          <w:instrText xml:space="preserve"> PAGEREF _Toc233199127 \h </w:instrText>
        </w:r>
        <w:r>
          <w:rPr>
            <w:webHidden/>
          </w:rPr>
        </w:r>
        <w:r>
          <w:rPr>
            <w:webHidden/>
          </w:rPr>
          <w:fldChar w:fldCharType="separate"/>
        </w:r>
        <w:r>
          <w:rPr>
            <w:webHidden/>
          </w:rPr>
          <w:t>11</w:t>
        </w:r>
        <w:r>
          <w:rPr>
            <w:webHidden/>
          </w:rPr>
          <w:fldChar w:fldCharType="end"/>
        </w:r>
      </w:hyperlink>
    </w:p>
    <w:p w14:paraId="11C85749" w14:textId="11CDF14B"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28" w:history="1">
        <w:r>
          <w:rPr>
            <w:rStyle w:val="Hyperlink"/>
          </w:rPr>
          <w:t>SLA 4</w:t>
        </w:r>
        <w:r>
          <w:rPr>
            <w:rFonts w:asciiTheme="minorHAnsi" w:eastAsiaTheme="minorEastAsia" w:hAnsiTheme="minorHAnsi" w:cstheme="minorBidi"/>
            <w:i w:val="0"/>
            <w:kern w:val="2"/>
            <w:sz w:val="24"/>
            <w:szCs w:val="24"/>
            <w14:ligatures w14:val="standardContextual"/>
          </w:rPr>
          <w:tab/>
        </w:r>
        <w:r>
          <w:rPr>
            <w:rStyle w:val="Hyperlink"/>
          </w:rPr>
          <w:t>Documentation Deficiency Resolution</w:t>
        </w:r>
        <w:r>
          <w:rPr>
            <w:webHidden/>
          </w:rPr>
          <w:tab/>
        </w:r>
        <w:r>
          <w:rPr>
            <w:webHidden/>
          </w:rPr>
          <w:fldChar w:fldCharType="begin"/>
        </w:r>
        <w:r>
          <w:rPr>
            <w:webHidden/>
          </w:rPr>
          <w:instrText xml:space="preserve"> PAGEREF _Toc233199128 \h </w:instrText>
        </w:r>
        <w:r>
          <w:rPr>
            <w:webHidden/>
          </w:rPr>
        </w:r>
        <w:r>
          <w:rPr>
            <w:webHidden/>
          </w:rPr>
          <w:fldChar w:fldCharType="separate"/>
        </w:r>
        <w:r>
          <w:rPr>
            <w:webHidden/>
          </w:rPr>
          <w:t>13</w:t>
        </w:r>
        <w:r>
          <w:rPr>
            <w:webHidden/>
          </w:rPr>
          <w:fldChar w:fldCharType="end"/>
        </w:r>
      </w:hyperlink>
    </w:p>
    <w:p w14:paraId="4DC9448B" w14:textId="537C0680"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29" w:history="1">
        <w:r>
          <w:rPr>
            <w:rStyle w:val="Hyperlink"/>
          </w:rPr>
          <w:t>SLA 5</w:t>
        </w:r>
        <w:r>
          <w:rPr>
            <w:rFonts w:asciiTheme="minorHAnsi" w:eastAsiaTheme="minorEastAsia" w:hAnsiTheme="minorHAnsi" w:cstheme="minorBidi"/>
            <w:i w:val="0"/>
            <w:kern w:val="2"/>
            <w:sz w:val="24"/>
            <w:szCs w:val="24"/>
            <w14:ligatures w14:val="standardContextual"/>
          </w:rPr>
          <w:tab/>
        </w:r>
        <w:r>
          <w:rPr>
            <w:rStyle w:val="Hyperlink"/>
          </w:rPr>
          <w:t>Weekly Status Meeting Frequency (Design, Development, and Implementation and Maintenance and Operations)</w:t>
        </w:r>
        <w:r>
          <w:rPr>
            <w:webHidden/>
          </w:rPr>
          <w:tab/>
        </w:r>
        <w:r>
          <w:rPr>
            <w:webHidden/>
          </w:rPr>
          <w:fldChar w:fldCharType="begin"/>
        </w:r>
        <w:r>
          <w:rPr>
            <w:webHidden/>
          </w:rPr>
          <w:instrText xml:space="preserve"> PAGEREF _Toc233199129 \h </w:instrText>
        </w:r>
        <w:r>
          <w:rPr>
            <w:webHidden/>
          </w:rPr>
        </w:r>
        <w:r>
          <w:rPr>
            <w:webHidden/>
          </w:rPr>
          <w:fldChar w:fldCharType="separate"/>
        </w:r>
        <w:r>
          <w:rPr>
            <w:webHidden/>
          </w:rPr>
          <w:t>14</w:t>
        </w:r>
        <w:r>
          <w:rPr>
            <w:webHidden/>
          </w:rPr>
          <w:fldChar w:fldCharType="end"/>
        </w:r>
      </w:hyperlink>
    </w:p>
    <w:p w14:paraId="3D575BBE" w14:textId="505C1B04"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30" w:history="1">
        <w:r>
          <w:rPr>
            <w:rStyle w:val="Hyperlink"/>
          </w:rPr>
          <w:t>SLA 6</w:t>
        </w:r>
        <w:r>
          <w:rPr>
            <w:rFonts w:asciiTheme="minorHAnsi" w:eastAsiaTheme="minorEastAsia" w:hAnsiTheme="minorHAnsi" w:cstheme="minorBidi"/>
            <w:i w:val="0"/>
            <w:kern w:val="2"/>
            <w:sz w:val="24"/>
            <w:szCs w:val="24"/>
            <w14:ligatures w14:val="standardContextual"/>
          </w:rPr>
          <w:tab/>
        </w:r>
        <w:r>
          <w:rPr>
            <w:rStyle w:val="Hyperlink"/>
          </w:rPr>
          <w:t>Status Meeting Agenda Timeliness and Currency (Design, Development, and Implementation and Maintenance and Operations)</w:t>
        </w:r>
        <w:r>
          <w:rPr>
            <w:webHidden/>
          </w:rPr>
          <w:tab/>
        </w:r>
        <w:r>
          <w:rPr>
            <w:webHidden/>
          </w:rPr>
          <w:fldChar w:fldCharType="begin"/>
        </w:r>
        <w:r>
          <w:rPr>
            <w:webHidden/>
          </w:rPr>
          <w:instrText xml:space="preserve"> PAGEREF _Toc233199130 \h </w:instrText>
        </w:r>
        <w:r>
          <w:rPr>
            <w:webHidden/>
          </w:rPr>
        </w:r>
        <w:r>
          <w:rPr>
            <w:webHidden/>
          </w:rPr>
          <w:fldChar w:fldCharType="separate"/>
        </w:r>
        <w:r>
          <w:rPr>
            <w:webHidden/>
          </w:rPr>
          <w:t>15</w:t>
        </w:r>
        <w:r>
          <w:rPr>
            <w:webHidden/>
          </w:rPr>
          <w:fldChar w:fldCharType="end"/>
        </w:r>
      </w:hyperlink>
    </w:p>
    <w:p w14:paraId="5B675A4B" w14:textId="2A7292C0"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31" w:history="1">
        <w:r>
          <w:rPr>
            <w:rStyle w:val="Hyperlink"/>
          </w:rPr>
          <w:t>SLA 7</w:t>
        </w:r>
        <w:r>
          <w:rPr>
            <w:rFonts w:asciiTheme="minorHAnsi" w:eastAsiaTheme="minorEastAsia" w:hAnsiTheme="minorHAnsi" w:cstheme="minorBidi"/>
            <w:i w:val="0"/>
            <w:kern w:val="2"/>
            <w:sz w:val="24"/>
            <w:szCs w:val="24"/>
            <w14:ligatures w14:val="standardContextual"/>
          </w:rPr>
          <w:tab/>
        </w:r>
        <w:r>
          <w:rPr>
            <w:rStyle w:val="Hyperlink"/>
          </w:rPr>
          <w:t>Status Meeting Minutes Timeliness (Design, Development, and Implementation and Maintenance and Operations)</w:t>
        </w:r>
        <w:r>
          <w:rPr>
            <w:webHidden/>
          </w:rPr>
          <w:tab/>
        </w:r>
        <w:r>
          <w:rPr>
            <w:webHidden/>
          </w:rPr>
          <w:fldChar w:fldCharType="begin"/>
        </w:r>
        <w:r>
          <w:rPr>
            <w:webHidden/>
          </w:rPr>
          <w:instrText xml:space="preserve"> PAGEREF _Toc233199131 \h </w:instrText>
        </w:r>
        <w:r>
          <w:rPr>
            <w:webHidden/>
          </w:rPr>
        </w:r>
        <w:r>
          <w:rPr>
            <w:webHidden/>
          </w:rPr>
          <w:fldChar w:fldCharType="separate"/>
        </w:r>
        <w:r>
          <w:rPr>
            <w:webHidden/>
          </w:rPr>
          <w:t>16</w:t>
        </w:r>
        <w:r>
          <w:rPr>
            <w:webHidden/>
          </w:rPr>
          <w:fldChar w:fldCharType="end"/>
        </w:r>
      </w:hyperlink>
    </w:p>
    <w:p w14:paraId="26FFDA05" w14:textId="79C10F65"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32" w:history="1">
        <w:r>
          <w:rPr>
            <w:rStyle w:val="Hyperlink"/>
          </w:rPr>
          <w:t>SLA 8</w:t>
        </w:r>
        <w:r>
          <w:rPr>
            <w:rFonts w:asciiTheme="minorHAnsi" w:eastAsiaTheme="minorEastAsia" w:hAnsiTheme="minorHAnsi" w:cstheme="minorBidi"/>
            <w:i w:val="0"/>
            <w:kern w:val="2"/>
            <w:sz w:val="24"/>
            <w:szCs w:val="24"/>
            <w14:ligatures w14:val="standardContextual"/>
          </w:rPr>
          <w:tab/>
        </w:r>
        <w:r>
          <w:rPr>
            <w:rStyle w:val="Hyperlink"/>
          </w:rPr>
          <w:t>Integrated Master Schedule: Timely Weekly Update and Distribution</w:t>
        </w:r>
        <w:r>
          <w:rPr>
            <w:webHidden/>
          </w:rPr>
          <w:tab/>
        </w:r>
        <w:r>
          <w:rPr>
            <w:webHidden/>
          </w:rPr>
          <w:fldChar w:fldCharType="begin"/>
        </w:r>
        <w:r>
          <w:rPr>
            <w:webHidden/>
          </w:rPr>
          <w:instrText xml:space="preserve"> PAGEREF _Toc233199132 \h </w:instrText>
        </w:r>
        <w:r>
          <w:rPr>
            <w:webHidden/>
          </w:rPr>
        </w:r>
        <w:r>
          <w:rPr>
            <w:webHidden/>
          </w:rPr>
          <w:fldChar w:fldCharType="separate"/>
        </w:r>
        <w:r>
          <w:rPr>
            <w:webHidden/>
          </w:rPr>
          <w:t>17</w:t>
        </w:r>
        <w:r>
          <w:rPr>
            <w:webHidden/>
          </w:rPr>
          <w:fldChar w:fldCharType="end"/>
        </w:r>
      </w:hyperlink>
    </w:p>
    <w:p w14:paraId="405BC570" w14:textId="6FA02C07"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33" w:history="1">
        <w:r>
          <w:rPr>
            <w:rStyle w:val="Hyperlink"/>
          </w:rPr>
          <w:t>SLA 9</w:t>
        </w:r>
        <w:r>
          <w:rPr>
            <w:rFonts w:asciiTheme="minorHAnsi" w:eastAsiaTheme="minorEastAsia" w:hAnsiTheme="minorHAnsi" w:cstheme="minorBidi"/>
            <w:i w:val="0"/>
            <w:kern w:val="2"/>
            <w:sz w:val="24"/>
            <w:szCs w:val="24"/>
            <w14:ligatures w14:val="standardContextual"/>
          </w:rPr>
          <w:tab/>
        </w:r>
        <w:r>
          <w:rPr>
            <w:rStyle w:val="Hyperlink"/>
          </w:rPr>
          <w:t>Integrated Master Schedule Timely Updates</w:t>
        </w:r>
        <w:r>
          <w:rPr>
            <w:webHidden/>
          </w:rPr>
          <w:tab/>
        </w:r>
        <w:r>
          <w:rPr>
            <w:webHidden/>
          </w:rPr>
          <w:fldChar w:fldCharType="begin"/>
        </w:r>
        <w:r>
          <w:rPr>
            <w:webHidden/>
          </w:rPr>
          <w:instrText xml:space="preserve"> PAGEREF _Toc233199133 \h </w:instrText>
        </w:r>
        <w:r>
          <w:rPr>
            <w:webHidden/>
          </w:rPr>
        </w:r>
        <w:r>
          <w:rPr>
            <w:webHidden/>
          </w:rPr>
          <w:fldChar w:fldCharType="separate"/>
        </w:r>
        <w:r>
          <w:rPr>
            <w:webHidden/>
          </w:rPr>
          <w:t>18</w:t>
        </w:r>
        <w:r>
          <w:rPr>
            <w:webHidden/>
          </w:rPr>
          <w:fldChar w:fldCharType="end"/>
        </w:r>
      </w:hyperlink>
    </w:p>
    <w:p w14:paraId="1BB22871" w14:textId="3B423C0D"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34" w:history="1">
        <w:r>
          <w:rPr>
            <w:rStyle w:val="Hyperlink"/>
          </w:rPr>
          <w:t>SLA 10</w:t>
        </w:r>
        <w:r>
          <w:rPr>
            <w:rFonts w:asciiTheme="minorHAnsi" w:eastAsiaTheme="minorEastAsia" w:hAnsiTheme="minorHAnsi" w:cstheme="minorBidi"/>
            <w:i w:val="0"/>
            <w:kern w:val="2"/>
            <w:sz w:val="24"/>
            <w:szCs w:val="24"/>
            <w14:ligatures w14:val="standardContextual"/>
          </w:rPr>
          <w:tab/>
        </w:r>
        <w:r>
          <w:rPr>
            <w:rStyle w:val="Hyperlink"/>
          </w:rPr>
          <w:t>Daily Production Status Report Timeliness</w:t>
        </w:r>
        <w:r>
          <w:rPr>
            <w:webHidden/>
          </w:rPr>
          <w:tab/>
        </w:r>
        <w:r>
          <w:rPr>
            <w:webHidden/>
          </w:rPr>
          <w:fldChar w:fldCharType="begin"/>
        </w:r>
        <w:r>
          <w:rPr>
            <w:webHidden/>
          </w:rPr>
          <w:instrText xml:space="preserve"> PAGEREF _Toc233199134 \h </w:instrText>
        </w:r>
        <w:r>
          <w:rPr>
            <w:webHidden/>
          </w:rPr>
        </w:r>
        <w:r>
          <w:rPr>
            <w:webHidden/>
          </w:rPr>
          <w:fldChar w:fldCharType="separate"/>
        </w:r>
        <w:r>
          <w:rPr>
            <w:webHidden/>
          </w:rPr>
          <w:t>19</w:t>
        </w:r>
        <w:r>
          <w:rPr>
            <w:webHidden/>
          </w:rPr>
          <w:fldChar w:fldCharType="end"/>
        </w:r>
      </w:hyperlink>
    </w:p>
    <w:p w14:paraId="1CC626DC" w14:textId="541A5258"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35" w:history="1">
        <w:r>
          <w:rPr>
            <w:rStyle w:val="Hyperlink"/>
          </w:rPr>
          <w:t>SLA 11</w:t>
        </w:r>
        <w:r>
          <w:rPr>
            <w:rFonts w:asciiTheme="minorHAnsi" w:eastAsiaTheme="minorEastAsia" w:hAnsiTheme="minorHAnsi" w:cstheme="minorBidi"/>
            <w:i w:val="0"/>
            <w:kern w:val="2"/>
            <w:sz w:val="24"/>
            <w:szCs w:val="24"/>
            <w14:ligatures w14:val="standardContextual"/>
          </w:rPr>
          <w:tab/>
        </w:r>
        <w:r>
          <w:rPr>
            <w:rStyle w:val="Hyperlink"/>
          </w:rPr>
          <w:t>Status Report Data Freshness (Design, Development, and Implementation and Maintenance and Operations)</w:t>
        </w:r>
        <w:r>
          <w:rPr>
            <w:webHidden/>
          </w:rPr>
          <w:tab/>
        </w:r>
        <w:r>
          <w:rPr>
            <w:webHidden/>
          </w:rPr>
          <w:fldChar w:fldCharType="begin"/>
        </w:r>
        <w:r>
          <w:rPr>
            <w:webHidden/>
          </w:rPr>
          <w:instrText xml:space="preserve"> PAGEREF _Toc233199135 \h </w:instrText>
        </w:r>
        <w:r>
          <w:rPr>
            <w:webHidden/>
          </w:rPr>
        </w:r>
        <w:r>
          <w:rPr>
            <w:webHidden/>
          </w:rPr>
          <w:fldChar w:fldCharType="separate"/>
        </w:r>
        <w:r>
          <w:rPr>
            <w:webHidden/>
          </w:rPr>
          <w:t>21</w:t>
        </w:r>
        <w:r>
          <w:rPr>
            <w:webHidden/>
          </w:rPr>
          <w:fldChar w:fldCharType="end"/>
        </w:r>
      </w:hyperlink>
    </w:p>
    <w:p w14:paraId="78CD750C" w14:textId="7802E8A9"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36" w:history="1">
        <w:r>
          <w:rPr>
            <w:rStyle w:val="Hyperlink"/>
          </w:rPr>
          <w:t>SLA 12</w:t>
        </w:r>
        <w:r>
          <w:rPr>
            <w:rFonts w:asciiTheme="minorHAnsi" w:eastAsiaTheme="minorEastAsia" w:hAnsiTheme="minorHAnsi" w:cstheme="minorBidi"/>
            <w:i w:val="0"/>
            <w:kern w:val="2"/>
            <w:sz w:val="24"/>
            <w:szCs w:val="24"/>
            <w14:ligatures w14:val="standardContextual"/>
          </w:rPr>
          <w:tab/>
        </w:r>
        <w:r>
          <w:rPr>
            <w:rStyle w:val="Hyperlink"/>
          </w:rPr>
          <w:t>Weekly Status Reports Timely Submission (Design, Development, and Implementation and Maintenance and Operations)</w:t>
        </w:r>
        <w:r>
          <w:rPr>
            <w:webHidden/>
          </w:rPr>
          <w:tab/>
        </w:r>
        <w:r>
          <w:rPr>
            <w:webHidden/>
          </w:rPr>
          <w:fldChar w:fldCharType="begin"/>
        </w:r>
        <w:r>
          <w:rPr>
            <w:webHidden/>
          </w:rPr>
          <w:instrText xml:space="preserve"> PAGEREF _Toc233199136 \h </w:instrText>
        </w:r>
        <w:r>
          <w:rPr>
            <w:webHidden/>
          </w:rPr>
        </w:r>
        <w:r>
          <w:rPr>
            <w:webHidden/>
          </w:rPr>
          <w:fldChar w:fldCharType="separate"/>
        </w:r>
        <w:r>
          <w:rPr>
            <w:webHidden/>
          </w:rPr>
          <w:t>22</w:t>
        </w:r>
        <w:r>
          <w:rPr>
            <w:webHidden/>
          </w:rPr>
          <w:fldChar w:fldCharType="end"/>
        </w:r>
      </w:hyperlink>
    </w:p>
    <w:p w14:paraId="7D105739" w14:textId="1C5477F9"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37" w:history="1">
        <w:r>
          <w:rPr>
            <w:rStyle w:val="Hyperlink"/>
          </w:rPr>
          <w:t>SLA 13</w:t>
        </w:r>
        <w:r>
          <w:rPr>
            <w:rFonts w:asciiTheme="minorHAnsi" w:eastAsiaTheme="minorEastAsia" w:hAnsiTheme="minorHAnsi" w:cstheme="minorBidi"/>
            <w:i w:val="0"/>
            <w:kern w:val="2"/>
            <w:sz w:val="24"/>
            <w:szCs w:val="24"/>
            <w14:ligatures w14:val="standardContextual"/>
          </w:rPr>
          <w:tab/>
        </w:r>
        <w:r>
          <w:rPr>
            <w:rStyle w:val="Hyperlink"/>
          </w:rPr>
          <w:t>Planned versus Actual Design, Development, and Implementation Progress Report Timely Submission</w:t>
        </w:r>
        <w:r>
          <w:rPr>
            <w:webHidden/>
          </w:rPr>
          <w:tab/>
        </w:r>
        <w:r>
          <w:rPr>
            <w:webHidden/>
          </w:rPr>
          <w:fldChar w:fldCharType="begin"/>
        </w:r>
        <w:r>
          <w:rPr>
            <w:webHidden/>
          </w:rPr>
          <w:instrText xml:space="preserve"> PAGEREF _Toc233199137 \h </w:instrText>
        </w:r>
        <w:r>
          <w:rPr>
            <w:webHidden/>
          </w:rPr>
        </w:r>
        <w:r>
          <w:rPr>
            <w:webHidden/>
          </w:rPr>
          <w:fldChar w:fldCharType="separate"/>
        </w:r>
        <w:r>
          <w:rPr>
            <w:webHidden/>
          </w:rPr>
          <w:t>23</w:t>
        </w:r>
        <w:r>
          <w:rPr>
            <w:webHidden/>
          </w:rPr>
          <w:fldChar w:fldCharType="end"/>
        </w:r>
      </w:hyperlink>
    </w:p>
    <w:p w14:paraId="76EF2E4C" w14:textId="50585630"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38" w:history="1">
        <w:r>
          <w:rPr>
            <w:rStyle w:val="Hyperlink"/>
          </w:rPr>
          <w:t>SLA 14</w:t>
        </w:r>
        <w:r>
          <w:rPr>
            <w:rFonts w:asciiTheme="minorHAnsi" w:eastAsiaTheme="minorEastAsia" w:hAnsiTheme="minorHAnsi" w:cstheme="minorBidi"/>
            <w:i w:val="0"/>
            <w:kern w:val="2"/>
            <w:sz w:val="24"/>
            <w:szCs w:val="24"/>
            <w14:ligatures w14:val="standardContextual"/>
          </w:rPr>
          <w:tab/>
        </w:r>
        <w:r>
          <w:rPr>
            <w:rStyle w:val="Hyperlink"/>
          </w:rPr>
          <w:t>Monthly Status Reports’ Timely Submission (Design, Development, and Implementation and Maintenance and Operations)</w:t>
        </w:r>
        <w:r>
          <w:rPr>
            <w:webHidden/>
          </w:rPr>
          <w:tab/>
        </w:r>
        <w:r>
          <w:rPr>
            <w:webHidden/>
          </w:rPr>
          <w:fldChar w:fldCharType="begin"/>
        </w:r>
        <w:r>
          <w:rPr>
            <w:webHidden/>
          </w:rPr>
          <w:instrText xml:space="preserve"> PAGEREF _Toc233199138 \h </w:instrText>
        </w:r>
        <w:r>
          <w:rPr>
            <w:webHidden/>
          </w:rPr>
        </w:r>
        <w:r>
          <w:rPr>
            <w:webHidden/>
          </w:rPr>
          <w:fldChar w:fldCharType="separate"/>
        </w:r>
        <w:r>
          <w:rPr>
            <w:webHidden/>
          </w:rPr>
          <w:t>24</w:t>
        </w:r>
        <w:r>
          <w:rPr>
            <w:webHidden/>
          </w:rPr>
          <w:fldChar w:fldCharType="end"/>
        </w:r>
      </w:hyperlink>
    </w:p>
    <w:p w14:paraId="50D01EE8" w14:textId="6305ED03"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39" w:history="1">
        <w:r>
          <w:rPr>
            <w:rStyle w:val="Hyperlink"/>
          </w:rPr>
          <w:t>SLA 15</w:t>
        </w:r>
        <w:r>
          <w:rPr>
            <w:rFonts w:asciiTheme="minorHAnsi" w:eastAsiaTheme="minorEastAsia" w:hAnsiTheme="minorHAnsi" w:cstheme="minorBidi"/>
            <w:i w:val="0"/>
            <w:kern w:val="2"/>
            <w:sz w:val="24"/>
            <w:szCs w:val="24"/>
            <w14:ligatures w14:val="standardContextual"/>
          </w:rPr>
          <w:tab/>
        </w:r>
        <w:r>
          <w:rPr>
            <w:rStyle w:val="Hyperlink"/>
          </w:rPr>
          <w:t>Regression Testing Effectiveness and Production Defect</w:t>
        </w:r>
        <w:r>
          <w:rPr>
            <w:webHidden/>
          </w:rPr>
          <w:tab/>
        </w:r>
        <w:r>
          <w:rPr>
            <w:webHidden/>
          </w:rPr>
          <w:fldChar w:fldCharType="begin"/>
        </w:r>
        <w:r>
          <w:rPr>
            <w:webHidden/>
          </w:rPr>
          <w:instrText xml:space="preserve"> PAGEREF _Toc233199139 \h </w:instrText>
        </w:r>
        <w:r>
          <w:rPr>
            <w:webHidden/>
          </w:rPr>
        </w:r>
        <w:r>
          <w:rPr>
            <w:webHidden/>
          </w:rPr>
          <w:fldChar w:fldCharType="separate"/>
        </w:r>
        <w:r>
          <w:rPr>
            <w:webHidden/>
          </w:rPr>
          <w:t>25</w:t>
        </w:r>
        <w:r>
          <w:rPr>
            <w:webHidden/>
          </w:rPr>
          <w:fldChar w:fldCharType="end"/>
        </w:r>
      </w:hyperlink>
    </w:p>
    <w:p w14:paraId="5B3E8984" w14:textId="5F9EB713"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40" w:history="1">
        <w:r>
          <w:rPr>
            <w:rStyle w:val="Hyperlink"/>
          </w:rPr>
          <w:t>SLA 16</w:t>
        </w:r>
        <w:r>
          <w:rPr>
            <w:rFonts w:asciiTheme="minorHAnsi" w:eastAsiaTheme="minorEastAsia" w:hAnsiTheme="minorHAnsi" w:cstheme="minorBidi"/>
            <w:i w:val="0"/>
            <w:kern w:val="2"/>
            <w:sz w:val="24"/>
            <w:szCs w:val="24"/>
            <w14:ligatures w14:val="standardContextual"/>
          </w:rPr>
          <w:tab/>
        </w:r>
        <w:r>
          <w:rPr>
            <w:rStyle w:val="Hyperlink"/>
          </w:rPr>
          <w:t>User Acceptance Testing Deployment Approval</w:t>
        </w:r>
        <w:r>
          <w:rPr>
            <w:webHidden/>
          </w:rPr>
          <w:tab/>
        </w:r>
        <w:r>
          <w:rPr>
            <w:webHidden/>
          </w:rPr>
          <w:fldChar w:fldCharType="begin"/>
        </w:r>
        <w:r>
          <w:rPr>
            <w:webHidden/>
          </w:rPr>
          <w:instrText xml:space="preserve"> PAGEREF _Toc233199140 \h </w:instrText>
        </w:r>
        <w:r>
          <w:rPr>
            <w:webHidden/>
          </w:rPr>
        </w:r>
        <w:r>
          <w:rPr>
            <w:webHidden/>
          </w:rPr>
          <w:fldChar w:fldCharType="separate"/>
        </w:r>
        <w:r>
          <w:rPr>
            <w:webHidden/>
          </w:rPr>
          <w:t>27</w:t>
        </w:r>
        <w:r>
          <w:rPr>
            <w:webHidden/>
          </w:rPr>
          <w:fldChar w:fldCharType="end"/>
        </w:r>
      </w:hyperlink>
    </w:p>
    <w:p w14:paraId="092E61A0" w14:textId="0E801E02"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41" w:history="1">
        <w:r>
          <w:rPr>
            <w:rStyle w:val="Hyperlink"/>
          </w:rPr>
          <w:t>SLA 17</w:t>
        </w:r>
        <w:r>
          <w:rPr>
            <w:rFonts w:asciiTheme="minorHAnsi" w:eastAsiaTheme="minorEastAsia" w:hAnsiTheme="minorHAnsi" w:cstheme="minorBidi"/>
            <w:i w:val="0"/>
            <w:kern w:val="2"/>
            <w:sz w:val="24"/>
            <w:szCs w:val="24"/>
            <w14:ligatures w14:val="standardContextual"/>
          </w:rPr>
          <w:tab/>
        </w:r>
        <w:r>
          <w:rPr>
            <w:rStyle w:val="Hyperlink"/>
          </w:rPr>
          <w:t>User Acceptance Testing Initiation and Solution Development Life Cycle Phase Compliance</w:t>
        </w:r>
        <w:r>
          <w:rPr>
            <w:webHidden/>
          </w:rPr>
          <w:tab/>
        </w:r>
        <w:r>
          <w:rPr>
            <w:webHidden/>
          </w:rPr>
          <w:fldChar w:fldCharType="begin"/>
        </w:r>
        <w:r>
          <w:rPr>
            <w:webHidden/>
          </w:rPr>
          <w:instrText xml:space="preserve"> PAGEREF _Toc233199141 \h </w:instrText>
        </w:r>
        <w:r>
          <w:rPr>
            <w:webHidden/>
          </w:rPr>
        </w:r>
        <w:r>
          <w:rPr>
            <w:webHidden/>
          </w:rPr>
          <w:fldChar w:fldCharType="separate"/>
        </w:r>
        <w:r>
          <w:rPr>
            <w:webHidden/>
          </w:rPr>
          <w:t>28</w:t>
        </w:r>
        <w:r>
          <w:rPr>
            <w:webHidden/>
          </w:rPr>
          <w:fldChar w:fldCharType="end"/>
        </w:r>
      </w:hyperlink>
    </w:p>
    <w:p w14:paraId="5363F457" w14:textId="390C593C"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42" w:history="1">
        <w:r>
          <w:rPr>
            <w:rStyle w:val="Hyperlink"/>
          </w:rPr>
          <w:t>SLA 18</w:t>
        </w:r>
        <w:r>
          <w:rPr>
            <w:rFonts w:asciiTheme="minorHAnsi" w:eastAsiaTheme="minorEastAsia" w:hAnsiTheme="minorHAnsi" w:cstheme="minorBidi"/>
            <w:i w:val="0"/>
            <w:kern w:val="2"/>
            <w:sz w:val="24"/>
            <w:szCs w:val="24"/>
            <w14:ligatures w14:val="standardContextual"/>
          </w:rPr>
          <w:tab/>
        </w:r>
        <w:r>
          <w:rPr>
            <w:rStyle w:val="Hyperlink"/>
          </w:rPr>
          <w:t>User Acceptance Testing Test Script Development and Review Timeliness</w:t>
        </w:r>
        <w:r>
          <w:rPr>
            <w:webHidden/>
          </w:rPr>
          <w:tab/>
        </w:r>
        <w:r>
          <w:rPr>
            <w:webHidden/>
          </w:rPr>
          <w:fldChar w:fldCharType="begin"/>
        </w:r>
        <w:r>
          <w:rPr>
            <w:webHidden/>
          </w:rPr>
          <w:instrText xml:space="preserve"> PAGEREF _Toc233199142 \h </w:instrText>
        </w:r>
        <w:r>
          <w:rPr>
            <w:webHidden/>
          </w:rPr>
        </w:r>
        <w:r>
          <w:rPr>
            <w:webHidden/>
          </w:rPr>
          <w:fldChar w:fldCharType="separate"/>
        </w:r>
        <w:r>
          <w:rPr>
            <w:webHidden/>
          </w:rPr>
          <w:t>29</w:t>
        </w:r>
        <w:r>
          <w:rPr>
            <w:webHidden/>
          </w:rPr>
          <w:fldChar w:fldCharType="end"/>
        </w:r>
      </w:hyperlink>
    </w:p>
    <w:p w14:paraId="3CA196CE" w14:textId="7D0F55C8"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43" w:history="1">
        <w:r>
          <w:rPr>
            <w:rStyle w:val="Hyperlink"/>
          </w:rPr>
          <w:t>SLA 19</w:t>
        </w:r>
        <w:r>
          <w:rPr>
            <w:rFonts w:asciiTheme="minorHAnsi" w:eastAsiaTheme="minorEastAsia" w:hAnsiTheme="minorHAnsi" w:cstheme="minorBidi"/>
            <w:i w:val="0"/>
            <w:kern w:val="2"/>
            <w:sz w:val="24"/>
            <w:szCs w:val="24"/>
            <w14:ligatures w14:val="standardContextual"/>
          </w:rPr>
          <w:tab/>
        </w:r>
        <w:r>
          <w:rPr>
            <w:rStyle w:val="Hyperlink"/>
          </w:rPr>
          <w:t>User Acceptance Testing Data Seeding Timeliness and Quality</w:t>
        </w:r>
        <w:r>
          <w:rPr>
            <w:webHidden/>
          </w:rPr>
          <w:tab/>
        </w:r>
        <w:r>
          <w:rPr>
            <w:webHidden/>
          </w:rPr>
          <w:fldChar w:fldCharType="begin"/>
        </w:r>
        <w:r>
          <w:rPr>
            <w:webHidden/>
          </w:rPr>
          <w:instrText xml:space="preserve"> PAGEREF _Toc233199143 \h </w:instrText>
        </w:r>
        <w:r>
          <w:rPr>
            <w:webHidden/>
          </w:rPr>
        </w:r>
        <w:r>
          <w:rPr>
            <w:webHidden/>
          </w:rPr>
          <w:fldChar w:fldCharType="separate"/>
        </w:r>
        <w:r>
          <w:rPr>
            <w:webHidden/>
          </w:rPr>
          <w:t>30</w:t>
        </w:r>
        <w:r>
          <w:rPr>
            <w:webHidden/>
          </w:rPr>
          <w:fldChar w:fldCharType="end"/>
        </w:r>
      </w:hyperlink>
    </w:p>
    <w:p w14:paraId="1E233794" w14:textId="4A4D48AF"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44" w:history="1">
        <w:r>
          <w:rPr>
            <w:rStyle w:val="Hyperlink"/>
          </w:rPr>
          <w:t>SLA 20</w:t>
        </w:r>
        <w:r>
          <w:rPr>
            <w:rFonts w:asciiTheme="minorHAnsi" w:eastAsiaTheme="minorEastAsia" w:hAnsiTheme="minorHAnsi" w:cstheme="minorBidi"/>
            <w:i w:val="0"/>
            <w:kern w:val="2"/>
            <w:sz w:val="24"/>
            <w:szCs w:val="24"/>
            <w14:ligatures w14:val="standardContextual"/>
          </w:rPr>
          <w:tab/>
        </w:r>
        <w:r>
          <w:rPr>
            <w:rStyle w:val="Hyperlink"/>
          </w:rPr>
          <w:t>User Acceptance Testing Scope and Change Control</w:t>
        </w:r>
        <w:r>
          <w:rPr>
            <w:webHidden/>
          </w:rPr>
          <w:tab/>
        </w:r>
        <w:r>
          <w:rPr>
            <w:webHidden/>
          </w:rPr>
          <w:fldChar w:fldCharType="begin"/>
        </w:r>
        <w:r>
          <w:rPr>
            <w:webHidden/>
          </w:rPr>
          <w:instrText xml:space="preserve"> PAGEREF _Toc233199144 \h </w:instrText>
        </w:r>
        <w:r>
          <w:rPr>
            <w:webHidden/>
          </w:rPr>
        </w:r>
        <w:r>
          <w:rPr>
            <w:webHidden/>
          </w:rPr>
          <w:fldChar w:fldCharType="separate"/>
        </w:r>
        <w:r>
          <w:rPr>
            <w:webHidden/>
          </w:rPr>
          <w:t>31</w:t>
        </w:r>
        <w:r>
          <w:rPr>
            <w:webHidden/>
          </w:rPr>
          <w:fldChar w:fldCharType="end"/>
        </w:r>
      </w:hyperlink>
    </w:p>
    <w:p w14:paraId="4817DAF8" w14:textId="616F0942"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45" w:history="1">
        <w:r>
          <w:rPr>
            <w:rStyle w:val="Hyperlink"/>
          </w:rPr>
          <w:t>SLA 21</w:t>
        </w:r>
        <w:r>
          <w:rPr>
            <w:rFonts w:asciiTheme="minorHAnsi" w:eastAsiaTheme="minorEastAsia" w:hAnsiTheme="minorHAnsi" w:cstheme="minorBidi"/>
            <w:i w:val="0"/>
            <w:kern w:val="2"/>
            <w:sz w:val="24"/>
            <w:szCs w:val="24"/>
            <w14:ligatures w14:val="standardContextual"/>
          </w:rPr>
          <w:tab/>
        </w:r>
        <w:r>
          <w:rPr>
            <w:rStyle w:val="Hyperlink"/>
          </w:rPr>
          <w:t>User Acceptance Testing and Maintenance and Operations Testing Failure Rate and Resolution</w:t>
        </w:r>
        <w:r>
          <w:rPr>
            <w:webHidden/>
          </w:rPr>
          <w:tab/>
        </w:r>
        <w:r>
          <w:rPr>
            <w:webHidden/>
          </w:rPr>
          <w:fldChar w:fldCharType="begin"/>
        </w:r>
        <w:r>
          <w:rPr>
            <w:webHidden/>
          </w:rPr>
          <w:instrText xml:space="preserve"> PAGEREF _Toc233199145 \h </w:instrText>
        </w:r>
        <w:r>
          <w:rPr>
            <w:webHidden/>
          </w:rPr>
        </w:r>
        <w:r>
          <w:rPr>
            <w:webHidden/>
          </w:rPr>
          <w:fldChar w:fldCharType="separate"/>
        </w:r>
        <w:r>
          <w:rPr>
            <w:webHidden/>
          </w:rPr>
          <w:t>32</w:t>
        </w:r>
        <w:r>
          <w:rPr>
            <w:webHidden/>
          </w:rPr>
          <w:fldChar w:fldCharType="end"/>
        </w:r>
      </w:hyperlink>
    </w:p>
    <w:p w14:paraId="56382A65" w14:textId="03867B25"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46" w:history="1">
        <w:r>
          <w:rPr>
            <w:rStyle w:val="Hyperlink"/>
          </w:rPr>
          <w:t>SLA 22</w:t>
        </w:r>
        <w:r>
          <w:rPr>
            <w:rFonts w:asciiTheme="minorHAnsi" w:eastAsiaTheme="minorEastAsia" w:hAnsiTheme="minorHAnsi" w:cstheme="minorBidi"/>
            <w:i w:val="0"/>
            <w:kern w:val="2"/>
            <w:sz w:val="24"/>
            <w:szCs w:val="24"/>
            <w14:ligatures w14:val="standardContextual"/>
          </w:rPr>
          <w:tab/>
        </w:r>
        <w:r>
          <w:rPr>
            <w:rStyle w:val="Hyperlink"/>
          </w:rPr>
          <w:t>Automated Test Coverage</w:t>
        </w:r>
        <w:r>
          <w:rPr>
            <w:webHidden/>
          </w:rPr>
          <w:tab/>
        </w:r>
        <w:r>
          <w:rPr>
            <w:webHidden/>
          </w:rPr>
          <w:fldChar w:fldCharType="begin"/>
        </w:r>
        <w:r>
          <w:rPr>
            <w:webHidden/>
          </w:rPr>
          <w:instrText xml:space="preserve"> PAGEREF _Toc233199146 \h </w:instrText>
        </w:r>
        <w:r>
          <w:rPr>
            <w:webHidden/>
          </w:rPr>
        </w:r>
        <w:r>
          <w:rPr>
            <w:webHidden/>
          </w:rPr>
          <w:fldChar w:fldCharType="separate"/>
        </w:r>
        <w:r>
          <w:rPr>
            <w:webHidden/>
          </w:rPr>
          <w:t>33</w:t>
        </w:r>
        <w:r>
          <w:rPr>
            <w:webHidden/>
          </w:rPr>
          <w:fldChar w:fldCharType="end"/>
        </w:r>
      </w:hyperlink>
    </w:p>
    <w:p w14:paraId="43BF376A" w14:textId="781F6567"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47" w:history="1">
        <w:r>
          <w:rPr>
            <w:rStyle w:val="Hyperlink"/>
          </w:rPr>
          <w:t>SLA 23</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Production Environment Deployment</w:t>
        </w:r>
        <w:r>
          <w:rPr>
            <w:webHidden/>
          </w:rPr>
          <w:tab/>
        </w:r>
        <w:r>
          <w:rPr>
            <w:webHidden/>
          </w:rPr>
          <w:fldChar w:fldCharType="begin"/>
        </w:r>
        <w:r>
          <w:rPr>
            <w:webHidden/>
          </w:rPr>
          <w:instrText xml:space="preserve"> PAGEREF _Toc233199147 \h </w:instrText>
        </w:r>
        <w:r>
          <w:rPr>
            <w:webHidden/>
          </w:rPr>
        </w:r>
        <w:r>
          <w:rPr>
            <w:webHidden/>
          </w:rPr>
          <w:fldChar w:fldCharType="separate"/>
        </w:r>
        <w:r>
          <w:rPr>
            <w:webHidden/>
          </w:rPr>
          <w:t>35</w:t>
        </w:r>
        <w:r>
          <w:rPr>
            <w:webHidden/>
          </w:rPr>
          <w:fldChar w:fldCharType="end"/>
        </w:r>
      </w:hyperlink>
    </w:p>
    <w:p w14:paraId="19BDA55E" w14:textId="04E853FF"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48" w:history="1">
        <w:r>
          <w:rPr>
            <w:rStyle w:val="Hyperlink"/>
          </w:rPr>
          <w:t>SLA 24</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User Acceptance Testing Environment Deployment</w:t>
        </w:r>
        <w:r>
          <w:rPr>
            <w:webHidden/>
          </w:rPr>
          <w:tab/>
        </w:r>
        <w:r>
          <w:rPr>
            <w:webHidden/>
          </w:rPr>
          <w:fldChar w:fldCharType="begin"/>
        </w:r>
        <w:r>
          <w:rPr>
            <w:webHidden/>
          </w:rPr>
          <w:instrText xml:space="preserve"> PAGEREF _Toc233199148 \h </w:instrText>
        </w:r>
        <w:r>
          <w:rPr>
            <w:webHidden/>
          </w:rPr>
        </w:r>
        <w:r>
          <w:rPr>
            <w:webHidden/>
          </w:rPr>
          <w:fldChar w:fldCharType="separate"/>
        </w:r>
        <w:r>
          <w:rPr>
            <w:webHidden/>
          </w:rPr>
          <w:t>36</w:t>
        </w:r>
        <w:r>
          <w:rPr>
            <w:webHidden/>
          </w:rPr>
          <w:fldChar w:fldCharType="end"/>
        </w:r>
      </w:hyperlink>
    </w:p>
    <w:p w14:paraId="1B7DC20B" w14:textId="592469E3"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49" w:history="1">
        <w:r>
          <w:rPr>
            <w:rStyle w:val="Hyperlink"/>
          </w:rPr>
          <w:t>SLA 25</w:t>
        </w:r>
        <w:r>
          <w:rPr>
            <w:rFonts w:asciiTheme="minorHAnsi" w:eastAsiaTheme="minorEastAsia" w:hAnsiTheme="minorHAnsi" w:cstheme="minorBidi"/>
            <w:i w:val="0"/>
            <w:kern w:val="2"/>
            <w:sz w:val="24"/>
            <w:szCs w:val="24"/>
            <w14:ligatures w14:val="standardContextual"/>
          </w:rPr>
          <w:tab/>
        </w:r>
        <w:r>
          <w:rPr>
            <w:rStyle w:val="Hyperlink"/>
          </w:rPr>
          <w:t>Requirements Management</w:t>
        </w:r>
        <w:r>
          <w:rPr>
            <w:webHidden/>
          </w:rPr>
          <w:tab/>
        </w:r>
        <w:r>
          <w:rPr>
            <w:webHidden/>
          </w:rPr>
          <w:fldChar w:fldCharType="begin"/>
        </w:r>
        <w:r>
          <w:rPr>
            <w:webHidden/>
          </w:rPr>
          <w:instrText xml:space="preserve"> PAGEREF _Toc233199149 \h </w:instrText>
        </w:r>
        <w:r>
          <w:rPr>
            <w:webHidden/>
          </w:rPr>
        </w:r>
        <w:r>
          <w:rPr>
            <w:webHidden/>
          </w:rPr>
          <w:fldChar w:fldCharType="separate"/>
        </w:r>
        <w:r>
          <w:rPr>
            <w:webHidden/>
          </w:rPr>
          <w:t>37</w:t>
        </w:r>
        <w:r>
          <w:rPr>
            <w:webHidden/>
          </w:rPr>
          <w:fldChar w:fldCharType="end"/>
        </w:r>
      </w:hyperlink>
    </w:p>
    <w:p w14:paraId="4289F0FE" w14:textId="25BE7E0E"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50" w:history="1">
        <w:r>
          <w:rPr>
            <w:rStyle w:val="Hyperlink"/>
          </w:rPr>
          <w:t>SLA 26</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Environment Schedule</w:t>
        </w:r>
        <w:r>
          <w:rPr>
            <w:webHidden/>
          </w:rPr>
          <w:tab/>
        </w:r>
        <w:r>
          <w:rPr>
            <w:webHidden/>
          </w:rPr>
          <w:fldChar w:fldCharType="begin"/>
        </w:r>
        <w:r>
          <w:rPr>
            <w:webHidden/>
          </w:rPr>
          <w:instrText xml:space="preserve"> PAGEREF _Toc233199150 \h </w:instrText>
        </w:r>
        <w:r>
          <w:rPr>
            <w:webHidden/>
          </w:rPr>
        </w:r>
        <w:r>
          <w:rPr>
            <w:webHidden/>
          </w:rPr>
          <w:fldChar w:fldCharType="separate"/>
        </w:r>
        <w:r>
          <w:rPr>
            <w:webHidden/>
          </w:rPr>
          <w:t>39</w:t>
        </w:r>
        <w:r>
          <w:rPr>
            <w:webHidden/>
          </w:rPr>
          <w:fldChar w:fldCharType="end"/>
        </w:r>
      </w:hyperlink>
    </w:p>
    <w:p w14:paraId="40EF27AD" w14:textId="6A670437"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51" w:history="1">
        <w:r>
          <w:rPr>
            <w:rStyle w:val="Hyperlink"/>
          </w:rPr>
          <w:t>SLA 27</w:t>
        </w:r>
        <w:r>
          <w:rPr>
            <w:rFonts w:asciiTheme="minorHAnsi" w:eastAsiaTheme="minorEastAsia" w:hAnsiTheme="minorHAnsi" w:cstheme="minorBidi"/>
            <w:i w:val="0"/>
            <w:kern w:val="2"/>
            <w:sz w:val="24"/>
            <w:szCs w:val="24"/>
            <w14:ligatures w14:val="standardContextual"/>
          </w:rPr>
          <w:tab/>
        </w:r>
        <w:r>
          <w:rPr>
            <w:rStyle w:val="Hyperlink"/>
          </w:rPr>
          <w:t>Go-Live Deadline</w:t>
        </w:r>
        <w:r>
          <w:rPr>
            <w:webHidden/>
          </w:rPr>
          <w:tab/>
        </w:r>
        <w:r>
          <w:rPr>
            <w:webHidden/>
          </w:rPr>
          <w:fldChar w:fldCharType="begin"/>
        </w:r>
        <w:r>
          <w:rPr>
            <w:webHidden/>
          </w:rPr>
          <w:instrText xml:space="preserve"> PAGEREF _Toc233199151 \h </w:instrText>
        </w:r>
        <w:r>
          <w:rPr>
            <w:webHidden/>
          </w:rPr>
        </w:r>
        <w:r>
          <w:rPr>
            <w:webHidden/>
          </w:rPr>
          <w:fldChar w:fldCharType="separate"/>
        </w:r>
        <w:r>
          <w:rPr>
            <w:webHidden/>
          </w:rPr>
          <w:t>40</w:t>
        </w:r>
        <w:r>
          <w:rPr>
            <w:webHidden/>
          </w:rPr>
          <w:fldChar w:fldCharType="end"/>
        </w:r>
      </w:hyperlink>
    </w:p>
    <w:p w14:paraId="31D1E4CD" w14:textId="294F1ADE"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52" w:history="1">
        <w:r>
          <w:rPr>
            <w:rStyle w:val="Hyperlink"/>
          </w:rPr>
          <w:t>SLA 28</w:t>
        </w:r>
        <w:r>
          <w:rPr>
            <w:rFonts w:asciiTheme="minorHAnsi" w:eastAsiaTheme="minorEastAsia" w:hAnsiTheme="minorHAnsi" w:cstheme="minorBidi"/>
            <w:i w:val="0"/>
            <w:kern w:val="2"/>
            <w:sz w:val="24"/>
            <w:szCs w:val="24"/>
            <w14:ligatures w14:val="standardContextual"/>
          </w:rPr>
          <w:tab/>
        </w:r>
        <w:r>
          <w:rPr>
            <w:rStyle w:val="Hyperlink"/>
          </w:rPr>
          <w:t>Open Enrollment 2030 Readiness</w:t>
        </w:r>
        <w:r>
          <w:rPr>
            <w:webHidden/>
          </w:rPr>
          <w:tab/>
        </w:r>
        <w:r>
          <w:rPr>
            <w:webHidden/>
          </w:rPr>
          <w:fldChar w:fldCharType="begin"/>
        </w:r>
        <w:r>
          <w:rPr>
            <w:webHidden/>
          </w:rPr>
          <w:instrText xml:space="preserve"> PAGEREF _Toc233199152 \h </w:instrText>
        </w:r>
        <w:r>
          <w:rPr>
            <w:webHidden/>
          </w:rPr>
        </w:r>
        <w:r>
          <w:rPr>
            <w:webHidden/>
          </w:rPr>
          <w:fldChar w:fldCharType="separate"/>
        </w:r>
        <w:r>
          <w:rPr>
            <w:webHidden/>
          </w:rPr>
          <w:t>42</w:t>
        </w:r>
        <w:r>
          <w:rPr>
            <w:webHidden/>
          </w:rPr>
          <w:fldChar w:fldCharType="end"/>
        </w:r>
      </w:hyperlink>
    </w:p>
    <w:p w14:paraId="5C4354DA" w14:textId="0A7D2CCF" w:rsidR="00F957DD" w:rsidRDefault="00F957DD">
      <w:pPr>
        <w:pStyle w:val="TOC2"/>
        <w:tabs>
          <w:tab w:val="left" w:pos="1980"/>
        </w:tabs>
        <w:rPr>
          <w:rFonts w:asciiTheme="minorHAnsi" w:eastAsiaTheme="minorEastAsia" w:hAnsiTheme="minorHAnsi" w:cstheme="minorBidi"/>
          <w:kern w:val="2"/>
          <w:sz w:val="24"/>
          <w:szCs w:val="24"/>
          <w14:ligatures w14:val="standardContextual"/>
        </w:rPr>
      </w:pPr>
      <w:hyperlink w:anchor="_Toc233199153" w:history="1">
        <w:r>
          <w:rPr>
            <w:rStyle w:val="Hyperlink"/>
          </w:rPr>
          <w:t>2.2</w:t>
        </w:r>
        <w:r>
          <w:rPr>
            <w:rFonts w:asciiTheme="minorHAnsi" w:eastAsiaTheme="minorEastAsia" w:hAnsiTheme="minorHAnsi" w:cstheme="minorBidi"/>
            <w:kern w:val="2"/>
            <w:sz w:val="24"/>
            <w:szCs w:val="24"/>
            <w14:ligatures w14:val="standardContextual"/>
          </w:rPr>
          <w:tab/>
        </w:r>
        <w:r>
          <w:rPr>
            <w:rStyle w:val="Hyperlink"/>
          </w:rPr>
          <w:t>Compliance and Legal</w:t>
        </w:r>
        <w:r>
          <w:rPr>
            <w:webHidden/>
          </w:rPr>
          <w:tab/>
        </w:r>
        <w:r>
          <w:rPr>
            <w:webHidden/>
          </w:rPr>
          <w:fldChar w:fldCharType="begin"/>
        </w:r>
        <w:r>
          <w:rPr>
            <w:webHidden/>
          </w:rPr>
          <w:instrText xml:space="preserve"> PAGEREF _Toc233199153 \h </w:instrText>
        </w:r>
        <w:r>
          <w:rPr>
            <w:webHidden/>
          </w:rPr>
        </w:r>
        <w:r>
          <w:rPr>
            <w:webHidden/>
          </w:rPr>
          <w:fldChar w:fldCharType="separate"/>
        </w:r>
        <w:r>
          <w:rPr>
            <w:webHidden/>
          </w:rPr>
          <w:t>44</w:t>
        </w:r>
        <w:r>
          <w:rPr>
            <w:webHidden/>
          </w:rPr>
          <w:fldChar w:fldCharType="end"/>
        </w:r>
      </w:hyperlink>
    </w:p>
    <w:p w14:paraId="1E1B1ADF" w14:textId="6EF71B38"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54" w:history="1">
        <w:r>
          <w:rPr>
            <w:rStyle w:val="Hyperlink"/>
          </w:rPr>
          <w:t>SLA 29</w:t>
        </w:r>
        <w:r>
          <w:rPr>
            <w:rFonts w:asciiTheme="minorHAnsi" w:eastAsiaTheme="minorEastAsia" w:hAnsiTheme="minorHAnsi" w:cstheme="minorBidi"/>
            <w:i w:val="0"/>
            <w:kern w:val="2"/>
            <w:sz w:val="24"/>
            <w:szCs w:val="24"/>
            <w14:ligatures w14:val="standardContextual"/>
          </w:rPr>
          <w:tab/>
        </w:r>
        <w:r>
          <w:rPr>
            <w:rStyle w:val="Hyperlink"/>
          </w:rPr>
          <w:t>Timely and Accurate Invoicing</w:t>
        </w:r>
        <w:r>
          <w:rPr>
            <w:webHidden/>
          </w:rPr>
          <w:tab/>
        </w:r>
        <w:r>
          <w:rPr>
            <w:webHidden/>
          </w:rPr>
          <w:fldChar w:fldCharType="begin"/>
        </w:r>
        <w:r>
          <w:rPr>
            <w:webHidden/>
          </w:rPr>
          <w:instrText xml:space="preserve"> PAGEREF _Toc233199154 \h </w:instrText>
        </w:r>
        <w:r>
          <w:rPr>
            <w:webHidden/>
          </w:rPr>
        </w:r>
        <w:r>
          <w:rPr>
            <w:webHidden/>
          </w:rPr>
          <w:fldChar w:fldCharType="separate"/>
        </w:r>
        <w:r>
          <w:rPr>
            <w:webHidden/>
          </w:rPr>
          <w:t>44</w:t>
        </w:r>
        <w:r>
          <w:rPr>
            <w:webHidden/>
          </w:rPr>
          <w:fldChar w:fldCharType="end"/>
        </w:r>
      </w:hyperlink>
    </w:p>
    <w:p w14:paraId="10E2912A" w14:textId="4FDDF432"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55" w:history="1">
        <w:r>
          <w:rPr>
            <w:rStyle w:val="Hyperlink"/>
          </w:rPr>
          <w:t>SLA 30</w:t>
        </w:r>
        <w:r>
          <w:rPr>
            <w:rFonts w:asciiTheme="minorHAnsi" w:eastAsiaTheme="minorEastAsia" w:hAnsiTheme="minorHAnsi" w:cstheme="minorBidi"/>
            <w:i w:val="0"/>
            <w:kern w:val="2"/>
            <w:sz w:val="24"/>
            <w:szCs w:val="24"/>
            <w14:ligatures w14:val="standardContextual"/>
          </w:rPr>
          <w:tab/>
        </w:r>
        <w:r>
          <w:rPr>
            <w:rStyle w:val="Hyperlink"/>
          </w:rPr>
          <w:t>Budget and Cost Documentation Updates</w:t>
        </w:r>
        <w:r>
          <w:rPr>
            <w:webHidden/>
          </w:rPr>
          <w:tab/>
        </w:r>
        <w:r>
          <w:rPr>
            <w:webHidden/>
          </w:rPr>
          <w:fldChar w:fldCharType="begin"/>
        </w:r>
        <w:r>
          <w:rPr>
            <w:webHidden/>
          </w:rPr>
          <w:instrText xml:space="preserve"> PAGEREF _Toc233199155 \h </w:instrText>
        </w:r>
        <w:r>
          <w:rPr>
            <w:webHidden/>
          </w:rPr>
        </w:r>
        <w:r>
          <w:rPr>
            <w:webHidden/>
          </w:rPr>
          <w:fldChar w:fldCharType="separate"/>
        </w:r>
        <w:r>
          <w:rPr>
            <w:webHidden/>
          </w:rPr>
          <w:t>46</w:t>
        </w:r>
        <w:r>
          <w:rPr>
            <w:webHidden/>
          </w:rPr>
          <w:fldChar w:fldCharType="end"/>
        </w:r>
      </w:hyperlink>
    </w:p>
    <w:p w14:paraId="5EE7BBEB" w14:textId="164B1422"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56" w:history="1">
        <w:r>
          <w:rPr>
            <w:rStyle w:val="Hyperlink"/>
          </w:rPr>
          <w:t>SLA 31</w:t>
        </w:r>
        <w:r>
          <w:rPr>
            <w:rFonts w:asciiTheme="minorHAnsi" w:eastAsiaTheme="minorEastAsia" w:hAnsiTheme="minorHAnsi" w:cstheme="minorBidi"/>
            <w:i w:val="0"/>
            <w:kern w:val="2"/>
            <w:sz w:val="24"/>
            <w:szCs w:val="24"/>
            <w14:ligatures w14:val="standardContextual"/>
          </w:rPr>
          <w:tab/>
        </w:r>
        <w:r>
          <w:rPr>
            <w:rStyle w:val="Hyperlink"/>
          </w:rPr>
          <w:t>Quality Assurance and Independent Verification and Validation Compliance</w:t>
        </w:r>
        <w:r>
          <w:rPr>
            <w:webHidden/>
          </w:rPr>
          <w:tab/>
        </w:r>
        <w:r>
          <w:rPr>
            <w:webHidden/>
          </w:rPr>
          <w:fldChar w:fldCharType="begin"/>
        </w:r>
        <w:r>
          <w:rPr>
            <w:webHidden/>
          </w:rPr>
          <w:instrText xml:space="preserve"> PAGEREF _Toc233199156 \h </w:instrText>
        </w:r>
        <w:r>
          <w:rPr>
            <w:webHidden/>
          </w:rPr>
        </w:r>
        <w:r>
          <w:rPr>
            <w:webHidden/>
          </w:rPr>
          <w:fldChar w:fldCharType="separate"/>
        </w:r>
        <w:r>
          <w:rPr>
            <w:webHidden/>
          </w:rPr>
          <w:t>47</w:t>
        </w:r>
        <w:r>
          <w:rPr>
            <w:webHidden/>
          </w:rPr>
          <w:fldChar w:fldCharType="end"/>
        </w:r>
      </w:hyperlink>
    </w:p>
    <w:p w14:paraId="7B210108" w14:textId="6E31788F" w:rsidR="00F957DD" w:rsidRDefault="00F957DD">
      <w:pPr>
        <w:pStyle w:val="TOC2"/>
        <w:tabs>
          <w:tab w:val="left" w:pos="1980"/>
        </w:tabs>
        <w:rPr>
          <w:rFonts w:asciiTheme="minorHAnsi" w:eastAsiaTheme="minorEastAsia" w:hAnsiTheme="minorHAnsi" w:cstheme="minorBidi"/>
          <w:kern w:val="2"/>
          <w:sz w:val="24"/>
          <w:szCs w:val="24"/>
          <w14:ligatures w14:val="standardContextual"/>
        </w:rPr>
      </w:pPr>
      <w:hyperlink w:anchor="_Toc233199157" w:history="1">
        <w:r>
          <w:rPr>
            <w:rStyle w:val="Hyperlink"/>
          </w:rPr>
          <w:t>2.3</w:t>
        </w:r>
        <w:r>
          <w:rPr>
            <w:rFonts w:asciiTheme="minorHAnsi" w:eastAsiaTheme="minorEastAsia" w:hAnsiTheme="minorHAnsi" w:cstheme="minorBidi"/>
            <w:kern w:val="2"/>
            <w:sz w:val="24"/>
            <w:szCs w:val="24"/>
            <w14:ligatures w14:val="standardContextual"/>
          </w:rPr>
          <w:tab/>
        </w:r>
        <w:r>
          <w:rPr>
            <w:rStyle w:val="Hyperlink"/>
          </w:rPr>
          <w:t>Vendor Continuity</w:t>
        </w:r>
        <w:r>
          <w:rPr>
            <w:webHidden/>
          </w:rPr>
          <w:tab/>
        </w:r>
        <w:r>
          <w:rPr>
            <w:webHidden/>
          </w:rPr>
          <w:fldChar w:fldCharType="begin"/>
        </w:r>
        <w:r>
          <w:rPr>
            <w:webHidden/>
          </w:rPr>
          <w:instrText xml:space="preserve"> PAGEREF _Toc233199157 \h </w:instrText>
        </w:r>
        <w:r>
          <w:rPr>
            <w:webHidden/>
          </w:rPr>
        </w:r>
        <w:r>
          <w:rPr>
            <w:webHidden/>
          </w:rPr>
          <w:fldChar w:fldCharType="separate"/>
        </w:r>
        <w:r>
          <w:rPr>
            <w:webHidden/>
          </w:rPr>
          <w:t>48</w:t>
        </w:r>
        <w:r>
          <w:rPr>
            <w:webHidden/>
          </w:rPr>
          <w:fldChar w:fldCharType="end"/>
        </w:r>
      </w:hyperlink>
    </w:p>
    <w:p w14:paraId="3C3187DE" w14:textId="218F2393"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58" w:history="1">
        <w:r>
          <w:rPr>
            <w:rStyle w:val="Hyperlink"/>
          </w:rPr>
          <w:t>SLA 32</w:t>
        </w:r>
        <w:r>
          <w:rPr>
            <w:rFonts w:asciiTheme="minorHAnsi" w:eastAsiaTheme="minorEastAsia" w:hAnsiTheme="minorHAnsi" w:cstheme="minorBidi"/>
            <w:i w:val="0"/>
            <w:kern w:val="2"/>
            <w:sz w:val="24"/>
            <w:szCs w:val="24"/>
            <w14:ligatures w14:val="standardContextual"/>
          </w:rPr>
          <w:tab/>
        </w:r>
        <w:r>
          <w:rPr>
            <w:rStyle w:val="Hyperlink"/>
          </w:rPr>
          <w:t>Transition-In Knowledge Transfer Attendance</w:t>
        </w:r>
        <w:r>
          <w:rPr>
            <w:webHidden/>
          </w:rPr>
          <w:tab/>
        </w:r>
        <w:r>
          <w:rPr>
            <w:webHidden/>
          </w:rPr>
          <w:fldChar w:fldCharType="begin"/>
        </w:r>
        <w:r>
          <w:rPr>
            <w:webHidden/>
          </w:rPr>
          <w:instrText xml:space="preserve"> PAGEREF _Toc233199158 \h </w:instrText>
        </w:r>
        <w:r>
          <w:rPr>
            <w:webHidden/>
          </w:rPr>
        </w:r>
        <w:r>
          <w:rPr>
            <w:webHidden/>
          </w:rPr>
          <w:fldChar w:fldCharType="separate"/>
        </w:r>
        <w:r>
          <w:rPr>
            <w:webHidden/>
          </w:rPr>
          <w:t>48</w:t>
        </w:r>
        <w:r>
          <w:rPr>
            <w:webHidden/>
          </w:rPr>
          <w:fldChar w:fldCharType="end"/>
        </w:r>
      </w:hyperlink>
    </w:p>
    <w:p w14:paraId="53362225" w14:textId="44D1F1AE"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59" w:history="1">
        <w:r>
          <w:rPr>
            <w:rStyle w:val="Hyperlink"/>
          </w:rPr>
          <w:t>SLA 33</w:t>
        </w:r>
        <w:r>
          <w:rPr>
            <w:rFonts w:asciiTheme="minorHAnsi" w:eastAsiaTheme="minorEastAsia" w:hAnsiTheme="minorHAnsi" w:cstheme="minorBidi"/>
            <w:i w:val="0"/>
            <w:kern w:val="2"/>
            <w:sz w:val="24"/>
            <w:szCs w:val="24"/>
            <w14:ligatures w14:val="standardContextual"/>
          </w:rPr>
          <w:tab/>
        </w:r>
        <w:r>
          <w:rPr>
            <w:rStyle w:val="Hyperlink"/>
          </w:rPr>
          <w:t>Transition-In Duration</w:t>
        </w:r>
        <w:r>
          <w:rPr>
            <w:webHidden/>
          </w:rPr>
          <w:tab/>
        </w:r>
        <w:r>
          <w:rPr>
            <w:webHidden/>
          </w:rPr>
          <w:fldChar w:fldCharType="begin"/>
        </w:r>
        <w:r>
          <w:rPr>
            <w:webHidden/>
          </w:rPr>
          <w:instrText xml:space="preserve"> PAGEREF _Toc233199159 \h </w:instrText>
        </w:r>
        <w:r>
          <w:rPr>
            <w:webHidden/>
          </w:rPr>
        </w:r>
        <w:r>
          <w:rPr>
            <w:webHidden/>
          </w:rPr>
          <w:fldChar w:fldCharType="separate"/>
        </w:r>
        <w:r>
          <w:rPr>
            <w:webHidden/>
          </w:rPr>
          <w:t>50</w:t>
        </w:r>
        <w:r>
          <w:rPr>
            <w:webHidden/>
          </w:rPr>
          <w:fldChar w:fldCharType="end"/>
        </w:r>
      </w:hyperlink>
    </w:p>
    <w:p w14:paraId="5EC8BEC1" w14:textId="18E73695"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60" w:history="1">
        <w:r>
          <w:rPr>
            <w:rStyle w:val="Hyperlink"/>
          </w:rPr>
          <w:t>SLA 34</w:t>
        </w:r>
        <w:r>
          <w:rPr>
            <w:rFonts w:asciiTheme="minorHAnsi" w:eastAsiaTheme="minorEastAsia" w:hAnsiTheme="minorHAnsi" w:cstheme="minorBidi"/>
            <w:i w:val="0"/>
            <w:kern w:val="2"/>
            <w:sz w:val="24"/>
            <w:szCs w:val="24"/>
            <w14:ligatures w14:val="standardContextual"/>
          </w:rPr>
          <w:tab/>
        </w:r>
        <w:r>
          <w:rPr>
            <w:rStyle w:val="Hyperlink"/>
          </w:rPr>
          <w:t>Transition-In Staffing</w:t>
        </w:r>
        <w:r>
          <w:rPr>
            <w:webHidden/>
          </w:rPr>
          <w:tab/>
        </w:r>
        <w:r>
          <w:rPr>
            <w:webHidden/>
          </w:rPr>
          <w:fldChar w:fldCharType="begin"/>
        </w:r>
        <w:r>
          <w:rPr>
            <w:webHidden/>
          </w:rPr>
          <w:instrText xml:space="preserve"> PAGEREF _Toc233199160 \h </w:instrText>
        </w:r>
        <w:r>
          <w:rPr>
            <w:webHidden/>
          </w:rPr>
        </w:r>
        <w:r>
          <w:rPr>
            <w:webHidden/>
          </w:rPr>
          <w:fldChar w:fldCharType="separate"/>
        </w:r>
        <w:r>
          <w:rPr>
            <w:webHidden/>
          </w:rPr>
          <w:t>51</w:t>
        </w:r>
        <w:r>
          <w:rPr>
            <w:webHidden/>
          </w:rPr>
          <w:fldChar w:fldCharType="end"/>
        </w:r>
      </w:hyperlink>
    </w:p>
    <w:p w14:paraId="564ADFBB" w14:textId="378AD7BC"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61" w:history="1">
        <w:r>
          <w:rPr>
            <w:rStyle w:val="Hyperlink"/>
          </w:rPr>
          <w:t>SLA 35</w:t>
        </w:r>
        <w:r>
          <w:rPr>
            <w:rFonts w:asciiTheme="minorHAnsi" w:eastAsiaTheme="minorEastAsia" w:hAnsiTheme="minorHAnsi" w:cstheme="minorBidi"/>
            <w:i w:val="0"/>
            <w:kern w:val="2"/>
            <w:sz w:val="24"/>
            <w:szCs w:val="24"/>
            <w14:ligatures w14:val="standardContextual"/>
          </w:rPr>
          <w:tab/>
        </w:r>
        <w:r>
          <w:rPr>
            <w:rStyle w:val="Hyperlink"/>
          </w:rPr>
          <w:t>Transition-In Weekly Status Reporting</w:t>
        </w:r>
        <w:r>
          <w:rPr>
            <w:webHidden/>
          </w:rPr>
          <w:tab/>
        </w:r>
        <w:r>
          <w:rPr>
            <w:webHidden/>
          </w:rPr>
          <w:fldChar w:fldCharType="begin"/>
        </w:r>
        <w:r>
          <w:rPr>
            <w:webHidden/>
          </w:rPr>
          <w:instrText xml:space="preserve"> PAGEREF _Toc233199161 \h </w:instrText>
        </w:r>
        <w:r>
          <w:rPr>
            <w:webHidden/>
          </w:rPr>
        </w:r>
        <w:r>
          <w:rPr>
            <w:webHidden/>
          </w:rPr>
          <w:fldChar w:fldCharType="separate"/>
        </w:r>
        <w:r>
          <w:rPr>
            <w:webHidden/>
          </w:rPr>
          <w:t>52</w:t>
        </w:r>
        <w:r>
          <w:rPr>
            <w:webHidden/>
          </w:rPr>
          <w:fldChar w:fldCharType="end"/>
        </w:r>
      </w:hyperlink>
    </w:p>
    <w:p w14:paraId="1175FF2C" w14:textId="15EB89C5"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62" w:history="1">
        <w:r>
          <w:rPr>
            <w:rStyle w:val="Hyperlink"/>
          </w:rPr>
          <w:t>SLA 36</w:t>
        </w:r>
        <w:r>
          <w:rPr>
            <w:rFonts w:asciiTheme="minorHAnsi" w:eastAsiaTheme="minorEastAsia" w:hAnsiTheme="minorHAnsi" w:cstheme="minorBidi"/>
            <w:i w:val="0"/>
            <w:kern w:val="2"/>
            <w:sz w:val="24"/>
            <w:szCs w:val="24"/>
            <w14:ligatures w14:val="standardContextual"/>
          </w:rPr>
          <w:tab/>
        </w:r>
        <w:r>
          <w:rPr>
            <w:rStyle w:val="Hyperlink"/>
          </w:rPr>
          <w:t>Contract Closeout Plan Submission</w:t>
        </w:r>
        <w:r>
          <w:rPr>
            <w:webHidden/>
          </w:rPr>
          <w:tab/>
        </w:r>
        <w:r>
          <w:rPr>
            <w:webHidden/>
          </w:rPr>
          <w:fldChar w:fldCharType="begin"/>
        </w:r>
        <w:r>
          <w:rPr>
            <w:webHidden/>
          </w:rPr>
          <w:instrText xml:space="preserve"> PAGEREF _Toc233199162 \h </w:instrText>
        </w:r>
        <w:r>
          <w:rPr>
            <w:webHidden/>
          </w:rPr>
        </w:r>
        <w:r>
          <w:rPr>
            <w:webHidden/>
          </w:rPr>
          <w:fldChar w:fldCharType="separate"/>
        </w:r>
        <w:r>
          <w:rPr>
            <w:webHidden/>
          </w:rPr>
          <w:t>53</w:t>
        </w:r>
        <w:r>
          <w:rPr>
            <w:webHidden/>
          </w:rPr>
          <w:fldChar w:fldCharType="end"/>
        </w:r>
      </w:hyperlink>
    </w:p>
    <w:p w14:paraId="76CB0696" w14:textId="0ED1FEF7"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63" w:history="1">
        <w:r>
          <w:rPr>
            <w:rStyle w:val="Hyperlink"/>
          </w:rPr>
          <w:t>SLA 37</w:t>
        </w:r>
        <w:r>
          <w:rPr>
            <w:rFonts w:asciiTheme="minorHAnsi" w:eastAsiaTheme="minorEastAsia" w:hAnsiTheme="minorHAnsi" w:cstheme="minorBidi"/>
            <w:i w:val="0"/>
            <w:kern w:val="2"/>
            <w:sz w:val="24"/>
            <w:szCs w:val="24"/>
            <w14:ligatures w14:val="standardContextual"/>
          </w:rPr>
          <w:tab/>
        </w:r>
        <w:r>
          <w:rPr>
            <w:rStyle w:val="Hyperlink"/>
          </w:rPr>
          <w:t>Transition-Out Knowledge Transfer Scope Coverage</w:t>
        </w:r>
        <w:r>
          <w:rPr>
            <w:webHidden/>
          </w:rPr>
          <w:tab/>
        </w:r>
        <w:r>
          <w:rPr>
            <w:webHidden/>
          </w:rPr>
          <w:fldChar w:fldCharType="begin"/>
        </w:r>
        <w:r>
          <w:rPr>
            <w:webHidden/>
          </w:rPr>
          <w:instrText xml:space="preserve"> PAGEREF _Toc233199163 \h </w:instrText>
        </w:r>
        <w:r>
          <w:rPr>
            <w:webHidden/>
          </w:rPr>
        </w:r>
        <w:r>
          <w:rPr>
            <w:webHidden/>
          </w:rPr>
          <w:fldChar w:fldCharType="separate"/>
        </w:r>
        <w:r>
          <w:rPr>
            <w:webHidden/>
          </w:rPr>
          <w:t>55</w:t>
        </w:r>
        <w:r>
          <w:rPr>
            <w:webHidden/>
          </w:rPr>
          <w:fldChar w:fldCharType="end"/>
        </w:r>
      </w:hyperlink>
    </w:p>
    <w:p w14:paraId="65C88CE5" w14:textId="0B10A7CA"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64" w:history="1">
        <w:r>
          <w:rPr>
            <w:rStyle w:val="Hyperlink"/>
          </w:rPr>
          <w:t>SLA 38</w:t>
        </w:r>
        <w:r>
          <w:rPr>
            <w:rFonts w:asciiTheme="minorHAnsi" w:eastAsiaTheme="minorEastAsia" w:hAnsiTheme="minorHAnsi" w:cstheme="minorBidi"/>
            <w:i w:val="0"/>
            <w:kern w:val="2"/>
            <w:sz w:val="24"/>
            <w:szCs w:val="24"/>
            <w14:ligatures w14:val="standardContextual"/>
          </w:rPr>
          <w:tab/>
        </w:r>
        <w:r>
          <w:rPr>
            <w:rStyle w:val="Hyperlink"/>
          </w:rPr>
          <w:t>Transition-Out Knowledge Transfer Execution: Scheduling</w:t>
        </w:r>
        <w:r>
          <w:rPr>
            <w:webHidden/>
          </w:rPr>
          <w:tab/>
        </w:r>
        <w:r>
          <w:rPr>
            <w:webHidden/>
          </w:rPr>
          <w:fldChar w:fldCharType="begin"/>
        </w:r>
        <w:r>
          <w:rPr>
            <w:webHidden/>
          </w:rPr>
          <w:instrText xml:space="preserve"> PAGEREF _Toc233199164 \h </w:instrText>
        </w:r>
        <w:r>
          <w:rPr>
            <w:webHidden/>
          </w:rPr>
        </w:r>
        <w:r>
          <w:rPr>
            <w:webHidden/>
          </w:rPr>
          <w:fldChar w:fldCharType="separate"/>
        </w:r>
        <w:r>
          <w:rPr>
            <w:webHidden/>
          </w:rPr>
          <w:t>56</w:t>
        </w:r>
        <w:r>
          <w:rPr>
            <w:webHidden/>
          </w:rPr>
          <w:fldChar w:fldCharType="end"/>
        </w:r>
      </w:hyperlink>
    </w:p>
    <w:p w14:paraId="59D21651" w14:textId="72229C1F"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65" w:history="1">
        <w:r>
          <w:rPr>
            <w:rStyle w:val="Hyperlink"/>
          </w:rPr>
          <w:t>SLA 39</w:t>
        </w:r>
        <w:r>
          <w:rPr>
            <w:rFonts w:asciiTheme="minorHAnsi" w:eastAsiaTheme="minorEastAsia" w:hAnsiTheme="minorHAnsi" w:cstheme="minorBidi"/>
            <w:i w:val="0"/>
            <w:kern w:val="2"/>
            <w:sz w:val="24"/>
            <w:szCs w:val="24"/>
            <w14:ligatures w14:val="standardContextual"/>
          </w:rPr>
          <w:tab/>
        </w:r>
        <w:r>
          <w:rPr>
            <w:rStyle w:val="Hyperlink"/>
          </w:rPr>
          <w:t>Transition-Out Post-Cutover Assistance</w:t>
        </w:r>
        <w:r>
          <w:rPr>
            <w:webHidden/>
          </w:rPr>
          <w:tab/>
        </w:r>
        <w:r>
          <w:rPr>
            <w:webHidden/>
          </w:rPr>
          <w:fldChar w:fldCharType="begin"/>
        </w:r>
        <w:r>
          <w:rPr>
            <w:webHidden/>
          </w:rPr>
          <w:instrText xml:space="preserve"> PAGEREF _Toc233199165 \h </w:instrText>
        </w:r>
        <w:r>
          <w:rPr>
            <w:webHidden/>
          </w:rPr>
        </w:r>
        <w:r>
          <w:rPr>
            <w:webHidden/>
          </w:rPr>
          <w:fldChar w:fldCharType="separate"/>
        </w:r>
        <w:r>
          <w:rPr>
            <w:webHidden/>
          </w:rPr>
          <w:t>57</w:t>
        </w:r>
        <w:r>
          <w:rPr>
            <w:webHidden/>
          </w:rPr>
          <w:fldChar w:fldCharType="end"/>
        </w:r>
      </w:hyperlink>
    </w:p>
    <w:p w14:paraId="6BAEF531" w14:textId="1B9DA828"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66" w:history="1">
        <w:r>
          <w:rPr>
            <w:rStyle w:val="Hyperlink"/>
          </w:rPr>
          <w:t>SLA 40</w:t>
        </w:r>
        <w:r>
          <w:rPr>
            <w:rFonts w:asciiTheme="minorHAnsi" w:eastAsiaTheme="minorEastAsia" w:hAnsiTheme="minorHAnsi" w:cstheme="minorBidi"/>
            <w:i w:val="0"/>
            <w:kern w:val="2"/>
            <w:sz w:val="24"/>
            <w:szCs w:val="24"/>
            <w14:ligatures w14:val="standardContextual"/>
          </w:rPr>
          <w:tab/>
        </w:r>
        <w:r>
          <w:rPr>
            <w:rStyle w:val="Hyperlink"/>
          </w:rPr>
          <w:t>Transition-Out Duration</w:t>
        </w:r>
        <w:r>
          <w:rPr>
            <w:webHidden/>
          </w:rPr>
          <w:tab/>
        </w:r>
        <w:r>
          <w:rPr>
            <w:webHidden/>
          </w:rPr>
          <w:fldChar w:fldCharType="begin"/>
        </w:r>
        <w:r>
          <w:rPr>
            <w:webHidden/>
          </w:rPr>
          <w:instrText xml:space="preserve"> PAGEREF _Toc233199166 \h </w:instrText>
        </w:r>
        <w:r>
          <w:rPr>
            <w:webHidden/>
          </w:rPr>
        </w:r>
        <w:r>
          <w:rPr>
            <w:webHidden/>
          </w:rPr>
          <w:fldChar w:fldCharType="separate"/>
        </w:r>
        <w:r>
          <w:rPr>
            <w:webHidden/>
          </w:rPr>
          <w:t>58</w:t>
        </w:r>
        <w:r>
          <w:rPr>
            <w:webHidden/>
          </w:rPr>
          <w:fldChar w:fldCharType="end"/>
        </w:r>
      </w:hyperlink>
    </w:p>
    <w:p w14:paraId="32015BDA" w14:textId="22AA5530"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67" w:history="1">
        <w:r>
          <w:rPr>
            <w:rStyle w:val="Hyperlink"/>
          </w:rPr>
          <w:t>SLA 41</w:t>
        </w:r>
        <w:r>
          <w:rPr>
            <w:rFonts w:asciiTheme="minorHAnsi" w:eastAsiaTheme="minorEastAsia" w:hAnsiTheme="minorHAnsi" w:cstheme="minorBidi"/>
            <w:i w:val="0"/>
            <w:kern w:val="2"/>
            <w:sz w:val="24"/>
            <w:szCs w:val="24"/>
            <w14:ligatures w14:val="standardContextual"/>
          </w:rPr>
          <w:tab/>
        </w:r>
        <w:r>
          <w:rPr>
            <w:rStyle w:val="Hyperlink"/>
          </w:rPr>
          <w:t>Transition-Out Knowledge Transfer Artifacts</w:t>
        </w:r>
        <w:r>
          <w:rPr>
            <w:webHidden/>
          </w:rPr>
          <w:tab/>
        </w:r>
        <w:r>
          <w:rPr>
            <w:webHidden/>
          </w:rPr>
          <w:fldChar w:fldCharType="begin"/>
        </w:r>
        <w:r>
          <w:rPr>
            <w:webHidden/>
          </w:rPr>
          <w:instrText xml:space="preserve"> PAGEREF _Toc233199167 \h </w:instrText>
        </w:r>
        <w:r>
          <w:rPr>
            <w:webHidden/>
          </w:rPr>
        </w:r>
        <w:r>
          <w:rPr>
            <w:webHidden/>
          </w:rPr>
          <w:fldChar w:fldCharType="separate"/>
        </w:r>
        <w:r>
          <w:rPr>
            <w:webHidden/>
          </w:rPr>
          <w:t>60</w:t>
        </w:r>
        <w:r>
          <w:rPr>
            <w:webHidden/>
          </w:rPr>
          <w:fldChar w:fldCharType="end"/>
        </w:r>
      </w:hyperlink>
    </w:p>
    <w:p w14:paraId="792D8831" w14:textId="4888D623"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68" w:history="1">
        <w:r>
          <w:rPr>
            <w:rStyle w:val="Hyperlink"/>
          </w:rPr>
          <w:t>SLA 42</w:t>
        </w:r>
        <w:r>
          <w:rPr>
            <w:rFonts w:asciiTheme="minorHAnsi" w:eastAsiaTheme="minorEastAsia" w:hAnsiTheme="minorHAnsi" w:cstheme="minorBidi"/>
            <w:i w:val="0"/>
            <w:kern w:val="2"/>
            <w:sz w:val="24"/>
            <w:szCs w:val="24"/>
            <w14:ligatures w14:val="standardContextual"/>
          </w:rPr>
          <w:tab/>
        </w:r>
        <w:r>
          <w:rPr>
            <w:rStyle w:val="Hyperlink"/>
          </w:rPr>
          <w:t>Transition-Out Weekly and Monthly Reporting</w:t>
        </w:r>
        <w:r>
          <w:rPr>
            <w:webHidden/>
          </w:rPr>
          <w:tab/>
        </w:r>
        <w:r>
          <w:rPr>
            <w:webHidden/>
          </w:rPr>
          <w:fldChar w:fldCharType="begin"/>
        </w:r>
        <w:r>
          <w:rPr>
            <w:webHidden/>
          </w:rPr>
          <w:instrText xml:space="preserve"> PAGEREF _Toc233199168 \h </w:instrText>
        </w:r>
        <w:r>
          <w:rPr>
            <w:webHidden/>
          </w:rPr>
        </w:r>
        <w:r>
          <w:rPr>
            <w:webHidden/>
          </w:rPr>
          <w:fldChar w:fldCharType="separate"/>
        </w:r>
        <w:r>
          <w:rPr>
            <w:webHidden/>
          </w:rPr>
          <w:t>61</w:t>
        </w:r>
        <w:r>
          <w:rPr>
            <w:webHidden/>
          </w:rPr>
          <w:fldChar w:fldCharType="end"/>
        </w:r>
      </w:hyperlink>
    </w:p>
    <w:p w14:paraId="62CEC360" w14:textId="43E0D530"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69" w:history="1">
        <w:r>
          <w:rPr>
            <w:rStyle w:val="Hyperlink"/>
          </w:rPr>
          <w:t>SLA 43</w:t>
        </w:r>
        <w:r>
          <w:rPr>
            <w:rFonts w:asciiTheme="minorHAnsi" w:eastAsiaTheme="minorEastAsia" w:hAnsiTheme="minorHAnsi" w:cstheme="minorBidi"/>
            <w:i w:val="0"/>
            <w:kern w:val="2"/>
            <w:sz w:val="24"/>
            <w:szCs w:val="24"/>
            <w14:ligatures w14:val="standardContextual"/>
          </w:rPr>
          <w:tab/>
        </w:r>
        <w:r>
          <w:rPr>
            <w:rStyle w:val="Hyperlink"/>
          </w:rPr>
          <w:t>Transition-Out Monthly Status Meetings</w:t>
        </w:r>
        <w:r>
          <w:rPr>
            <w:webHidden/>
          </w:rPr>
          <w:tab/>
        </w:r>
        <w:r>
          <w:rPr>
            <w:webHidden/>
          </w:rPr>
          <w:fldChar w:fldCharType="begin"/>
        </w:r>
        <w:r>
          <w:rPr>
            <w:webHidden/>
          </w:rPr>
          <w:instrText xml:space="preserve"> PAGEREF _Toc233199169 \h </w:instrText>
        </w:r>
        <w:r>
          <w:rPr>
            <w:webHidden/>
          </w:rPr>
        </w:r>
        <w:r>
          <w:rPr>
            <w:webHidden/>
          </w:rPr>
          <w:fldChar w:fldCharType="separate"/>
        </w:r>
        <w:r>
          <w:rPr>
            <w:webHidden/>
          </w:rPr>
          <w:t>62</w:t>
        </w:r>
        <w:r>
          <w:rPr>
            <w:webHidden/>
          </w:rPr>
          <w:fldChar w:fldCharType="end"/>
        </w:r>
      </w:hyperlink>
    </w:p>
    <w:p w14:paraId="312A1237" w14:textId="20565F9F"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70" w:history="1">
        <w:r>
          <w:rPr>
            <w:rStyle w:val="Hyperlink"/>
          </w:rPr>
          <w:t>SLA 44</w:t>
        </w:r>
        <w:r>
          <w:rPr>
            <w:rFonts w:asciiTheme="minorHAnsi" w:eastAsiaTheme="minorEastAsia" w:hAnsiTheme="minorHAnsi" w:cstheme="minorBidi"/>
            <w:i w:val="0"/>
            <w:kern w:val="2"/>
            <w:sz w:val="24"/>
            <w:szCs w:val="24"/>
            <w14:ligatures w14:val="standardContextual"/>
          </w:rPr>
          <w:tab/>
        </w:r>
        <w:r>
          <w:rPr>
            <w:rStyle w:val="Hyperlink"/>
          </w:rPr>
          <w:t>Transition-Out Training and Transition-Out Training and Knowledge Transfer Plan Submission</w:t>
        </w:r>
        <w:r>
          <w:rPr>
            <w:webHidden/>
          </w:rPr>
          <w:tab/>
        </w:r>
        <w:r>
          <w:rPr>
            <w:webHidden/>
          </w:rPr>
          <w:fldChar w:fldCharType="begin"/>
        </w:r>
        <w:r>
          <w:rPr>
            <w:webHidden/>
          </w:rPr>
          <w:instrText xml:space="preserve"> PAGEREF _Toc233199170 \h </w:instrText>
        </w:r>
        <w:r>
          <w:rPr>
            <w:webHidden/>
          </w:rPr>
        </w:r>
        <w:r>
          <w:rPr>
            <w:webHidden/>
          </w:rPr>
          <w:fldChar w:fldCharType="separate"/>
        </w:r>
        <w:r>
          <w:rPr>
            <w:webHidden/>
          </w:rPr>
          <w:t>63</w:t>
        </w:r>
        <w:r>
          <w:rPr>
            <w:webHidden/>
          </w:rPr>
          <w:fldChar w:fldCharType="end"/>
        </w:r>
      </w:hyperlink>
    </w:p>
    <w:p w14:paraId="3609A7BD" w14:textId="6D4A0CF7"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71" w:history="1">
        <w:r>
          <w:rPr>
            <w:rStyle w:val="Hyperlink"/>
          </w:rPr>
          <w:t>SLA 45</w:t>
        </w:r>
        <w:r>
          <w:rPr>
            <w:rFonts w:asciiTheme="minorHAnsi" w:eastAsiaTheme="minorEastAsia" w:hAnsiTheme="minorHAnsi" w:cstheme="minorBidi"/>
            <w:i w:val="0"/>
            <w:kern w:val="2"/>
            <w:sz w:val="24"/>
            <w:szCs w:val="24"/>
            <w14:ligatures w14:val="standardContextual"/>
          </w:rPr>
          <w:tab/>
        </w:r>
        <w:r>
          <w:rPr>
            <w:rStyle w:val="Hyperlink"/>
          </w:rPr>
          <w:t>Transition Out Training and Knowledge Transfer Plan Completion</w:t>
        </w:r>
        <w:r>
          <w:rPr>
            <w:webHidden/>
          </w:rPr>
          <w:tab/>
        </w:r>
        <w:r>
          <w:rPr>
            <w:webHidden/>
          </w:rPr>
          <w:fldChar w:fldCharType="begin"/>
        </w:r>
        <w:r>
          <w:rPr>
            <w:webHidden/>
          </w:rPr>
          <w:instrText xml:space="preserve"> PAGEREF _Toc233199171 \h </w:instrText>
        </w:r>
        <w:r>
          <w:rPr>
            <w:webHidden/>
          </w:rPr>
        </w:r>
        <w:r>
          <w:rPr>
            <w:webHidden/>
          </w:rPr>
          <w:fldChar w:fldCharType="separate"/>
        </w:r>
        <w:r>
          <w:rPr>
            <w:webHidden/>
          </w:rPr>
          <w:t>64</w:t>
        </w:r>
        <w:r>
          <w:rPr>
            <w:webHidden/>
          </w:rPr>
          <w:fldChar w:fldCharType="end"/>
        </w:r>
      </w:hyperlink>
    </w:p>
    <w:p w14:paraId="2B74DCBF" w14:textId="569967E6"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72" w:history="1">
        <w:r>
          <w:rPr>
            <w:rStyle w:val="Hyperlink"/>
          </w:rPr>
          <w:t>SLA 46</w:t>
        </w:r>
        <w:r>
          <w:rPr>
            <w:rFonts w:asciiTheme="minorHAnsi" w:eastAsiaTheme="minorEastAsia" w:hAnsiTheme="minorHAnsi" w:cstheme="minorBidi"/>
            <w:i w:val="0"/>
            <w:kern w:val="2"/>
            <w:sz w:val="24"/>
            <w:szCs w:val="24"/>
            <w14:ligatures w14:val="standardContextual"/>
          </w:rPr>
          <w:tab/>
        </w:r>
        <w:r>
          <w:rPr>
            <w:rStyle w:val="Hyperlink"/>
          </w:rPr>
          <w:t>Key Staff Turnover</w:t>
        </w:r>
        <w:r>
          <w:rPr>
            <w:webHidden/>
          </w:rPr>
          <w:tab/>
        </w:r>
        <w:r>
          <w:rPr>
            <w:webHidden/>
          </w:rPr>
          <w:fldChar w:fldCharType="begin"/>
        </w:r>
        <w:r>
          <w:rPr>
            <w:webHidden/>
          </w:rPr>
          <w:instrText xml:space="preserve"> PAGEREF _Toc233199172 \h </w:instrText>
        </w:r>
        <w:r>
          <w:rPr>
            <w:webHidden/>
          </w:rPr>
        </w:r>
        <w:r>
          <w:rPr>
            <w:webHidden/>
          </w:rPr>
          <w:fldChar w:fldCharType="separate"/>
        </w:r>
        <w:r>
          <w:rPr>
            <w:webHidden/>
          </w:rPr>
          <w:t>66</w:t>
        </w:r>
        <w:r>
          <w:rPr>
            <w:webHidden/>
          </w:rPr>
          <w:fldChar w:fldCharType="end"/>
        </w:r>
      </w:hyperlink>
    </w:p>
    <w:p w14:paraId="3D45521F" w14:textId="1A679983"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73" w:history="1">
        <w:r>
          <w:rPr>
            <w:rStyle w:val="Hyperlink"/>
          </w:rPr>
          <w:t>SLA 47</w:t>
        </w:r>
        <w:r>
          <w:rPr>
            <w:rFonts w:asciiTheme="minorHAnsi" w:eastAsiaTheme="minorEastAsia" w:hAnsiTheme="minorHAnsi" w:cstheme="minorBidi"/>
            <w:i w:val="0"/>
            <w:kern w:val="2"/>
            <w:sz w:val="24"/>
            <w:szCs w:val="24"/>
            <w14:ligatures w14:val="standardContextual"/>
          </w:rPr>
          <w:tab/>
        </w:r>
        <w:r>
          <w:rPr>
            <w:rStyle w:val="Hyperlink"/>
          </w:rPr>
          <w:t>Key and Support Staff Replacement Timeliness</w:t>
        </w:r>
        <w:r>
          <w:rPr>
            <w:webHidden/>
          </w:rPr>
          <w:tab/>
        </w:r>
        <w:r>
          <w:rPr>
            <w:webHidden/>
          </w:rPr>
          <w:fldChar w:fldCharType="begin"/>
        </w:r>
        <w:r>
          <w:rPr>
            <w:webHidden/>
          </w:rPr>
          <w:instrText xml:space="preserve"> PAGEREF _Toc233199173 \h </w:instrText>
        </w:r>
        <w:r>
          <w:rPr>
            <w:webHidden/>
          </w:rPr>
        </w:r>
        <w:r>
          <w:rPr>
            <w:webHidden/>
          </w:rPr>
          <w:fldChar w:fldCharType="separate"/>
        </w:r>
        <w:r>
          <w:rPr>
            <w:webHidden/>
          </w:rPr>
          <w:t>67</w:t>
        </w:r>
        <w:r>
          <w:rPr>
            <w:webHidden/>
          </w:rPr>
          <w:fldChar w:fldCharType="end"/>
        </w:r>
      </w:hyperlink>
    </w:p>
    <w:p w14:paraId="276C34B9" w14:textId="226A6C52" w:rsidR="00F957DD" w:rsidRDefault="00F957DD">
      <w:pPr>
        <w:pStyle w:val="TOC2"/>
        <w:tabs>
          <w:tab w:val="left" w:pos="1980"/>
        </w:tabs>
        <w:rPr>
          <w:rFonts w:asciiTheme="minorHAnsi" w:eastAsiaTheme="minorEastAsia" w:hAnsiTheme="minorHAnsi" w:cstheme="minorBidi"/>
          <w:kern w:val="2"/>
          <w:sz w:val="24"/>
          <w:szCs w:val="24"/>
          <w14:ligatures w14:val="standardContextual"/>
        </w:rPr>
      </w:pPr>
      <w:hyperlink w:anchor="_Toc233199174" w:history="1">
        <w:r>
          <w:rPr>
            <w:rStyle w:val="Hyperlink"/>
          </w:rPr>
          <w:t>2.4</w:t>
        </w:r>
        <w:r>
          <w:rPr>
            <w:rFonts w:asciiTheme="minorHAnsi" w:eastAsiaTheme="minorEastAsia" w:hAnsiTheme="minorHAnsi" w:cstheme="minorBidi"/>
            <w:kern w:val="2"/>
            <w:sz w:val="24"/>
            <w:szCs w:val="24"/>
            <w14:ligatures w14:val="standardContextual"/>
          </w:rPr>
          <w:tab/>
        </w:r>
        <w:r>
          <w:rPr>
            <w:rStyle w:val="Hyperlink"/>
          </w:rPr>
          <w:t>Operational</w:t>
        </w:r>
        <w:r>
          <w:rPr>
            <w:webHidden/>
          </w:rPr>
          <w:tab/>
        </w:r>
        <w:r>
          <w:rPr>
            <w:webHidden/>
          </w:rPr>
          <w:fldChar w:fldCharType="begin"/>
        </w:r>
        <w:r>
          <w:rPr>
            <w:webHidden/>
          </w:rPr>
          <w:instrText xml:space="preserve"> PAGEREF _Toc233199174 \h </w:instrText>
        </w:r>
        <w:r>
          <w:rPr>
            <w:webHidden/>
          </w:rPr>
        </w:r>
        <w:r>
          <w:rPr>
            <w:webHidden/>
          </w:rPr>
          <w:fldChar w:fldCharType="separate"/>
        </w:r>
        <w:r>
          <w:rPr>
            <w:webHidden/>
          </w:rPr>
          <w:t>68</w:t>
        </w:r>
        <w:r>
          <w:rPr>
            <w:webHidden/>
          </w:rPr>
          <w:fldChar w:fldCharType="end"/>
        </w:r>
      </w:hyperlink>
    </w:p>
    <w:p w14:paraId="7D2F5F4A" w14:textId="586D648C"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75" w:history="1">
        <w:r>
          <w:rPr>
            <w:rStyle w:val="Hyperlink"/>
          </w:rPr>
          <w:t>SLA 48</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Production Environment Availability</w:t>
        </w:r>
        <w:r>
          <w:rPr>
            <w:webHidden/>
          </w:rPr>
          <w:tab/>
        </w:r>
        <w:r>
          <w:rPr>
            <w:webHidden/>
          </w:rPr>
          <w:fldChar w:fldCharType="begin"/>
        </w:r>
        <w:r>
          <w:rPr>
            <w:webHidden/>
          </w:rPr>
          <w:instrText xml:space="preserve"> PAGEREF _Toc233199175 \h </w:instrText>
        </w:r>
        <w:r>
          <w:rPr>
            <w:webHidden/>
          </w:rPr>
        </w:r>
        <w:r>
          <w:rPr>
            <w:webHidden/>
          </w:rPr>
          <w:fldChar w:fldCharType="separate"/>
        </w:r>
        <w:r>
          <w:rPr>
            <w:webHidden/>
          </w:rPr>
          <w:t>68</w:t>
        </w:r>
        <w:r>
          <w:rPr>
            <w:webHidden/>
          </w:rPr>
          <w:fldChar w:fldCharType="end"/>
        </w:r>
      </w:hyperlink>
    </w:p>
    <w:p w14:paraId="1D67A208" w14:textId="4D10999D"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76" w:history="1">
        <w:r>
          <w:rPr>
            <w:rStyle w:val="Hyperlink"/>
          </w:rPr>
          <w:t>SLA 49</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Electronic Application Log Files</w:t>
        </w:r>
        <w:r>
          <w:rPr>
            <w:webHidden/>
          </w:rPr>
          <w:tab/>
        </w:r>
        <w:r>
          <w:rPr>
            <w:webHidden/>
          </w:rPr>
          <w:fldChar w:fldCharType="begin"/>
        </w:r>
        <w:r>
          <w:rPr>
            <w:webHidden/>
          </w:rPr>
          <w:instrText xml:space="preserve"> PAGEREF _Toc233199176 \h </w:instrText>
        </w:r>
        <w:r>
          <w:rPr>
            <w:webHidden/>
          </w:rPr>
        </w:r>
        <w:r>
          <w:rPr>
            <w:webHidden/>
          </w:rPr>
          <w:fldChar w:fldCharType="separate"/>
        </w:r>
        <w:r>
          <w:rPr>
            <w:webHidden/>
          </w:rPr>
          <w:t>70</w:t>
        </w:r>
        <w:r>
          <w:rPr>
            <w:webHidden/>
          </w:rPr>
          <w:fldChar w:fldCharType="end"/>
        </w:r>
      </w:hyperlink>
    </w:p>
    <w:p w14:paraId="2BBFC208" w14:textId="4AD87F0F"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77" w:history="1">
        <w:r>
          <w:rPr>
            <w:rStyle w:val="Hyperlink"/>
          </w:rPr>
          <w:t>SLA 50</w:t>
        </w:r>
        <w:r>
          <w:rPr>
            <w:rFonts w:asciiTheme="minorHAnsi" w:eastAsiaTheme="minorEastAsia" w:hAnsiTheme="minorHAnsi" w:cstheme="minorBidi"/>
            <w:i w:val="0"/>
            <w:kern w:val="2"/>
            <w:sz w:val="24"/>
            <w:szCs w:val="24"/>
            <w14:ligatures w14:val="standardContextual"/>
          </w:rPr>
          <w:tab/>
        </w:r>
        <w:r>
          <w:rPr>
            <w:rStyle w:val="Hyperlink"/>
          </w:rPr>
          <w:t>Inbound Scheduled Interfaces: Critical</w:t>
        </w:r>
        <w:r>
          <w:rPr>
            <w:webHidden/>
          </w:rPr>
          <w:tab/>
        </w:r>
        <w:r>
          <w:rPr>
            <w:webHidden/>
          </w:rPr>
          <w:fldChar w:fldCharType="begin"/>
        </w:r>
        <w:r>
          <w:rPr>
            <w:webHidden/>
          </w:rPr>
          <w:instrText xml:space="preserve"> PAGEREF _Toc233199177 \h </w:instrText>
        </w:r>
        <w:r>
          <w:rPr>
            <w:webHidden/>
          </w:rPr>
        </w:r>
        <w:r>
          <w:rPr>
            <w:webHidden/>
          </w:rPr>
          <w:fldChar w:fldCharType="separate"/>
        </w:r>
        <w:r>
          <w:rPr>
            <w:webHidden/>
          </w:rPr>
          <w:t>71</w:t>
        </w:r>
        <w:r>
          <w:rPr>
            <w:webHidden/>
          </w:rPr>
          <w:fldChar w:fldCharType="end"/>
        </w:r>
      </w:hyperlink>
    </w:p>
    <w:p w14:paraId="76837E6D" w14:textId="098FA2F8"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78" w:history="1">
        <w:r>
          <w:rPr>
            <w:rStyle w:val="Hyperlink"/>
          </w:rPr>
          <w:t>SLA 51</w:t>
        </w:r>
        <w:r>
          <w:rPr>
            <w:rFonts w:asciiTheme="minorHAnsi" w:eastAsiaTheme="minorEastAsia" w:hAnsiTheme="minorHAnsi" w:cstheme="minorBidi"/>
            <w:i w:val="0"/>
            <w:kern w:val="2"/>
            <w:sz w:val="24"/>
            <w:szCs w:val="24"/>
            <w14:ligatures w14:val="standardContextual"/>
          </w:rPr>
          <w:tab/>
        </w:r>
        <w:r>
          <w:rPr>
            <w:rStyle w:val="Hyperlink"/>
          </w:rPr>
          <w:t>Inbound Scheduled Interfaces: Non-Critical</w:t>
        </w:r>
        <w:r>
          <w:rPr>
            <w:webHidden/>
          </w:rPr>
          <w:tab/>
        </w:r>
        <w:r>
          <w:rPr>
            <w:webHidden/>
          </w:rPr>
          <w:fldChar w:fldCharType="begin"/>
        </w:r>
        <w:r>
          <w:rPr>
            <w:webHidden/>
          </w:rPr>
          <w:instrText xml:space="preserve"> PAGEREF _Toc233199178 \h </w:instrText>
        </w:r>
        <w:r>
          <w:rPr>
            <w:webHidden/>
          </w:rPr>
        </w:r>
        <w:r>
          <w:rPr>
            <w:webHidden/>
          </w:rPr>
          <w:fldChar w:fldCharType="separate"/>
        </w:r>
        <w:r>
          <w:rPr>
            <w:webHidden/>
          </w:rPr>
          <w:t>72</w:t>
        </w:r>
        <w:r>
          <w:rPr>
            <w:webHidden/>
          </w:rPr>
          <w:fldChar w:fldCharType="end"/>
        </w:r>
      </w:hyperlink>
    </w:p>
    <w:p w14:paraId="2D960D6A" w14:textId="4FA1945D"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79" w:history="1">
        <w:r>
          <w:rPr>
            <w:rStyle w:val="Hyperlink"/>
          </w:rPr>
          <w:t>SLA 52</w:t>
        </w:r>
        <w:r>
          <w:rPr>
            <w:rFonts w:asciiTheme="minorHAnsi" w:eastAsiaTheme="minorEastAsia" w:hAnsiTheme="minorHAnsi" w:cstheme="minorBidi"/>
            <w:i w:val="0"/>
            <w:kern w:val="2"/>
            <w:sz w:val="24"/>
            <w:szCs w:val="24"/>
            <w14:ligatures w14:val="standardContextual"/>
          </w:rPr>
          <w:tab/>
        </w:r>
        <w:r>
          <w:rPr>
            <w:rStyle w:val="Hyperlink"/>
          </w:rPr>
          <w:t>Outbound Scheduled Interfaces: Critical</w:t>
        </w:r>
        <w:r>
          <w:rPr>
            <w:webHidden/>
          </w:rPr>
          <w:tab/>
        </w:r>
        <w:r>
          <w:rPr>
            <w:webHidden/>
          </w:rPr>
          <w:fldChar w:fldCharType="begin"/>
        </w:r>
        <w:r>
          <w:rPr>
            <w:webHidden/>
          </w:rPr>
          <w:instrText xml:space="preserve"> PAGEREF _Toc233199179 \h </w:instrText>
        </w:r>
        <w:r>
          <w:rPr>
            <w:webHidden/>
          </w:rPr>
        </w:r>
        <w:r>
          <w:rPr>
            <w:webHidden/>
          </w:rPr>
          <w:fldChar w:fldCharType="separate"/>
        </w:r>
        <w:r>
          <w:rPr>
            <w:webHidden/>
          </w:rPr>
          <w:t>73</w:t>
        </w:r>
        <w:r>
          <w:rPr>
            <w:webHidden/>
          </w:rPr>
          <w:fldChar w:fldCharType="end"/>
        </w:r>
      </w:hyperlink>
    </w:p>
    <w:p w14:paraId="708D720C" w14:textId="29754932"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80" w:history="1">
        <w:r>
          <w:rPr>
            <w:rStyle w:val="Hyperlink"/>
          </w:rPr>
          <w:t>SLA 53</w:t>
        </w:r>
        <w:r>
          <w:rPr>
            <w:rFonts w:asciiTheme="minorHAnsi" w:eastAsiaTheme="minorEastAsia" w:hAnsiTheme="minorHAnsi" w:cstheme="minorBidi"/>
            <w:i w:val="0"/>
            <w:kern w:val="2"/>
            <w:sz w:val="24"/>
            <w:szCs w:val="24"/>
            <w14:ligatures w14:val="standardContextual"/>
          </w:rPr>
          <w:tab/>
        </w:r>
        <w:r>
          <w:rPr>
            <w:rStyle w:val="Hyperlink"/>
          </w:rPr>
          <w:t>Outbound Scheduled Interfaces: Non-Critical</w:t>
        </w:r>
        <w:r>
          <w:rPr>
            <w:webHidden/>
          </w:rPr>
          <w:tab/>
        </w:r>
        <w:r>
          <w:rPr>
            <w:webHidden/>
          </w:rPr>
          <w:fldChar w:fldCharType="begin"/>
        </w:r>
        <w:r>
          <w:rPr>
            <w:webHidden/>
          </w:rPr>
          <w:instrText xml:space="preserve"> PAGEREF _Toc233199180 \h </w:instrText>
        </w:r>
        <w:r>
          <w:rPr>
            <w:webHidden/>
          </w:rPr>
        </w:r>
        <w:r>
          <w:rPr>
            <w:webHidden/>
          </w:rPr>
          <w:fldChar w:fldCharType="separate"/>
        </w:r>
        <w:r>
          <w:rPr>
            <w:webHidden/>
          </w:rPr>
          <w:t>74</w:t>
        </w:r>
        <w:r>
          <w:rPr>
            <w:webHidden/>
          </w:rPr>
          <w:fldChar w:fldCharType="end"/>
        </w:r>
      </w:hyperlink>
    </w:p>
    <w:p w14:paraId="7D5D2EB1" w14:textId="0F6B58D6"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81" w:history="1">
        <w:r>
          <w:rPr>
            <w:rStyle w:val="Hyperlink"/>
          </w:rPr>
          <w:t>SLA 54</w:t>
        </w:r>
        <w:r>
          <w:rPr>
            <w:rFonts w:asciiTheme="minorHAnsi" w:eastAsiaTheme="minorEastAsia" w:hAnsiTheme="minorHAnsi" w:cstheme="minorBidi"/>
            <w:i w:val="0"/>
            <w:kern w:val="2"/>
            <w:sz w:val="24"/>
            <w:szCs w:val="24"/>
            <w14:ligatures w14:val="standardContextual"/>
          </w:rPr>
          <w:tab/>
        </w:r>
        <w:r>
          <w:rPr>
            <w:rStyle w:val="Hyperlink"/>
          </w:rPr>
          <w:t>Inbound Real-Time Interfaces: Critical</w:t>
        </w:r>
        <w:r>
          <w:rPr>
            <w:webHidden/>
          </w:rPr>
          <w:tab/>
        </w:r>
        <w:r>
          <w:rPr>
            <w:webHidden/>
          </w:rPr>
          <w:fldChar w:fldCharType="begin"/>
        </w:r>
        <w:r>
          <w:rPr>
            <w:webHidden/>
          </w:rPr>
          <w:instrText xml:space="preserve"> PAGEREF _Toc233199181 \h </w:instrText>
        </w:r>
        <w:r>
          <w:rPr>
            <w:webHidden/>
          </w:rPr>
        </w:r>
        <w:r>
          <w:rPr>
            <w:webHidden/>
          </w:rPr>
          <w:fldChar w:fldCharType="separate"/>
        </w:r>
        <w:r>
          <w:rPr>
            <w:webHidden/>
          </w:rPr>
          <w:t>75</w:t>
        </w:r>
        <w:r>
          <w:rPr>
            <w:webHidden/>
          </w:rPr>
          <w:fldChar w:fldCharType="end"/>
        </w:r>
      </w:hyperlink>
    </w:p>
    <w:p w14:paraId="7AD531B6" w14:textId="216CAF50"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82" w:history="1">
        <w:r>
          <w:rPr>
            <w:rStyle w:val="Hyperlink"/>
          </w:rPr>
          <w:t>SLA 55</w:t>
        </w:r>
        <w:r>
          <w:rPr>
            <w:rFonts w:asciiTheme="minorHAnsi" w:eastAsiaTheme="minorEastAsia" w:hAnsiTheme="minorHAnsi" w:cstheme="minorBidi"/>
            <w:i w:val="0"/>
            <w:kern w:val="2"/>
            <w:sz w:val="24"/>
            <w:szCs w:val="24"/>
            <w14:ligatures w14:val="standardContextual"/>
          </w:rPr>
          <w:tab/>
        </w:r>
        <w:r>
          <w:rPr>
            <w:rStyle w:val="Hyperlink"/>
          </w:rPr>
          <w:t>Inbound Real-Time Interfaces: Non-Critical</w:t>
        </w:r>
        <w:r>
          <w:rPr>
            <w:webHidden/>
          </w:rPr>
          <w:tab/>
        </w:r>
        <w:r>
          <w:rPr>
            <w:webHidden/>
          </w:rPr>
          <w:fldChar w:fldCharType="begin"/>
        </w:r>
        <w:r>
          <w:rPr>
            <w:webHidden/>
          </w:rPr>
          <w:instrText xml:space="preserve"> PAGEREF _Toc233199182 \h </w:instrText>
        </w:r>
        <w:r>
          <w:rPr>
            <w:webHidden/>
          </w:rPr>
        </w:r>
        <w:r>
          <w:rPr>
            <w:webHidden/>
          </w:rPr>
          <w:fldChar w:fldCharType="separate"/>
        </w:r>
        <w:r>
          <w:rPr>
            <w:webHidden/>
          </w:rPr>
          <w:t>76</w:t>
        </w:r>
        <w:r>
          <w:rPr>
            <w:webHidden/>
          </w:rPr>
          <w:fldChar w:fldCharType="end"/>
        </w:r>
      </w:hyperlink>
    </w:p>
    <w:p w14:paraId="5FE1053B" w14:textId="2CC43426"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83" w:history="1">
        <w:r>
          <w:rPr>
            <w:rStyle w:val="Hyperlink"/>
          </w:rPr>
          <w:t>SLA 56</w:t>
        </w:r>
        <w:r>
          <w:rPr>
            <w:rFonts w:asciiTheme="minorHAnsi" w:eastAsiaTheme="minorEastAsia" w:hAnsiTheme="minorHAnsi" w:cstheme="minorBidi"/>
            <w:i w:val="0"/>
            <w:kern w:val="2"/>
            <w:sz w:val="24"/>
            <w:szCs w:val="24"/>
            <w14:ligatures w14:val="standardContextual"/>
          </w:rPr>
          <w:tab/>
        </w:r>
        <w:r>
          <w:rPr>
            <w:rStyle w:val="Hyperlink"/>
          </w:rPr>
          <w:t>Outbound Real-Time Interfaces: Critical</w:t>
        </w:r>
        <w:r>
          <w:rPr>
            <w:webHidden/>
          </w:rPr>
          <w:tab/>
        </w:r>
        <w:r>
          <w:rPr>
            <w:webHidden/>
          </w:rPr>
          <w:fldChar w:fldCharType="begin"/>
        </w:r>
        <w:r>
          <w:rPr>
            <w:webHidden/>
          </w:rPr>
          <w:instrText xml:space="preserve"> PAGEREF _Toc233199183 \h </w:instrText>
        </w:r>
        <w:r>
          <w:rPr>
            <w:webHidden/>
          </w:rPr>
        </w:r>
        <w:r>
          <w:rPr>
            <w:webHidden/>
          </w:rPr>
          <w:fldChar w:fldCharType="separate"/>
        </w:r>
        <w:r>
          <w:rPr>
            <w:webHidden/>
          </w:rPr>
          <w:t>77</w:t>
        </w:r>
        <w:r>
          <w:rPr>
            <w:webHidden/>
          </w:rPr>
          <w:fldChar w:fldCharType="end"/>
        </w:r>
      </w:hyperlink>
    </w:p>
    <w:p w14:paraId="56929AD9" w14:textId="795A53A2"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84" w:history="1">
        <w:r>
          <w:rPr>
            <w:rStyle w:val="Hyperlink"/>
          </w:rPr>
          <w:t>SLA 57</w:t>
        </w:r>
        <w:r>
          <w:rPr>
            <w:rFonts w:asciiTheme="minorHAnsi" w:eastAsiaTheme="minorEastAsia" w:hAnsiTheme="minorHAnsi" w:cstheme="minorBidi"/>
            <w:i w:val="0"/>
            <w:kern w:val="2"/>
            <w:sz w:val="24"/>
            <w:szCs w:val="24"/>
            <w14:ligatures w14:val="standardContextual"/>
          </w:rPr>
          <w:tab/>
        </w:r>
        <w:r>
          <w:rPr>
            <w:rStyle w:val="Hyperlink"/>
          </w:rPr>
          <w:t>Outbound Real-Time Interfaces: Non-Critical</w:t>
        </w:r>
        <w:r>
          <w:rPr>
            <w:webHidden/>
          </w:rPr>
          <w:tab/>
        </w:r>
        <w:r>
          <w:rPr>
            <w:webHidden/>
          </w:rPr>
          <w:fldChar w:fldCharType="begin"/>
        </w:r>
        <w:r>
          <w:rPr>
            <w:webHidden/>
          </w:rPr>
          <w:instrText xml:space="preserve"> PAGEREF _Toc233199184 \h </w:instrText>
        </w:r>
        <w:r>
          <w:rPr>
            <w:webHidden/>
          </w:rPr>
        </w:r>
        <w:r>
          <w:rPr>
            <w:webHidden/>
          </w:rPr>
          <w:fldChar w:fldCharType="separate"/>
        </w:r>
        <w:r>
          <w:rPr>
            <w:webHidden/>
          </w:rPr>
          <w:t>78</w:t>
        </w:r>
        <w:r>
          <w:rPr>
            <w:webHidden/>
          </w:rPr>
          <w:fldChar w:fldCharType="end"/>
        </w:r>
      </w:hyperlink>
    </w:p>
    <w:p w14:paraId="514B5EAF" w14:textId="6483DEC3"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85" w:history="1">
        <w:r>
          <w:rPr>
            <w:rStyle w:val="Hyperlink"/>
          </w:rPr>
          <w:t>SLA 58</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Performance Management: Application Response Times</w:t>
        </w:r>
        <w:r>
          <w:rPr>
            <w:webHidden/>
          </w:rPr>
          <w:tab/>
        </w:r>
        <w:r>
          <w:rPr>
            <w:webHidden/>
          </w:rPr>
          <w:fldChar w:fldCharType="begin"/>
        </w:r>
        <w:r>
          <w:rPr>
            <w:webHidden/>
          </w:rPr>
          <w:instrText xml:space="preserve"> PAGEREF _Toc233199185 \h </w:instrText>
        </w:r>
        <w:r>
          <w:rPr>
            <w:webHidden/>
          </w:rPr>
        </w:r>
        <w:r>
          <w:rPr>
            <w:webHidden/>
          </w:rPr>
          <w:fldChar w:fldCharType="separate"/>
        </w:r>
        <w:r>
          <w:rPr>
            <w:webHidden/>
          </w:rPr>
          <w:t>79</w:t>
        </w:r>
        <w:r>
          <w:rPr>
            <w:webHidden/>
          </w:rPr>
          <w:fldChar w:fldCharType="end"/>
        </w:r>
      </w:hyperlink>
    </w:p>
    <w:p w14:paraId="537C2FF9" w14:textId="2322BF03"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86" w:history="1">
        <w:r>
          <w:rPr>
            <w:rStyle w:val="Hyperlink"/>
          </w:rPr>
          <w:t>SLA 59</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Performance Management: Database Response Times</w:t>
        </w:r>
        <w:r>
          <w:rPr>
            <w:webHidden/>
          </w:rPr>
          <w:tab/>
        </w:r>
        <w:r>
          <w:rPr>
            <w:webHidden/>
          </w:rPr>
          <w:fldChar w:fldCharType="begin"/>
        </w:r>
        <w:r>
          <w:rPr>
            <w:webHidden/>
          </w:rPr>
          <w:instrText xml:space="preserve"> PAGEREF _Toc233199186 \h </w:instrText>
        </w:r>
        <w:r>
          <w:rPr>
            <w:webHidden/>
          </w:rPr>
        </w:r>
        <w:r>
          <w:rPr>
            <w:webHidden/>
          </w:rPr>
          <w:fldChar w:fldCharType="separate"/>
        </w:r>
        <w:r>
          <w:rPr>
            <w:webHidden/>
          </w:rPr>
          <w:t>80</w:t>
        </w:r>
        <w:r>
          <w:rPr>
            <w:webHidden/>
          </w:rPr>
          <w:fldChar w:fldCharType="end"/>
        </w:r>
      </w:hyperlink>
    </w:p>
    <w:p w14:paraId="5E493979" w14:textId="21D825D7"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87" w:history="1">
        <w:r>
          <w:rPr>
            <w:rStyle w:val="Hyperlink"/>
          </w:rPr>
          <w:t>SLA 60</w:t>
        </w:r>
        <w:r>
          <w:rPr>
            <w:rFonts w:asciiTheme="minorHAnsi" w:eastAsiaTheme="minorEastAsia" w:hAnsiTheme="minorHAnsi" w:cstheme="minorBidi"/>
            <w:i w:val="0"/>
            <w:kern w:val="2"/>
            <w:sz w:val="24"/>
            <w:szCs w:val="24"/>
            <w14:ligatures w14:val="standardContextual"/>
          </w:rPr>
          <w:tab/>
        </w:r>
        <w:r>
          <w:rPr>
            <w:rStyle w:val="Hyperlink"/>
          </w:rPr>
          <w:t>Outbound Scheduled Interfaces: Non-Critical</w:t>
        </w:r>
        <w:r>
          <w:rPr>
            <w:webHidden/>
          </w:rPr>
          <w:tab/>
        </w:r>
        <w:r>
          <w:rPr>
            <w:webHidden/>
          </w:rPr>
          <w:fldChar w:fldCharType="begin"/>
        </w:r>
        <w:r>
          <w:rPr>
            <w:webHidden/>
          </w:rPr>
          <w:instrText xml:space="preserve"> PAGEREF _Toc233199187 \h </w:instrText>
        </w:r>
        <w:r>
          <w:rPr>
            <w:webHidden/>
          </w:rPr>
        </w:r>
        <w:r>
          <w:rPr>
            <w:webHidden/>
          </w:rPr>
          <w:fldChar w:fldCharType="separate"/>
        </w:r>
        <w:r>
          <w:rPr>
            <w:webHidden/>
          </w:rPr>
          <w:t>81</w:t>
        </w:r>
        <w:r>
          <w:rPr>
            <w:webHidden/>
          </w:rPr>
          <w:fldChar w:fldCharType="end"/>
        </w:r>
      </w:hyperlink>
    </w:p>
    <w:p w14:paraId="3A2EC4E1" w14:textId="68D2157A"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88" w:history="1">
        <w:r>
          <w:rPr>
            <w:rStyle w:val="Hyperlink"/>
          </w:rPr>
          <w:t>SLA 61</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Performance Management: Integrated Response Times</w:t>
        </w:r>
        <w:r>
          <w:rPr>
            <w:webHidden/>
          </w:rPr>
          <w:tab/>
        </w:r>
        <w:r>
          <w:rPr>
            <w:webHidden/>
          </w:rPr>
          <w:fldChar w:fldCharType="begin"/>
        </w:r>
        <w:r>
          <w:rPr>
            <w:webHidden/>
          </w:rPr>
          <w:instrText xml:space="preserve"> PAGEREF _Toc233199188 \h </w:instrText>
        </w:r>
        <w:r>
          <w:rPr>
            <w:webHidden/>
          </w:rPr>
        </w:r>
        <w:r>
          <w:rPr>
            <w:webHidden/>
          </w:rPr>
          <w:fldChar w:fldCharType="separate"/>
        </w:r>
        <w:r>
          <w:rPr>
            <w:webHidden/>
          </w:rPr>
          <w:t>82</w:t>
        </w:r>
        <w:r>
          <w:rPr>
            <w:webHidden/>
          </w:rPr>
          <w:fldChar w:fldCharType="end"/>
        </w:r>
      </w:hyperlink>
    </w:p>
    <w:p w14:paraId="2F43B120" w14:textId="288DEECA"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89" w:history="1">
        <w:r>
          <w:rPr>
            <w:rStyle w:val="Hyperlink"/>
          </w:rPr>
          <w:t>SLA 62</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Service Continuity Management: Backup and Recovery</w:t>
        </w:r>
        <w:r>
          <w:rPr>
            <w:webHidden/>
          </w:rPr>
          <w:tab/>
        </w:r>
        <w:r>
          <w:rPr>
            <w:webHidden/>
          </w:rPr>
          <w:fldChar w:fldCharType="begin"/>
        </w:r>
        <w:r>
          <w:rPr>
            <w:webHidden/>
          </w:rPr>
          <w:instrText xml:space="preserve"> PAGEREF _Toc233199189 \h </w:instrText>
        </w:r>
        <w:r>
          <w:rPr>
            <w:webHidden/>
          </w:rPr>
        </w:r>
        <w:r>
          <w:rPr>
            <w:webHidden/>
          </w:rPr>
          <w:fldChar w:fldCharType="separate"/>
        </w:r>
        <w:r>
          <w:rPr>
            <w:webHidden/>
          </w:rPr>
          <w:t>84</w:t>
        </w:r>
        <w:r>
          <w:rPr>
            <w:webHidden/>
          </w:rPr>
          <w:fldChar w:fldCharType="end"/>
        </w:r>
      </w:hyperlink>
    </w:p>
    <w:p w14:paraId="52EED3BE" w14:textId="0F2CA3AA"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90" w:history="1">
        <w:r>
          <w:rPr>
            <w:rStyle w:val="Hyperlink"/>
          </w:rPr>
          <w:t>SLA 63</w:t>
        </w:r>
        <w:r>
          <w:rPr>
            <w:rFonts w:asciiTheme="minorHAnsi" w:eastAsiaTheme="minorEastAsia" w:hAnsiTheme="minorHAnsi" w:cstheme="minorBidi"/>
            <w:i w:val="0"/>
            <w:kern w:val="2"/>
            <w:sz w:val="24"/>
            <w:szCs w:val="24"/>
            <w14:ligatures w14:val="standardContextual"/>
          </w:rPr>
          <w:tab/>
        </w:r>
        <w:r>
          <w:rPr>
            <w:rStyle w:val="Hyperlink"/>
          </w:rPr>
          <w:t>Disaster Recovery Testing</w:t>
        </w:r>
        <w:r>
          <w:rPr>
            <w:webHidden/>
          </w:rPr>
          <w:tab/>
        </w:r>
        <w:r>
          <w:rPr>
            <w:webHidden/>
          </w:rPr>
          <w:fldChar w:fldCharType="begin"/>
        </w:r>
        <w:r>
          <w:rPr>
            <w:webHidden/>
          </w:rPr>
          <w:instrText xml:space="preserve"> PAGEREF _Toc233199190 \h </w:instrText>
        </w:r>
        <w:r>
          <w:rPr>
            <w:webHidden/>
          </w:rPr>
        </w:r>
        <w:r>
          <w:rPr>
            <w:webHidden/>
          </w:rPr>
          <w:fldChar w:fldCharType="separate"/>
        </w:r>
        <w:r>
          <w:rPr>
            <w:webHidden/>
          </w:rPr>
          <w:t>85</w:t>
        </w:r>
        <w:r>
          <w:rPr>
            <w:webHidden/>
          </w:rPr>
          <w:fldChar w:fldCharType="end"/>
        </w:r>
      </w:hyperlink>
    </w:p>
    <w:p w14:paraId="2F3E05ED" w14:textId="1CC8F1B2"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91" w:history="1">
        <w:r>
          <w:rPr>
            <w:rStyle w:val="Hyperlink"/>
          </w:rPr>
          <w:t>SLA 64</w:t>
        </w:r>
        <w:r>
          <w:rPr>
            <w:rFonts w:asciiTheme="minorHAnsi" w:eastAsiaTheme="minorEastAsia" w:hAnsiTheme="minorHAnsi" w:cstheme="minorBidi"/>
            <w:i w:val="0"/>
            <w:kern w:val="2"/>
            <w:sz w:val="24"/>
            <w:szCs w:val="24"/>
            <w14:ligatures w14:val="standardContextual"/>
          </w:rPr>
          <w:tab/>
        </w:r>
        <w:r>
          <w:rPr>
            <w:rStyle w:val="Hyperlink"/>
          </w:rPr>
          <w:t>Production Defects: Critical</w:t>
        </w:r>
        <w:r>
          <w:rPr>
            <w:webHidden/>
          </w:rPr>
          <w:tab/>
        </w:r>
        <w:r>
          <w:rPr>
            <w:webHidden/>
          </w:rPr>
          <w:fldChar w:fldCharType="begin"/>
        </w:r>
        <w:r>
          <w:rPr>
            <w:webHidden/>
          </w:rPr>
          <w:instrText xml:space="preserve"> PAGEREF _Toc233199191 \h </w:instrText>
        </w:r>
        <w:r>
          <w:rPr>
            <w:webHidden/>
          </w:rPr>
        </w:r>
        <w:r>
          <w:rPr>
            <w:webHidden/>
          </w:rPr>
          <w:fldChar w:fldCharType="separate"/>
        </w:r>
        <w:r>
          <w:rPr>
            <w:webHidden/>
          </w:rPr>
          <w:t>86</w:t>
        </w:r>
        <w:r>
          <w:rPr>
            <w:webHidden/>
          </w:rPr>
          <w:fldChar w:fldCharType="end"/>
        </w:r>
      </w:hyperlink>
    </w:p>
    <w:p w14:paraId="79763022" w14:textId="17F29A78"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92" w:history="1">
        <w:r>
          <w:rPr>
            <w:rStyle w:val="Hyperlink"/>
          </w:rPr>
          <w:t>SLA 65</w:t>
        </w:r>
        <w:r>
          <w:rPr>
            <w:rFonts w:asciiTheme="minorHAnsi" w:eastAsiaTheme="minorEastAsia" w:hAnsiTheme="minorHAnsi" w:cstheme="minorBidi"/>
            <w:i w:val="0"/>
            <w:kern w:val="2"/>
            <w:sz w:val="24"/>
            <w:szCs w:val="24"/>
            <w14:ligatures w14:val="standardContextual"/>
          </w:rPr>
          <w:tab/>
        </w:r>
        <w:r>
          <w:rPr>
            <w:rStyle w:val="Hyperlink"/>
          </w:rPr>
          <w:t>Production Defects: High</w:t>
        </w:r>
        <w:r>
          <w:rPr>
            <w:webHidden/>
          </w:rPr>
          <w:tab/>
        </w:r>
        <w:r>
          <w:rPr>
            <w:webHidden/>
          </w:rPr>
          <w:fldChar w:fldCharType="begin"/>
        </w:r>
        <w:r>
          <w:rPr>
            <w:webHidden/>
          </w:rPr>
          <w:instrText xml:space="preserve"> PAGEREF _Toc233199192 \h </w:instrText>
        </w:r>
        <w:r>
          <w:rPr>
            <w:webHidden/>
          </w:rPr>
        </w:r>
        <w:r>
          <w:rPr>
            <w:webHidden/>
          </w:rPr>
          <w:fldChar w:fldCharType="separate"/>
        </w:r>
        <w:r>
          <w:rPr>
            <w:webHidden/>
          </w:rPr>
          <w:t>88</w:t>
        </w:r>
        <w:r>
          <w:rPr>
            <w:webHidden/>
          </w:rPr>
          <w:fldChar w:fldCharType="end"/>
        </w:r>
      </w:hyperlink>
    </w:p>
    <w:p w14:paraId="46217CCA" w14:textId="568F10D8"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93" w:history="1">
        <w:r>
          <w:rPr>
            <w:rStyle w:val="Hyperlink"/>
          </w:rPr>
          <w:t>SLA 66</w:t>
        </w:r>
        <w:r>
          <w:rPr>
            <w:rFonts w:asciiTheme="minorHAnsi" w:eastAsiaTheme="minorEastAsia" w:hAnsiTheme="minorHAnsi" w:cstheme="minorBidi"/>
            <w:i w:val="0"/>
            <w:kern w:val="2"/>
            <w:sz w:val="24"/>
            <w:szCs w:val="24"/>
            <w14:ligatures w14:val="standardContextual"/>
          </w:rPr>
          <w:tab/>
        </w:r>
        <w:r>
          <w:rPr>
            <w:rStyle w:val="Hyperlink"/>
          </w:rPr>
          <w:t>Production Defects: Medium</w:t>
        </w:r>
        <w:r>
          <w:rPr>
            <w:webHidden/>
          </w:rPr>
          <w:tab/>
        </w:r>
        <w:r>
          <w:rPr>
            <w:webHidden/>
          </w:rPr>
          <w:fldChar w:fldCharType="begin"/>
        </w:r>
        <w:r>
          <w:rPr>
            <w:webHidden/>
          </w:rPr>
          <w:instrText xml:space="preserve"> PAGEREF _Toc233199193 \h </w:instrText>
        </w:r>
        <w:r>
          <w:rPr>
            <w:webHidden/>
          </w:rPr>
        </w:r>
        <w:r>
          <w:rPr>
            <w:webHidden/>
          </w:rPr>
          <w:fldChar w:fldCharType="separate"/>
        </w:r>
        <w:r>
          <w:rPr>
            <w:webHidden/>
          </w:rPr>
          <w:t>89</w:t>
        </w:r>
        <w:r>
          <w:rPr>
            <w:webHidden/>
          </w:rPr>
          <w:fldChar w:fldCharType="end"/>
        </w:r>
      </w:hyperlink>
    </w:p>
    <w:p w14:paraId="0DBD35B7" w14:textId="34E59CCA"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94" w:history="1">
        <w:r>
          <w:rPr>
            <w:rStyle w:val="Hyperlink"/>
          </w:rPr>
          <w:t>SLA 67</w:t>
        </w:r>
        <w:r>
          <w:rPr>
            <w:rFonts w:asciiTheme="minorHAnsi" w:eastAsiaTheme="minorEastAsia" w:hAnsiTheme="minorHAnsi" w:cstheme="minorBidi"/>
            <w:i w:val="0"/>
            <w:kern w:val="2"/>
            <w:sz w:val="24"/>
            <w:szCs w:val="24"/>
            <w14:ligatures w14:val="standardContextual"/>
          </w:rPr>
          <w:tab/>
        </w:r>
        <w:r>
          <w:rPr>
            <w:rStyle w:val="Hyperlink"/>
          </w:rPr>
          <w:t>Production Defects: Low</w:t>
        </w:r>
        <w:r>
          <w:rPr>
            <w:webHidden/>
          </w:rPr>
          <w:tab/>
        </w:r>
        <w:r>
          <w:rPr>
            <w:webHidden/>
          </w:rPr>
          <w:fldChar w:fldCharType="begin"/>
        </w:r>
        <w:r>
          <w:rPr>
            <w:webHidden/>
          </w:rPr>
          <w:instrText xml:space="preserve"> PAGEREF _Toc233199194 \h </w:instrText>
        </w:r>
        <w:r>
          <w:rPr>
            <w:webHidden/>
          </w:rPr>
        </w:r>
        <w:r>
          <w:rPr>
            <w:webHidden/>
          </w:rPr>
          <w:fldChar w:fldCharType="separate"/>
        </w:r>
        <w:r>
          <w:rPr>
            <w:webHidden/>
          </w:rPr>
          <w:t>90</w:t>
        </w:r>
        <w:r>
          <w:rPr>
            <w:webHidden/>
          </w:rPr>
          <w:fldChar w:fldCharType="end"/>
        </w:r>
      </w:hyperlink>
    </w:p>
    <w:p w14:paraId="2EC26946" w14:textId="4CC809AD"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95" w:history="1">
        <w:r>
          <w:rPr>
            <w:rStyle w:val="Hyperlink"/>
          </w:rPr>
          <w:t>SLA 68</w:t>
        </w:r>
        <w:r>
          <w:rPr>
            <w:rFonts w:asciiTheme="minorHAnsi" w:eastAsiaTheme="minorEastAsia" w:hAnsiTheme="minorHAnsi" w:cstheme="minorBidi"/>
            <w:i w:val="0"/>
            <w:kern w:val="2"/>
            <w:sz w:val="24"/>
            <w:szCs w:val="24"/>
            <w14:ligatures w14:val="standardContextual"/>
          </w:rPr>
          <w:tab/>
        </w:r>
        <w:r>
          <w:rPr>
            <w:rStyle w:val="Hyperlink"/>
          </w:rPr>
          <w:t>Production Defects: Triage</w:t>
        </w:r>
        <w:r>
          <w:rPr>
            <w:webHidden/>
          </w:rPr>
          <w:tab/>
        </w:r>
        <w:r>
          <w:rPr>
            <w:webHidden/>
          </w:rPr>
          <w:fldChar w:fldCharType="begin"/>
        </w:r>
        <w:r>
          <w:rPr>
            <w:webHidden/>
          </w:rPr>
          <w:instrText xml:space="preserve"> PAGEREF _Toc233199195 \h </w:instrText>
        </w:r>
        <w:r>
          <w:rPr>
            <w:webHidden/>
          </w:rPr>
        </w:r>
        <w:r>
          <w:rPr>
            <w:webHidden/>
          </w:rPr>
          <w:fldChar w:fldCharType="separate"/>
        </w:r>
        <w:r>
          <w:rPr>
            <w:webHidden/>
          </w:rPr>
          <w:t>91</w:t>
        </w:r>
        <w:r>
          <w:rPr>
            <w:webHidden/>
          </w:rPr>
          <w:fldChar w:fldCharType="end"/>
        </w:r>
      </w:hyperlink>
    </w:p>
    <w:p w14:paraId="734D7A51" w14:textId="6AE4931F"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96" w:history="1">
        <w:r>
          <w:rPr>
            <w:rStyle w:val="Hyperlink"/>
          </w:rPr>
          <w:t>SLA 69</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Image Retrieval</w:t>
        </w:r>
        <w:r>
          <w:rPr>
            <w:webHidden/>
          </w:rPr>
          <w:tab/>
        </w:r>
        <w:r>
          <w:rPr>
            <w:webHidden/>
          </w:rPr>
          <w:fldChar w:fldCharType="begin"/>
        </w:r>
        <w:r>
          <w:rPr>
            <w:webHidden/>
          </w:rPr>
          <w:instrText xml:space="preserve"> PAGEREF _Toc233199196 \h </w:instrText>
        </w:r>
        <w:r>
          <w:rPr>
            <w:webHidden/>
          </w:rPr>
        </w:r>
        <w:r>
          <w:rPr>
            <w:webHidden/>
          </w:rPr>
          <w:fldChar w:fldCharType="separate"/>
        </w:r>
        <w:r>
          <w:rPr>
            <w:webHidden/>
          </w:rPr>
          <w:t>93</w:t>
        </w:r>
        <w:r>
          <w:rPr>
            <w:webHidden/>
          </w:rPr>
          <w:fldChar w:fldCharType="end"/>
        </w:r>
      </w:hyperlink>
    </w:p>
    <w:p w14:paraId="7E5A7819" w14:textId="671E6457"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97" w:history="1">
        <w:r>
          <w:rPr>
            <w:rStyle w:val="Hyperlink"/>
          </w:rPr>
          <w:t>SLA 70</w:t>
        </w:r>
        <w:r>
          <w:rPr>
            <w:rFonts w:asciiTheme="minorHAnsi" w:eastAsiaTheme="minorEastAsia" w:hAnsiTheme="minorHAnsi" w:cstheme="minorBidi"/>
            <w:i w:val="0"/>
            <w:kern w:val="2"/>
            <w:sz w:val="24"/>
            <w:szCs w:val="24"/>
            <w14:ligatures w14:val="standardContextual"/>
          </w:rPr>
          <w:tab/>
        </w:r>
        <w:r>
          <w:rPr>
            <w:rStyle w:val="Hyperlink"/>
          </w:rPr>
          <w:t>Maintenance and Operations Report</w:t>
        </w:r>
        <w:r>
          <w:rPr>
            <w:webHidden/>
          </w:rPr>
          <w:tab/>
        </w:r>
        <w:r>
          <w:rPr>
            <w:webHidden/>
          </w:rPr>
          <w:fldChar w:fldCharType="begin"/>
        </w:r>
        <w:r>
          <w:rPr>
            <w:webHidden/>
          </w:rPr>
          <w:instrText xml:space="preserve"> PAGEREF _Toc233199197 \h </w:instrText>
        </w:r>
        <w:r>
          <w:rPr>
            <w:webHidden/>
          </w:rPr>
        </w:r>
        <w:r>
          <w:rPr>
            <w:webHidden/>
          </w:rPr>
          <w:fldChar w:fldCharType="separate"/>
        </w:r>
        <w:r>
          <w:rPr>
            <w:webHidden/>
          </w:rPr>
          <w:t>94</w:t>
        </w:r>
        <w:r>
          <w:rPr>
            <w:webHidden/>
          </w:rPr>
          <w:fldChar w:fldCharType="end"/>
        </w:r>
      </w:hyperlink>
    </w:p>
    <w:p w14:paraId="6FBE4EE4" w14:textId="52FE0780"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98" w:history="1">
        <w:r>
          <w:rPr>
            <w:rStyle w:val="Hyperlink"/>
          </w:rPr>
          <w:t>SLA 71</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Disaster Recovery: Recovery Time Objective</w:t>
        </w:r>
        <w:r>
          <w:rPr>
            <w:webHidden/>
          </w:rPr>
          <w:tab/>
        </w:r>
        <w:r>
          <w:rPr>
            <w:webHidden/>
          </w:rPr>
          <w:fldChar w:fldCharType="begin"/>
        </w:r>
        <w:r>
          <w:rPr>
            <w:webHidden/>
          </w:rPr>
          <w:instrText xml:space="preserve"> PAGEREF _Toc233199198 \h </w:instrText>
        </w:r>
        <w:r>
          <w:rPr>
            <w:webHidden/>
          </w:rPr>
        </w:r>
        <w:r>
          <w:rPr>
            <w:webHidden/>
          </w:rPr>
          <w:fldChar w:fldCharType="separate"/>
        </w:r>
        <w:r>
          <w:rPr>
            <w:webHidden/>
          </w:rPr>
          <w:t>95</w:t>
        </w:r>
        <w:r>
          <w:rPr>
            <w:webHidden/>
          </w:rPr>
          <w:fldChar w:fldCharType="end"/>
        </w:r>
      </w:hyperlink>
    </w:p>
    <w:p w14:paraId="72E56BBF" w14:textId="266B4CAF"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199" w:history="1">
        <w:r>
          <w:rPr>
            <w:rStyle w:val="Hyperlink"/>
          </w:rPr>
          <w:t>SLA 72</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Disaster Recovery: Recovery Point Objective</w:t>
        </w:r>
        <w:r>
          <w:rPr>
            <w:webHidden/>
          </w:rPr>
          <w:tab/>
        </w:r>
        <w:r>
          <w:rPr>
            <w:webHidden/>
          </w:rPr>
          <w:fldChar w:fldCharType="begin"/>
        </w:r>
        <w:r>
          <w:rPr>
            <w:webHidden/>
          </w:rPr>
          <w:instrText xml:space="preserve"> PAGEREF _Toc233199199 \h </w:instrText>
        </w:r>
        <w:r>
          <w:rPr>
            <w:webHidden/>
          </w:rPr>
        </w:r>
        <w:r>
          <w:rPr>
            <w:webHidden/>
          </w:rPr>
          <w:fldChar w:fldCharType="separate"/>
        </w:r>
        <w:r>
          <w:rPr>
            <w:webHidden/>
          </w:rPr>
          <w:t>96</w:t>
        </w:r>
        <w:r>
          <w:rPr>
            <w:webHidden/>
          </w:rPr>
          <w:fldChar w:fldCharType="end"/>
        </w:r>
      </w:hyperlink>
    </w:p>
    <w:p w14:paraId="66638661" w14:textId="55064608"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200" w:history="1">
        <w:r>
          <w:rPr>
            <w:rStyle w:val="Hyperlink"/>
          </w:rPr>
          <w:t>SLA 73</w:t>
        </w:r>
        <w:r>
          <w:rPr>
            <w:rFonts w:asciiTheme="minorHAnsi" w:eastAsiaTheme="minorEastAsia" w:hAnsiTheme="minorHAnsi" w:cstheme="minorBidi"/>
            <w:i w:val="0"/>
            <w:kern w:val="2"/>
            <w:sz w:val="24"/>
            <w:szCs w:val="24"/>
            <w14:ligatures w14:val="standardContextual"/>
          </w:rPr>
          <w:tab/>
        </w:r>
        <w:r>
          <w:rPr>
            <w:rStyle w:val="Hyperlink"/>
          </w:rPr>
          <w:t>Office Facility Maintenance: Cleaning</w:t>
        </w:r>
        <w:r>
          <w:rPr>
            <w:webHidden/>
          </w:rPr>
          <w:tab/>
        </w:r>
        <w:r>
          <w:rPr>
            <w:webHidden/>
          </w:rPr>
          <w:fldChar w:fldCharType="begin"/>
        </w:r>
        <w:r>
          <w:rPr>
            <w:webHidden/>
          </w:rPr>
          <w:instrText xml:space="preserve"> PAGEREF _Toc233199200 \h </w:instrText>
        </w:r>
        <w:r>
          <w:rPr>
            <w:webHidden/>
          </w:rPr>
        </w:r>
        <w:r>
          <w:rPr>
            <w:webHidden/>
          </w:rPr>
          <w:fldChar w:fldCharType="separate"/>
        </w:r>
        <w:r>
          <w:rPr>
            <w:webHidden/>
          </w:rPr>
          <w:t>97</w:t>
        </w:r>
        <w:r>
          <w:rPr>
            <w:webHidden/>
          </w:rPr>
          <w:fldChar w:fldCharType="end"/>
        </w:r>
      </w:hyperlink>
    </w:p>
    <w:p w14:paraId="13272B28" w14:textId="23C63621"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201" w:history="1">
        <w:r>
          <w:rPr>
            <w:rStyle w:val="Hyperlink"/>
          </w:rPr>
          <w:t>SLA 74</w:t>
        </w:r>
        <w:r>
          <w:rPr>
            <w:rFonts w:asciiTheme="minorHAnsi" w:eastAsiaTheme="minorEastAsia" w:hAnsiTheme="minorHAnsi" w:cstheme="minorBidi"/>
            <w:i w:val="0"/>
            <w:kern w:val="2"/>
            <w:sz w:val="24"/>
            <w:szCs w:val="24"/>
            <w14:ligatures w14:val="standardContextual"/>
          </w:rPr>
          <w:tab/>
        </w:r>
        <w:r>
          <w:rPr>
            <w:rStyle w:val="Hyperlink"/>
          </w:rPr>
          <w:t>Office Facility Maintenance: Snow Removal</w:t>
        </w:r>
        <w:r>
          <w:rPr>
            <w:webHidden/>
          </w:rPr>
          <w:tab/>
        </w:r>
        <w:r>
          <w:rPr>
            <w:webHidden/>
          </w:rPr>
          <w:fldChar w:fldCharType="begin"/>
        </w:r>
        <w:r>
          <w:rPr>
            <w:webHidden/>
          </w:rPr>
          <w:instrText xml:space="preserve"> PAGEREF _Toc233199201 \h </w:instrText>
        </w:r>
        <w:r>
          <w:rPr>
            <w:webHidden/>
          </w:rPr>
        </w:r>
        <w:r>
          <w:rPr>
            <w:webHidden/>
          </w:rPr>
          <w:fldChar w:fldCharType="separate"/>
        </w:r>
        <w:r>
          <w:rPr>
            <w:webHidden/>
          </w:rPr>
          <w:t>98</w:t>
        </w:r>
        <w:r>
          <w:rPr>
            <w:webHidden/>
          </w:rPr>
          <w:fldChar w:fldCharType="end"/>
        </w:r>
      </w:hyperlink>
    </w:p>
    <w:p w14:paraId="60AF50EE" w14:textId="46F3ED59" w:rsidR="00F957DD" w:rsidRDefault="00F957DD">
      <w:pPr>
        <w:pStyle w:val="TOC2"/>
        <w:tabs>
          <w:tab w:val="left" w:pos="1980"/>
        </w:tabs>
        <w:rPr>
          <w:rFonts w:asciiTheme="minorHAnsi" w:eastAsiaTheme="minorEastAsia" w:hAnsiTheme="minorHAnsi" w:cstheme="minorBidi"/>
          <w:kern w:val="2"/>
          <w:sz w:val="24"/>
          <w:szCs w:val="24"/>
          <w14:ligatures w14:val="standardContextual"/>
        </w:rPr>
      </w:pPr>
      <w:hyperlink w:anchor="_Toc233199202" w:history="1">
        <w:r>
          <w:rPr>
            <w:rStyle w:val="Hyperlink"/>
          </w:rPr>
          <w:t>2.5</w:t>
        </w:r>
        <w:r>
          <w:rPr>
            <w:rFonts w:asciiTheme="minorHAnsi" w:eastAsiaTheme="minorEastAsia" w:hAnsiTheme="minorHAnsi" w:cstheme="minorBidi"/>
            <w:kern w:val="2"/>
            <w:sz w:val="24"/>
            <w:szCs w:val="24"/>
            <w14:ligatures w14:val="standardContextual"/>
          </w:rPr>
          <w:tab/>
        </w:r>
        <w:r>
          <w:rPr>
            <w:rStyle w:val="Hyperlink"/>
          </w:rPr>
          <w:t>Data Quality</w:t>
        </w:r>
        <w:r>
          <w:rPr>
            <w:webHidden/>
          </w:rPr>
          <w:tab/>
        </w:r>
        <w:r>
          <w:rPr>
            <w:webHidden/>
          </w:rPr>
          <w:fldChar w:fldCharType="begin"/>
        </w:r>
        <w:r>
          <w:rPr>
            <w:webHidden/>
          </w:rPr>
          <w:instrText xml:space="preserve"> PAGEREF _Toc233199202 \h </w:instrText>
        </w:r>
        <w:r>
          <w:rPr>
            <w:webHidden/>
          </w:rPr>
        </w:r>
        <w:r>
          <w:rPr>
            <w:webHidden/>
          </w:rPr>
          <w:fldChar w:fldCharType="separate"/>
        </w:r>
        <w:r>
          <w:rPr>
            <w:webHidden/>
          </w:rPr>
          <w:t>99</w:t>
        </w:r>
        <w:r>
          <w:rPr>
            <w:webHidden/>
          </w:rPr>
          <w:fldChar w:fldCharType="end"/>
        </w:r>
      </w:hyperlink>
    </w:p>
    <w:p w14:paraId="40C0AB87" w14:textId="76939EE0"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203" w:history="1">
        <w:r>
          <w:rPr>
            <w:rStyle w:val="Hyperlink"/>
          </w:rPr>
          <w:t>SLA 75</w:t>
        </w:r>
        <w:r>
          <w:rPr>
            <w:rFonts w:asciiTheme="minorHAnsi" w:eastAsiaTheme="minorEastAsia" w:hAnsiTheme="minorHAnsi" w:cstheme="minorBidi"/>
            <w:i w:val="0"/>
            <w:kern w:val="2"/>
            <w:sz w:val="24"/>
            <w:szCs w:val="24"/>
            <w14:ligatures w14:val="standardContextual"/>
          </w:rPr>
          <w:tab/>
        </w:r>
        <w:r>
          <w:rPr>
            <w:rStyle w:val="Hyperlink"/>
          </w:rPr>
          <w:t>Converged Eligibility and Enrollment System and Appeals Management System Production Reporting Environment: Data Sync</w:t>
        </w:r>
        <w:r>
          <w:rPr>
            <w:webHidden/>
          </w:rPr>
          <w:tab/>
        </w:r>
        <w:r>
          <w:rPr>
            <w:webHidden/>
          </w:rPr>
          <w:fldChar w:fldCharType="begin"/>
        </w:r>
        <w:r>
          <w:rPr>
            <w:webHidden/>
          </w:rPr>
          <w:instrText xml:space="preserve"> PAGEREF _Toc233199203 \h </w:instrText>
        </w:r>
        <w:r>
          <w:rPr>
            <w:webHidden/>
          </w:rPr>
        </w:r>
        <w:r>
          <w:rPr>
            <w:webHidden/>
          </w:rPr>
          <w:fldChar w:fldCharType="separate"/>
        </w:r>
        <w:r>
          <w:rPr>
            <w:webHidden/>
          </w:rPr>
          <w:t>99</w:t>
        </w:r>
        <w:r>
          <w:rPr>
            <w:webHidden/>
          </w:rPr>
          <w:fldChar w:fldCharType="end"/>
        </w:r>
      </w:hyperlink>
    </w:p>
    <w:p w14:paraId="3A81378E" w14:textId="5B744245" w:rsidR="00F957DD" w:rsidRDefault="00F957DD">
      <w:pPr>
        <w:pStyle w:val="TOC2"/>
        <w:tabs>
          <w:tab w:val="left" w:pos="1980"/>
        </w:tabs>
        <w:rPr>
          <w:rFonts w:asciiTheme="minorHAnsi" w:eastAsiaTheme="minorEastAsia" w:hAnsiTheme="minorHAnsi" w:cstheme="minorBidi"/>
          <w:kern w:val="2"/>
          <w:sz w:val="24"/>
          <w:szCs w:val="24"/>
          <w14:ligatures w14:val="standardContextual"/>
        </w:rPr>
      </w:pPr>
      <w:hyperlink w:anchor="_Toc233199204" w:history="1">
        <w:r>
          <w:rPr>
            <w:rStyle w:val="Hyperlink"/>
          </w:rPr>
          <w:t>2.6</w:t>
        </w:r>
        <w:r>
          <w:rPr>
            <w:rFonts w:asciiTheme="minorHAnsi" w:eastAsiaTheme="minorEastAsia" w:hAnsiTheme="minorHAnsi" w:cstheme="minorBidi"/>
            <w:kern w:val="2"/>
            <w:sz w:val="24"/>
            <w:szCs w:val="24"/>
            <w14:ligatures w14:val="standardContextual"/>
          </w:rPr>
          <w:tab/>
        </w:r>
        <w:r>
          <w:rPr>
            <w:rStyle w:val="Hyperlink"/>
          </w:rPr>
          <w:t>Security and Privacy</w:t>
        </w:r>
        <w:r>
          <w:rPr>
            <w:webHidden/>
          </w:rPr>
          <w:tab/>
        </w:r>
        <w:r>
          <w:rPr>
            <w:webHidden/>
          </w:rPr>
          <w:fldChar w:fldCharType="begin"/>
        </w:r>
        <w:r>
          <w:rPr>
            <w:webHidden/>
          </w:rPr>
          <w:instrText xml:space="preserve"> PAGEREF _Toc233199204 \h </w:instrText>
        </w:r>
        <w:r>
          <w:rPr>
            <w:webHidden/>
          </w:rPr>
        </w:r>
        <w:r>
          <w:rPr>
            <w:webHidden/>
          </w:rPr>
          <w:fldChar w:fldCharType="separate"/>
        </w:r>
        <w:r>
          <w:rPr>
            <w:webHidden/>
          </w:rPr>
          <w:t>100</w:t>
        </w:r>
        <w:r>
          <w:rPr>
            <w:webHidden/>
          </w:rPr>
          <w:fldChar w:fldCharType="end"/>
        </w:r>
      </w:hyperlink>
    </w:p>
    <w:p w14:paraId="0A3D1071" w14:textId="48474F37"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205" w:history="1">
        <w:r>
          <w:rPr>
            <w:rStyle w:val="Hyperlink"/>
          </w:rPr>
          <w:t>SLA 76</w:t>
        </w:r>
        <w:r>
          <w:rPr>
            <w:rFonts w:asciiTheme="minorHAnsi" w:eastAsiaTheme="minorEastAsia" w:hAnsiTheme="minorHAnsi" w:cstheme="minorBidi"/>
            <w:i w:val="0"/>
            <w:kern w:val="2"/>
            <w:sz w:val="24"/>
            <w:szCs w:val="24"/>
            <w14:ligatures w14:val="standardContextual"/>
          </w:rPr>
          <w:tab/>
        </w:r>
        <w:r>
          <w:rPr>
            <w:rStyle w:val="Hyperlink"/>
          </w:rPr>
          <w:t>Privacy Incident Reporting</w:t>
        </w:r>
        <w:r>
          <w:rPr>
            <w:webHidden/>
          </w:rPr>
          <w:tab/>
        </w:r>
        <w:r>
          <w:rPr>
            <w:webHidden/>
          </w:rPr>
          <w:fldChar w:fldCharType="begin"/>
        </w:r>
        <w:r>
          <w:rPr>
            <w:webHidden/>
          </w:rPr>
          <w:instrText xml:space="preserve"> PAGEREF _Toc233199205 \h </w:instrText>
        </w:r>
        <w:r>
          <w:rPr>
            <w:webHidden/>
          </w:rPr>
        </w:r>
        <w:r>
          <w:rPr>
            <w:webHidden/>
          </w:rPr>
          <w:fldChar w:fldCharType="separate"/>
        </w:r>
        <w:r>
          <w:rPr>
            <w:webHidden/>
          </w:rPr>
          <w:t>100</w:t>
        </w:r>
        <w:r>
          <w:rPr>
            <w:webHidden/>
          </w:rPr>
          <w:fldChar w:fldCharType="end"/>
        </w:r>
      </w:hyperlink>
    </w:p>
    <w:p w14:paraId="63AC67F6" w14:textId="6A6D0200"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206" w:history="1">
        <w:r>
          <w:rPr>
            <w:rStyle w:val="Hyperlink"/>
          </w:rPr>
          <w:t>SLA 77</w:t>
        </w:r>
        <w:r>
          <w:rPr>
            <w:rFonts w:asciiTheme="minorHAnsi" w:eastAsiaTheme="minorEastAsia" w:hAnsiTheme="minorHAnsi" w:cstheme="minorBidi"/>
            <w:i w:val="0"/>
            <w:kern w:val="2"/>
            <w:sz w:val="24"/>
            <w:szCs w:val="24"/>
            <w14:ligatures w14:val="standardContextual"/>
          </w:rPr>
          <w:tab/>
        </w:r>
        <w:r>
          <w:rPr>
            <w:rStyle w:val="Hyperlink"/>
          </w:rPr>
          <w:t>Incident Response: Severity 1</w:t>
        </w:r>
        <w:r>
          <w:rPr>
            <w:webHidden/>
          </w:rPr>
          <w:tab/>
        </w:r>
        <w:r>
          <w:rPr>
            <w:webHidden/>
          </w:rPr>
          <w:fldChar w:fldCharType="begin"/>
        </w:r>
        <w:r>
          <w:rPr>
            <w:webHidden/>
          </w:rPr>
          <w:instrText xml:space="preserve"> PAGEREF _Toc233199206 \h </w:instrText>
        </w:r>
        <w:r>
          <w:rPr>
            <w:webHidden/>
          </w:rPr>
        </w:r>
        <w:r>
          <w:rPr>
            <w:webHidden/>
          </w:rPr>
          <w:fldChar w:fldCharType="separate"/>
        </w:r>
        <w:r>
          <w:rPr>
            <w:webHidden/>
          </w:rPr>
          <w:t>101</w:t>
        </w:r>
        <w:r>
          <w:rPr>
            <w:webHidden/>
          </w:rPr>
          <w:fldChar w:fldCharType="end"/>
        </w:r>
      </w:hyperlink>
    </w:p>
    <w:p w14:paraId="681D28F3" w14:textId="6340412F"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207" w:history="1">
        <w:r>
          <w:rPr>
            <w:rStyle w:val="Hyperlink"/>
          </w:rPr>
          <w:t>SLA 78</w:t>
        </w:r>
        <w:r>
          <w:rPr>
            <w:rFonts w:asciiTheme="minorHAnsi" w:eastAsiaTheme="minorEastAsia" w:hAnsiTheme="minorHAnsi" w:cstheme="minorBidi"/>
            <w:i w:val="0"/>
            <w:kern w:val="2"/>
            <w:sz w:val="24"/>
            <w:szCs w:val="24"/>
            <w14:ligatures w14:val="standardContextual"/>
          </w:rPr>
          <w:tab/>
        </w:r>
        <w:r>
          <w:rPr>
            <w:rStyle w:val="Hyperlink"/>
          </w:rPr>
          <w:t>Incident Response: Severity 2</w:t>
        </w:r>
        <w:r>
          <w:rPr>
            <w:webHidden/>
          </w:rPr>
          <w:tab/>
        </w:r>
        <w:r>
          <w:rPr>
            <w:webHidden/>
          </w:rPr>
          <w:fldChar w:fldCharType="begin"/>
        </w:r>
        <w:r>
          <w:rPr>
            <w:webHidden/>
          </w:rPr>
          <w:instrText xml:space="preserve"> PAGEREF _Toc233199207 \h </w:instrText>
        </w:r>
        <w:r>
          <w:rPr>
            <w:webHidden/>
          </w:rPr>
        </w:r>
        <w:r>
          <w:rPr>
            <w:webHidden/>
          </w:rPr>
          <w:fldChar w:fldCharType="separate"/>
        </w:r>
        <w:r>
          <w:rPr>
            <w:webHidden/>
          </w:rPr>
          <w:t>102</w:t>
        </w:r>
        <w:r>
          <w:rPr>
            <w:webHidden/>
          </w:rPr>
          <w:fldChar w:fldCharType="end"/>
        </w:r>
      </w:hyperlink>
    </w:p>
    <w:p w14:paraId="41B8D149" w14:textId="44582129"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208" w:history="1">
        <w:r>
          <w:rPr>
            <w:rStyle w:val="Hyperlink"/>
          </w:rPr>
          <w:t>SLA 79</w:t>
        </w:r>
        <w:r>
          <w:rPr>
            <w:rFonts w:asciiTheme="minorHAnsi" w:eastAsiaTheme="minorEastAsia" w:hAnsiTheme="minorHAnsi" w:cstheme="minorBidi"/>
            <w:i w:val="0"/>
            <w:kern w:val="2"/>
            <w:sz w:val="24"/>
            <w:szCs w:val="24"/>
            <w14:ligatures w14:val="standardContextual"/>
          </w:rPr>
          <w:tab/>
        </w:r>
        <w:r>
          <w:rPr>
            <w:rStyle w:val="Hyperlink"/>
          </w:rPr>
          <w:t>Incident Response: Severity 3</w:t>
        </w:r>
        <w:r>
          <w:rPr>
            <w:webHidden/>
          </w:rPr>
          <w:tab/>
        </w:r>
        <w:r>
          <w:rPr>
            <w:webHidden/>
          </w:rPr>
          <w:fldChar w:fldCharType="begin"/>
        </w:r>
        <w:r>
          <w:rPr>
            <w:webHidden/>
          </w:rPr>
          <w:instrText xml:space="preserve"> PAGEREF _Toc233199208 \h </w:instrText>
        </w:r>
        <w:r>
          <w:rPr>
            <w:webHidden/>
          </w:rPr>
        </w:r>
        <w:r>
          <w:rPr>
            <w:webHidden/>
          </w:rPr>
          <w:fldChar w:fldCharType="separate"/>
        </w:r>
        <w:r>
          <w:rPr>
            <w:webHidden/>
          </w:rPr>
          <w:t>104</w:t>
        </w:r>
        <w:r>
          <w:rPr>
            <w:webHidden/>
          </w:rPr>
          <w:fldChar w:fldCharType="end"/>
        </w:r>
      </w:hyperlink>
    </w:p>
    <w:p w14:paraId="6A41C3A5" w14:textId="193B8507" w:rsidR="00F957DD" w:rsidRDefault="00F957DD">
      <w:pPr>
        <w:pStyle w:val="TOC3"/>
        <w:rPr>
          <w:rFonts w:asciiTheme="minorHAnsi" w:eastAsiaTheme="minorEastAsia" w:hAnsiTheme="minorHAnsi" w:cstheme="minorBidi"/>
          <w:i w:val="0"/>
          <w:kern w:val="2"/>
          <w:sz w:val="24"/>
          <w:szCs w:val="24"/>
          <w14:ligatures w14:val="standardContextual"/>
        </w:rPr>
      </w:pPr>
      <w:hyperlink w:anchor="_Toc233199209" w:history="1">
        <w:r>
          <w:rPr>
            <w:rStyle w:val="Hyperlink"/>
          </w:rPr>
          <w:t>SLA 80</w:t>
        </w:r>
        <w:r>
          <w:rPr>
            <w:rFonts w:asciiTheme="minorHAnsi" w:eastAsiaTheme="minorEastAsia" w:hAnsiTheme="minorHAnsi" w:cstheme="minorBidi"/>
            <w:i w:val="0"/>
            <w:kern w:val="2"/>
            <w:sz w:val="24"/>
            <w:szCs w:val="24"/>
            <w14:ligatures w14:val="standardContextual"/>
          </w:rPr>
          <w:tab/>
        </w:r>
        <w:r>
          <w:rPr>
            <w:rStyle w:val="Hyperlink"/>
          </w:rPr>
          <w:t>Incident Response: Severity 4</w:t>
        </w:r>
        <w:r>
          <w:rPr>
            <w:webHidden/>
          </w:rPr>
          <w:tab/>
        </w:r>
        <w:r>
          <w:rPr>
            <w:webHidden/>
          </w:rPr>
          <w:fldChar w:fldCharType="begin"/>
        </w:r>
        <w:r>
          <w:rPr>
            <w:webHidden/>
          </w:rPr>
          <w:instrText xml:space="preserve"> PAGEREF _Toc233199209 \h </w:instrText>
        </w:r>
        <w:r>
          <w:rPr>
            <w:webHidden/>
          </w:rPr>
        </w:r>
        <w:r>
          <w:rPr>
            <w:webHidden/>
          </w:rPr>
          <w:fldChar w:fldCharType="separate"/>
        </w:r>
        <w:r>
          <w:rPr>
            <w:webHidden/>
          </w:rPr>
          <w:t>105</w:t>
        </w:r>
        <w:r>
          <w:rPr>
            <w:webHidden/>
          </w:rPr>
          <w:fldChar w:fldCharType="end"/>
        </w:r>
      </w:hyperlink>
    </w:p>
    <w:p w14:paraId="30F5CC8D" w14:textId="77FB80E2" w:rsidR="008C3F1A" w:rsidRDefault="00937454">
      <w:r>
        <w:rPr>
          <w:b/>
          <w:noProof/>
        </w:rPr>
        <w:fldChar w:fldCharType="end"/>
      </w:r>
      <w:r>
        <w:br w:type="page"/>
      </w:r>
    </w:p>
    <w:p w14:paraId="7653DB2E" w14:textId="40260D34" w:rsidR="00AC6480" w:rsidRDefault="00AC6480" w:rsidP="00CB1E19">
      <w:pPr>
        <w:pStyle w:val="Heading1"/>
      </w:pPr>
      <w:bookmarkStart w:id="1" w:name="_Toc230267111"/>
      <w:bookmarkStart w:id="2" w:name="_Toc233199120"/>
      <w:r>
        <w:lastRenderedPageBreak/>
        <w:t>Service Level Agreements Overview</w:t>
      </w:r>
      <w:bookmarkEnd w:id="1"/>
      <w:bookmarkEnd w:id="2"/>
    </w:p>
    <w:p w14:paraId="622FE87E" w14:textId="74FEA97F" w:rsidR="008C3F1A" w:rsidRPr="00563DA0" w:rsidRDefault="008C3F1A" w:rsidP="008C3F1A">
      <w:r>
        <w:t>The Department expects the Contractor to fully instrument the Converged Eligibility and Enrollment (E&amp;E) System and Appeals Management System (AMS) such that the operational health, performance, and reliability of the systems are continuously observable by the Contractor and the Department. Instrumentation is not a discretionary implementation detail but a foundational requirement that enables the Department to independently verify that the service levels defined in this Request for Proposals (RFP) and the awarded contract are being met. The instrumentation must be implemented at a level of granularity sufficient to produce the specific measurements, dimensions, and time resolution required to report against each Service Level Agreement (SLA) defined in this section, such that every SLA metric is directly traceable to the underlying instrumented data rather than derived from aggregated or summarized sources.</w:t>
      </w:r>
    </w:p>
    <w:p w14:paraId="62F70F4D" w14:textId="77777777" w:rsidR="008C3F1A" w:rsidRPr="006B6AFC" w:rsidRDefault="008C3F1A" w:rsidP="006B6AFC">
      <w:pPr>
        <w:pStyle w:val="Heading2"/>
      </w:pPr>
      <w:bookmarkStart w:id="3" w:name="_Toc230267112"/>
      <w:bookmarkStart w:id="4" w:name="_Toc233199121"/>
      <w:r>
        <w:t>Instructions</w:t>
      </w:r>
      <w:bookmarkEnd w:id="3"/>
      <w:bookmarkEnd w:id="4"/>
    </w:p>
    <w:p w14:paraId="3B12DB88" w14:textId="4C0398B8" w:rsidR="008C3F1A" w:rsidRPr="00563DA0" w:rsidRDefault="008C3F1A" w:rsidP="008C3F1A">
      <w:r>
        <w:t>The Service Level Agreements of the Converged E&amp;E System and AMS RFP are broken down by categories, including:</w:t>
      </w:r>
    </w:p>
    <w:p w14:paraId="574FEA80" w14:textId="2A281F15" w:rsidR="008C3F1A" w:rsidRDefault="00342ED1" w:rsidP="008C3F1A">
      <w:pPr>
        <w:pStyle w:val="Bullet1"/>
      </w:pPr>
      <w:r>
        <w:t>Procedural and Change</w:t>
      </w:r>
    </w:p>
    <w:p w14:paraId="25ADCF7D" w14:textId="1A13679C" w:rsidR="00342ED1" w:rsidRDefault="00342ED1" w:rsidP="008C3F1A">
      <w:pPr>
        <w:pStyle w:val="Bullet1"/>
      </w:pPr>
      <w:r>
        <w:t>Compliance and Legal</w:t>
      </w:r>
    </w:p>
    <w:p w14:paraId="7B019D38" w14:textId="33250B93" w:rsidR="00342ED1" w:rsidRDefault="00342ED1" w:rsidP="008C3F1A">
      <w:pPr>
        <w:pStyle w:val="Bullet1"/>
      </w:pPr>
      <w:r>
        <w:t>Vendor Continuity</w:t>
      </w:r>
    </w:p>
    <w:p w14:paraId="5A7EFAA4" w14:textId="317856EC" w:rsidR="00342ED1" w:rsidRDefault="00342ED1" w:rsidP="008C3F1A">
      <w:pPr>
        <w:pStyle w:val="Bullet1"/>
      </w:pPr>
      <w:r>
        <w:t>Operational</w:t>
      </w:r>
    </w:p>
    <w:p w14:paraId="7CECD885" w14:textId="0E1D0FF4" w:rsidR="00342ED1" w:rsidRDefault="00342ED1" w:rsidP="008C3F1A">
      <w:pPr>
        <w:pStyle w:val="Bullet1"/>
      </w:pPr>
      <w:r>
        <w:t>Data Quality</w:t>
      </w:r>
    </w:p>
    <w:p w14:paraId="07995890" w14:textId="21A481D4" w:rsidR="00342ED1" w:rsidRPr="00563DA0" w:rsidRDefault="00342ED1" w:rsidP="008C3F1A">
      <w:pPr>
        <w:pStyle w:val="Bullet1"/>
      </w:pPr>
      <w:r>
        <w:t>Security and Privacy</w:t>
      </w:r>
    </w:p>
    <w:p w14:paraId="2FE40A31" w14:textId="17A8FC56" w:rsidR="008C3F1A" w:rsidRPr="00563DA0" w:rsidRDefault="008C3F1A" w:rsidP="008C3F1A">
      <w:r>
        <w:t>Failure to meet the SLA will result in service credits applied and deducted from the Contractor’s invoice.</w:t>
      </w:r>
    </w:p>
    <w:p w14:paraId="58DF1266" w14:textId="77777777" w:rsidR="008C3F1A" w:rsidRPr="006B6AFC" w:rsidRDefault="008C3F1A" w:rsidP="006B6AFC">
      <w:pPr>
        <w:pStyle w:val="Heading3"/>
      </w:pPr>
      <w:bookmarkStart w:id="5" w:name="_Toc230267113"/>
      <w:bookmarkStart w:id="6" w:name="_Toc233199122"/>
      <w:r>
        <w:t>Defect Triage, Incident Categorization and Severity Management</w:t>
      </w:r>
      <w:bookmarkEnd w:id="5"/>
      <w:bookmarkEnd w:id="6"/>
    </w:p>
    <w:p w14:paraId="00D1C6E6" w14:textId="06C65E21" w:rsidR="008C3F1A" w:rsidRPr="00563DA0" w:rsidRDefault="008C3F1A" w:rsidP="008C3F1A">
      <w:r>
        <w:t>The Department requires a structured and timely defect triage process to ensure that production incidents and software defects are evaluated, prioritized, and routed for resolution in a consistent and transparent manner. As part of Maintenance and Operations (M&amp;O), the Contractor must implement and maintain a defect triage process that supports rapid assessment of new incidents, appropriate categorization and severity assignment, and clear ownership of each defect throughout its lifecycle.</w:t>
      </w:r>
    </w:p>
    <w:p w14:paraId="0AC811FE" w14:textId="60307F13" w:rsidR="008C3F1A" w:rsidRPr="00563DA0" w:rsidRDefault="008C3F1A" w:rsidP="008C3F1A">
      <w:r>
        <w:t>For the purposes of this Contract, “triage” refers to the activities performed between the initial logging of a production defect or incident in the service ticketing system and the point at which that defect is formally assigned for remediation or closed. During triage, the Contractor must review the defect details, confirm reproducibility, validate the reported impact, and ensure that the defect is correctly categorized (e.g., functional area, module, environment, business process) and assigned an appropriate severity level in accordance with Department-approved definitions. Severity reflects the business and technical impact of the defect (e.g., system unavailability, impact on eligibility determinations or financial transactions, volume of affected users) and is a key driver of response and resolution expectations.</w:t>
      </w:r>
    </w:p>
    <w:p w14:paraId="3866E5BD" w14:textId="69BA414A" w:rsidR="008C3F1A" w:rsidRPr="00563DA0" w:rsidRDefault="008C3F1A" w:rsidP="008C3F1A">
      <w:r>
        <w:t xml:space="preserve">Once a defect reaches a status that requires Contractor interaction (for example, when a new production defect is logged and routed to the Contractor’s queue), the Contractor must ensure that triage is completed within five (5) calendar days. For Critical Defects - those that represent the highest-impact issues as defined by </w:t>
      </w:r>
      <w:r>
        <w:lastRenderedPageBreak/>
        <w:t>the Department—the Contractor must complete triage within thirty-six (36) hours. Triage is considered complete when the defect has been assigned to an appropriate resource for remediation (“Assigned” status) or when the issue has been determined to be invalid, non-reproducible, or otherwise not requiring further action and is therefore “Closed” in the service ticketing system.</w:t>
      </w:r>
    </w:p>
    <w:p w14:paraId="5E8845EF" w14:textId="700E4B0D" w:rsidR="008C3F1A" w:rsidRPr="00563DA0" w:rsidRDefault="008C3F1A" w:rsidP="008C3F1A">
      <w:r>
        <w:t>To provide transparency and accountability, the Department will measure triage timeliness using a “Triage Clock” associated with each production defect. The Triage Clock is controlled by the status of the service ticket. It begins the next calendar day after the production defect is created in the ticketing system and continues to run until the ticket reaches an “Assigned” or “Closed” status. The standard Triage SLA is five (5) calendar days, calculated as the total number of calendar days between the Triage Clock start date and the date on which triage is completed, minus any days during which the ticket is in an approved suspended status.</w:t>
      </w:r>
    </w:p>
    <w:p w14:paraId="2CEFC1E2" w14:textId="3F87E6D3" w:rsidR="008C3F1A" w:rsidRPr="00563DA0" w:rsidRDefault="008C3F1A" w:rsidP="008C3F1A">
      <w:r>
        <w:t>The Triage Clock may be paused when additional information, access, or decisions are required from the Department or a third party before triage can reasonably proceed. In these cases, the Contractor must request a suspension from the Department. Upon Department approval, the ticket status is set to “Clock Suspend,” and the Triage Clock is paused. Either Department staff or the Contractor (with Department approval) may initiate this status change in the ticketing system. The Triage Clock resumes automatically when the ticket status is changed from “Clock Suspend” back to an active triage status, and it stops when the ticket is moved to “Assigned” or “Closed.”</w:t>
      </w:r>
    </w:p>
    <w:p w14:paraId="04EDCFB3" w14:textId="394937E5" w:rsidR="008C3F1A" w:rsidRDefault="008C3F1A" w:rsidP="008C3F1A">
      <w:r>
        <w:t>Because incident categorization and severity assignment are essential to accurate reporting and SLA measurement, certain changes to key defect attributes will cause the defect to return to triage and reset both the Triage Clock and the associated remediation clock to zero (0). If any of the following attributes are changed - (i) Severity, (ii) Found In (e.g., environment or release), or (iii) Phase (e.g., production vs. test) - the Department will notify the Contractor in writing or during the daily triage meeting, and the defect will re-enter triage. This ensures that any material change in impact assessment or context is accompanied by a fresh review and confirmation of categorization, severity, and ownership, thereby preserving the integrity of the triage process, SLA reporting, and overall incident management for the system.</w:t>
      </w:r>
    </w:p>
    <w:p w14:paraId="7BE9D459" w14:textId="5D5047F7" w:rsidR="000807E4" w:rsidRPr="00563DA0" w:rsidRDefault="00B91E5E" w:rsidP="008C3F1A">
      <w:r>
        <w:rPr>
          <w:b/>
          <w:bCs/>
        </w:rPr>
        <w:fldChar w:fldCharType="begin"/>
      </w:r>
      <w:r>
        <w:rPr>
          <w:b/>
          <w:bCs/>
        </w:rPr>
        <w:instrText xml:space="preserve"> REF _Ref233198460 \h  \* MERGEFORMAT </w:instrText>
      </w:r>
      <w:r>
        <w:rPr>
          <w:b/>
          <w:bCs/>
        </w:rPr>
      </w:r>
      <w:r>
        <w:rPr>
          <w:b/>
          <w:bCs/>
        </w:rPr>
        <w:fldChar w:fldCharType="separate"/>
      </w:r>
      <w:r>
        <w:rPr>
          <w:b/>
          <w:bCs/>
        </w:rPr>
        <w:t xml:space="preserve">Table </w:t>
      </w:r>
      <w:r>
        <w:rPr>
          <w:b/>
          <w:bCs/>
          <w:noProof/>
        </w:rPr>
        <w:t>1</w:t>
      </w:r>
      <w:r>
        <w:rPr>
          <w:b/>
          <w:bCs/>
        </w:rPr>
        <w:fldChar w:fldCharType="end"/>
      </w:r>
      <w:r>
        <w:t xml:space="preserve"> describes the severity levels for each incident. Refer to the Office of Health Insurance Programs (OHIP) Solution Delivery Domain Document, Release Management Standard for additional details.</w:t>
      </w:r>
    </w:p>
    <w:p w14:paraId="3245BC47" w14:textId="44792848" w:rsidR="008C3F1A" w:rsidRPr="000D2A1F" w:rsidRDefault="008C3F1A" w:rsidP="000D2A1F">
      <w:pPr>
        <w:pStyle w:val="Caption"/>
      </w:pPr>
      <w:bookmarkStart w:id="7" w:name="_Ref233198460"/>
      <w:bookmarkStart w:id="8" w:name="_Ref233191373"/>
      <w:r>
        <w:t xml:space="preserve">Table </w:t>
      </w:r>
      <w:fldSimple w:instr=" SEQ Table \* ARABIC ">
        <w:r>
          <w:rPr>
            <w:noProof/>
          </w:rPr>
          <w:t>1</w:t>
        </w:r>
      </w:fldSimple>
      <w:bookmarkEnd w:id="7"/>
      <w:r>
        <w:t xml:space="preserve"> – Converged E&amp;E System and AMS Security, Privacy, and Systems Incident Severity Levels</w:t>
      </w:r>
      <w:bookmarkEnd w:id="8"/>
    </w:p>
    <w:tbl>
      <w:tblPr>
        <w:tblStyle w:val="DOH"/>
        <w:tblW w:w="0" w:type="auto"/>
        <w:tblLook w:val="04A0" w:firstRow="1" w:lastRow="0" w:firstColumn="1" w:lastColumn="0" w:noHBand="0" w:noVBand="1"/>
      </w:tblPr>
      <w:tblGrid>
        <w:gridCol w:w="1165"/>
        <w:gridCol w:w="8100"/>
        <w:gridCol w:w="1525"/>
      </w:tblGrid>
      <w:tr w:rsidR="008C3F1A" w:rsidRPr="00563DA0" w14:paraId="36C2C8AB" w14:textId="77777777" w:rsidTr="358A1B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3854B6C0" w14:textId="6D6DC755" w:rsidR="008C3F1A" w:rsidRPr="00563DA0" w:rsidRDefault="008C3F1A" w:rsidP="002413AA">
            <w:pPr>
              <w:rPr>
                <w:color w:val="auto"/>
                <w:szCs w:val="20"/>
              </w:rPr>
            </w:pPr>
            <w:r>
              <w:rPr>
                <w:color w:val="auto"/>
                <w:szCs w:val="20"/>
              </w:rPr>
              <w:t>Severity Level</w:t>
            </w:r>
          </w:p>
        </w:tc>
        <w:tc>
          <w:tcPr>
            <w:tcW w:w="8100" w:type="dxa"/>
          </w:tcPr>
          <w:p w14:paraId="24F3BE1E" w14:textId="30BA173F" w:rsidR="008C3F1A" w:rsidRPr="00563DA0" w:rsidRDefault="008C3F1A" w:rsidP="002413AA">
            <w:pPr>
              <w:cnfStyle w:val="100000000000" w:firstRow="1" w:lastRow="0" w:firstColumn="0" w:lastColumn="0" w:oddVBand="0" w:evenVBand="0" w:oddHBand="0" w:evenHBand="0" w:firstRowFirstColumn="0" w:firstRowLastColumn="0" w:lastRowFirstColumn="0" w:lastRowLastColumn="0"/>
              <w:rPr>
                <w:color w:val="auto"/>
                <w:szCs w:val="20"/>
              </w:rPr>
            </w:pPr>
            <w:r>
              <w:rPr>
                <w:color w:val="auto"/>
                <w:szCs w:val="20"/>
              </w:rPr>
              <w:t>Definition</w:t>
            </w:r>
          </w:p>
        </w:tc>
        <w:tc>
          <w:tcPr>
            <w:tcW w:w="1525" w:type="dxa"/>
          </w:tcPr>
          <w:p w14:paraId="35D13A9F" w14:textId="0CE4DE4F" w:rsidR="008C3F1A" w:rsidRPr="00563DA0" w:rsidRDefault="008C3F1A" w:rsidP="002413AA">
            <w:pPr>
              <w:cnfStyle w:val="100000000000" w:firstRow="1" w:lastRow="0" w:firstColumn="0" w:lastColumn="0" w:oddVBand="0" w:evenVBand="0" w:oddHBand="0" w:evenHBand="0" w:firstRowFirstColumn="0" w:firstRowLastColumn="0" w:lastRowFirstColumn="0" w:lastRowLastColumn="0"/>
              <w:rPr>
                <w:color w:val="auto"/>
                <w:szCs w:val="20"/>
              </w:rPr>
            </w:pPr>
            <w:r>
              <w:rPr>
                <w:color w:val="auto"/>
                <w:szCs w:val="20"/>
              </w:rPr>
              <w:t>Incident Resolution Timeframe</w:t>
            </w:r>
          </w:p>
        </w:tc>
      </w:tr>
      <w:tr w:rsidR="008C3F1A" w:rsidRPr="00563DA0" w14:paraId="02AF7D14" w14:textId="77777777" w:rsidTr="358A1B02">
        <w:tc>
          <w:tcPr>
            <w:cnfStyle w:val="001000000000" w:firstRow="0" w:lastRow="0" w:firstColumn="1" w:lastColumn="0" w:oddVBand="0" w:evenVBand="0" w:oddHBand="0" w:evenHBand="0" w:firstRowFirstColumn="0" w:firstRowLastColumn="0" w:lastRowFirstColumn="0" w:lastRowLastColumn="0"/>
            <w:tcW w:w="1165" w:type="dxa"/>
          </w:tcPr>
          <w:p w14:paraId="699918F7" w14:textId="4FA63E5D" w:rsidR="008C3F1A" w:rsidRPr="00563DA0" w:rsidRDefault="008C3F1A" w:rsidP="002413AA">
            <w:pPr>
              <w:rPr>
                <w:szCs w:val="20"/>
              </w:rPr>
            </w:pPr>
            <w:r>
              <w:rPr>
                <w:rFonts w:cs="Arial"/>
                <w:szCs w:val="20"/>
              </w:rPr>
              <w:t>Severity 1</w:t>
            </w:r>
          </w:p>
        </w:tc>
        <w:tc>
          <w:tcPr>
            <w:tcW w:w="8100" w:type="dxa"/>
          </w:tcPr>
          <w:p w14:paraId="111F515D" w14:textId="7A4998EC" w:rsidR="006A4BBF" w:rsidRPr="006A4BBF" w:rsidRDefault="006A4BBF" w:rsidP="006A4BBF">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A security, privacy, or system incident must be assigned as a Severity 1 if the incident is characterized by any of the following: </w:t>
            </w:r>
          </w:p>
          <w:p w14:paraId="79810BFD" w14:textId="77777777" w:rsidR="006A4BBF" w:rsidRPr="006A4BBF" w:rsidRDefault="006A4BBF" w:rsidP="006A4BBF">
            <w:pPr>
              <w:pStyle w:val="TableBullet"/>
              <w:cnfStyle w:val="000000000000" w:firstRow="0" w:lastRow="0" w:firstColumn="0" w:lastColumn="0" w:oddVBand="0" w:evenVBand="0" w:oddHBand="0" w:evenHBand="0" w:firstRowFirstColumn="0" w:firstRowLastColumn="0" w:lastRowFirstColumn="0" w:lastRowLastColumn="0"/>
            </w:pPr>
            <w:r>
              <w:t>A technical service and shared services are inaccessible and/or unusable, with no acceptable workaround.</w:t>
            </w:r>
          </w:p>
          <w:p w14:paraId="66B5D362" w14:textId="77777777" w:rsidR="006A4BBF" w:rsidRPr="006A4BBF" w:rsidRDefault="006A4BBF" w:rsidP="006A4BBF">
            <w:pPr>
              <w:pStyle w:val="TableBullet"/>
              <w:cnfStyle w:val="000000000000" w:firstRow="0" w:lastRow="0" w:firstColumn="0" w:lastColumn="0" w:oddVBand="0" w:evenVBand="0" w:oddHBand="0" w:evenHBand="0" w:firstRowFirstColumn="0" w:firstRowLastColumn="0" w:lastRowFirstColumn="0" w:lastRowLastColumn="0"/>
            </w:pPr>
            <w:r>
              <w:t>An outage that presents significant health, safety, or financial risk to NYS and/or its citizens.</w:t>
            </w:r>
          </w:p>
          <w:p w14:paraId="687B34C9" w14:textId="77777777" w:rsidR="006A4BBF" w:rsidRPr="006A4BBF" w:rsidRDefault="006A4BBF" w:rsidP="006A4BBF">
            <w:pPr>
              <w:pStyle w:val="TableBullet"/>
              <w:cnfStyle w:val="000000000000" w:firstRow="0" w:lastRow="0" w:firstColumn="0" w:lastColumn="0" w:oddVBand="0" w:evenVBand="0" w:oddHBand="0" w:evenHBand="0" w:firstRowFirstColumn="0" w:firstRowLastColumn="0" w:lastRowFirstColumn="0" w:lastRowLastColumn="0"/>
            </w:pPr>
            <w:r>
              <w:t>A significant portion of Department users are unable to access the solution, or access is materially impaired across one or more business units.</w:t>
            </w:r>
          </w:p>
          <w:p w14:paraId="59A4E938" w14:textId="77777777" w:rsidR="006A4BBF" w:rsidRPr="006A4BBF" w:rsidRDefault="006A4BBF" w:rsidP="006A4BBF">
            <w:pPr>
              <w:pStyle w:val="TableBullet"/>
              <w:cnfStyle w:val="000000000000" w:firstRow="0" w:lastRow="0" w:firstColumn="0" w:lastColumn="0" w:oddVBand="0" w:evenVBand="0" w:oddHBand="0" w:evenHBand="0" w:firstRowFirstColumn="0" w:firstRowLastColumn="0" w:lastRowFirstColumn="0" w:lastRowLastColumn="0"/>
            </w:pPr>
            <w:r>
              <w:t>Controls are severely compromised (e.g., privileged account breach and widespread infiltration), posing an immediate and serious threat to Department assets.</w:t>
            </w:r>
          </w:p>
          <w:p w14:paraId="315FBB8F" w14:textId="26940042" w:rsidR="008C3F1A" w:rsidRPr="00563DA0" w:rsidRDefault="006A4BBF" w:rsidP="006A4BBF">
            <w:pPr>
              <w:pStyle w:val="TableBullet"/>
              <w:cnfStyle w:val="000000000000" w:firstRow="0" w:lastRow="0" w:firstColumn="0" w:lastColumn="0" w:oddVBand="0" w:evenVBand="0" w:oddHBand="0" w:evenHBand="0" w:firstRowFirstColumn="0" w:firstRowLastColumn="0" w:lastRowFirstColumn="0" w:lastRowLastColumn="0"/>
            </w:pPr>
            <w:r>
              <w:lastRenderedPageBreak/>
              <w:t>Large-scale exposure to confirmed breach of sensitive personal information (e.g., Personally Identifiable Information [PII], PHI [PHI], and Federal Tax Information [FTI]), raising significant regulatory and reputational risks, or any incident that is actively escalating and could cause the above impacts if not contained immediately.</w:t>
            </w:r>
          </w:p>
        </w:tc>
        <w:tc>
          <w:tcPr>
            <w:tcW w:w="1525" w:type="dxa"/>
          </w:tcPr>
          <w:p w14:paraId="40AB3225" w14:textId="306FA520" w:rsidR="008C3F1A" w:rsidRPr="00563DA0" w:rsidRDefault="00E872F8" w:rsidP="002413AA">
            <w:pPr>
              <w:cnfStyle w:val="000000000000" w:firstRow="0" w:lastRow="0" w:firstColumn="0" w:lastColumn="0" w:oddVBand="0" w:evenVBand="0" w:oddHBand="0" w:evenHBand="0" w:firstRowFirstColumn="0" w:firstRowLastColumn="0" w:lastRowFirstColumn="0" w:lastRowLastColumn="0"/>
              <w:rPr>
                <w:szCs w:val="20"/>
              </w:rPr>
            </w:pPr>
            <w:r>
              <w:rPr>
                <w:rFonts w:cs="Arial"/>
                <w:szCs w:val="20"/>
              </w:rPr>
              <w:lastRenderedPageBreak/>
              <w:t>Four (4) hours from when the incident began occurring</w:t>
            </w:r>
          </w:p>
        </w:tc>
      </w:tr>
      <w:tr w:rsidR="008C3F1A" w:rsidRPr="00563DA0" w14:paraId="66206D05" w14:textId="77777777" w:rsidTr="358A1B0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215E0E42" w14:textId="76F0E88D" w:rsidR="008C3F1A" w:rsidRPr="00563DA0" w:rsidRDefault="008C3F1A" w:rsidP="002413AA">
            <w:pPr>
              <w:rPr>
                <w:szCs w:val="20"/>
              </w:rPr>
            </w:pPr>
            <w:r>
              <w:rPr>
                <w:rFonts w:cs="Arial"/>
                <w:szCs w:val="20"/>
              </w:rPr>
              <w:t>Severity 2</w:t>
            </w:r>
          </w:p>
        </w:tc>
        <w:tc>
          <w:tcPr>
            <w:tcW w:w="8100" w:type="dxa"/>
          </w:tcPr>
          <w:p w14:paraId="686D04D2" w14:textId="142DE3EA" w:rsidR="001B6FA1" w:rsidRDefault="001B6FA1" w:rsidP="001B6FA1">
            <w:pPr>
              <w:cnfStyle w:val="000000010000" w:firstRow="0" w:lastRow="0" w:firstColumn="0" w:lastColumn="0" w:oddVBand="0" w:evenVBand="0" w:oddHBand="0" w:evenHBand="1" w:firstRowFirstColumn="0" w:firstRowLastColumn="0" w:lastRowFirstColumn="0" w:lastRowLastColumn="0"/>
            </w:pPr>
            <w:r>
              <w:t xml:space="preserve">A security, privacy, or system incident must be assigned as a Severity 2 if the incident is characterized by any of the following: </w:t>
            </w:r>
          </w:p>
          <w:p w14:paraId="395EDD6E" w14:textId="77777777" w:rsidR="001B6FA1" w:rsidRDefault="001B6FA1" w:rsidP="001B6FA1">
            <w:pPr>
              <w:pStyle w:val="TableBullet"/>
              <w:cnfStyle w:val="000000010000" w:firstRow="0" w:lastRow="0" w:firstColumn="0" w:lastColumn="0" w:oddVBand="0" w:evenVBand="0" w:oddHBand="0" w:evenHBand="1" w:firstRowFirstColumn="0" w:firstRowLastColumn="0" w:lastRowFirstColumn="0" w:lastRowLastColumn="0"/>
            </w:pPr>
            <w:r>
              <w:t xml:space="preserve">An outage that is affecting solution technical services and shared services (e.g., connectivity for a physical location, downed operations affecting multiple clients, or production system operating in a degraded mode). A fix is required to be implemented within a certain timeframe. </w:t>
            </w:r>
          </w:p>
          <w:p w14:paraId="0761A972" w14:textId="77777777" w:rsidR="001B6FA1" w:rsidRDefault="001B6FA1" w:rsidP="001B6FA1">
            <w:pPr>
              <w:pStyle w:val="TableBullet"/>
              <w:cnfStyle w:val="000000010000" w:firstRow="0" w:lastRow="0" w:firstColumn="0" w:lastColumn="0" w:oddVBand="0" w:evenVBand="0" w:oddHBand="0" w:evenHBand="1" w:firstRowFirstColumn="0" w:firstRowLastColumn="0" w:lastRowFirstColumn="0" w:lastRowLastColumn="0"/>
            </w:pPr>
            <w:r>
              <w:t>Although a workaround exists, its use has significant business impacts.</w:t>
            </w:r>
          </w:p>
          <w:p w14:paraId="48AE1DC8" w14:textId="77777777" w:rsidR="001B6FA1" w:rsidRDefault="001B6FA1" w:rsidP="001B6FA1">
            <w:pPr>
              <w:pStyle w:val="TableBullet"/>
              <w:cnfStyle w:val="000000010000" w:firstRow="0" w:lastRow="0" w:firstColumn="0" w:lastColumn="0" w:oddVBand="0" w:evenVBand="0" w:oddHBand="0" w:evenHBand="1" w:firstRowFirstColumn="0" w:firstRowLastColumn="0" w:lastRowFirstColumn="0" w:lastRowLastColumn="0"/>
            </w:pPr>
            <w:r>
              <w:t>Non-recoverable data loss</w:t>
            </w:r>
          </w:p>
          <w:p w14:paraId="5AB9514E" w14:textId="77777777" w:rsidR="001B6FA1" w:rsidRDefault="001B6FA1" w:rsidP="001B6FA1">
            <w:pPr>
              <w:pStyle w:val="TableBullet"/>
              <w:cnfStyle w:val="000000010000" w:firstRow="0" w:lastRow="0" w:firstColumn="0" w:lastColumn="0" w:oddVBand="0" w:evenVBand="0" w:oddHBand="0" w:evenHBand="1" w:firstRowFirstColumn="0" w:firstRowLastColumn="0" w:lastRowFirstColumn="0" w:lastRowLastColumn="0"/>
            </w:pPr>
            <w:r>
              <w:t>Unusual or unauthorized access to key system or data, with the potential to escalate if not contained quickly.</w:t>
            </w:r>
          </w:p>
          <w:p w14:paraId="1E950819" w14:textId="1270FA66" w:rsidR="008C3F1A" w:rsidRPr="00563DA0" w:rsidRDefault="001B6FA1" w:rsidP="001B6FA1">
            <w:pPr>
              <w:pStyle w:val="TableBullet"/>
              <w:cnfStyle w:val="000000010000" w:firstRow="0" w:lastRow="0" w:firstColumn="0" w:lastColumn="0" w:oddVBand="0" w:evenVBand="0" w:oddHBand="0" w:evenHBand="1" w:firstRowFirstColumn="0" w:firstRowLastColumn="0" w:lastRowFirstColumn="0" w:lastRowLastColumn="0"/>
            </w:pPr>
            <w:r>
              <w:t>Likely compromise of personal information (e.g., PII, PHI, and FTI) that demands swift action to reduce further exposure.</w:t>
            </w:r>
          </w:p>
        </w:tc>
        <w:tc>
          <w:tcPr>
            <w:tcW w:w="1525" w:type="dxa"/>
          </w:tcPr>
          <w:p w14:paraId="56646FC3" w14:textId="61FAC546" w:rsidR="008C3F1A" w:rsidRPr="00563DA0" w:rsidRDefault="002F28B2" w:rsidP="002413AA">
            <w:pPr>
              <w:cnfStyle w:val="000000010000" w:firstRow="0" w:lastRow="0" w:firstColumn="0" w:lastColumn="0" w:oddVBand="0" w:evenVBand="0" w:oddHBand="0" w:evenHBand="1" w:firstRowFirstColumn="0" w:firstRowLastColumn="0" w:lastRowFirstColumn="0" w:lastRowLastColumn="0"/>
            </w:pPr>
            <w:r>
              <w:rPr>
                <w:rFonts w:cs="Arial"/>
              </w:rPr>
              <w:t>Eight (8) hours from when the incident began occurring</w:t>
            </w:r>
          </w:p>
        </w:tc>
      </w:tr>
      <w:tr w:rsidR="008C3F1A" w:rsidRPr="00563DA0" w14:paraId="2AF96925" w14:textId="77777777" w:rsidTr="358A1B02">
        <w:tc>
          <w:tcPr>
            <w:cnfStyle w:val="001000000000" w:firstRow="0" w:lastRow="0" w:firstColumn="1" w:lastColumn="0" w:oddVBand="0" w:evenVBand="0" w:oddHBand="0" w:evenHBand="0" w:firstRowFirstColumn="0" w:firstRowLastColumn="0" w:lastRowFirstColumn="0" w:lastRowLastColumn="0"/>
            <w:tcW w:w="1165" w:type="dxa"/>
          </w:tcPr>
          <w:p w14:paraId="05034936" w14:textId="131656B2" w:rsidR="008C3F1A" w:rsidRPr="00563DA0" w:rsidRDefault="008C3F1A" w:rsidP="002413AA">
            <w:pPr>
              <w:rPr>
                <w:szCs w:val="20"/>
              </w:rPr>
            </w:pPr>
            <w:r>
              <w:rPr>
                <w:rFonts w:cs="Arial"/>
                <w:szCs w:val="20"/>
              </w:rPr>
              <w:t>Severity 3</w:t>
            </w:r>
          </w:p>
        </w:tc>
        <w:tc>
          <w:tcPr>
            <w:tcW w:w="8100" w:type="dxa"/>
          </w:tcPr>
          <w:p w14:paraId="4E27ADAD" w14:textId="4248E8CF" w:rsidR="005E4E75" w:rsidRPr="005E4E75" w:rsidRDefault="005E4E75" w:rsidP="005E4E75">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A security, privacy, or system incident must be assigned as a Severity 3 if the incident is characterized by any of the following: </w:t>
            </w:r>
          </w:p>
          <w:p w14:paraId="633EA096" w14:textId="4BA1FED3" w:rsidR="005E4E75" w:rsidRPr="005E4E75" w:rsidRDefault="005E4E75" w:rsidP="005E4E75">
            <w:pPr>
              <w:pStyle w:val="TableBullet"/>
              <w:cnfStyle w:val="000000000000" w:firstRow="0" w:lastRow="0" w:firstColumn="0" w:lastColumn="0" w:oddVBand="0" w:evenVBand="0" w:oddHBand="0" w:evenHBand="0" w:firstRowFirstColumn="0" w:firstRowLastColumn="0" w:lastRowFirstColumn="0" w:lastRowLastColumn="0"/>
            </w:pPr>
            <w:r>
              <w:t xml:space="preserve">Although a technical service or shared service is usable, it is not functioning in accordance with applicable specifications. There are no substantial adverse impacts on business operations. A substantial adverse impact includes repercussions to business operations and functionality defined as Critical and High (refer </w:t>
            </w:r>
            <w:r>
              <w:rPr>
                <w:b/>
                <w:bCs/>
              </w:rPr>
              <w:fldChar w:fldCharType="begin"/>
            </w:r>
            <w:r>
              <w:rPr>
                <w:b/>
                <w:bCs/>
              </w:rPr>
              <w:instrText xml:space="preserve"> REF _Ref230265646 \h  \* MERGEFORMAT </w:instrText>
            </w:r>
            <w:r>
              <w:rPr>
                <w:b/>
                <w:bCs/>
              </w:rPr>
            </w:r>
            <w:r>
              <w:rPr>
                <w:b/>
                <w:bCs/>
              </w:rPr>
              <w:fldChar w:fldCharType="separate"/>
            </w:r>
            <w:r>
              <w:rPr>
                <w:b/>
                <w:bCs/>
              </w:rPr>
              <w:t xml:space="preserve">Table </w:t>
            </w:r>
            <w:r>
              <w:rPr>
                <w:b/>
                <w:bCs/>
                <w:noProof/>
              </w:rPr>
              <w:t>2</w:t>
            </w:r>
            <w:r>
              <w:rPr>
                <w:b/>
                <w:bCs/>
              </w:rPr>
              <w:fldChar w:fldCharType="end"/>
            </w:r>
            <w:r>
              <w:t>).</w:t>
            </w:r>
          </w:p>
          <w:p w14:paraId="74A3730E" w14:textId="77777777" w:rsidR="005E4E75" w:rsidRPr="005E4E75" w:rsidRDefault="005E4E75" w:rsidP="005E4E75">
            <w:pPr>
              <w:pStyle w:val="TableBullet"/>
              <w:cnfStyle w:val="000000000000" w:firstRow="0" w:lastRow="0" w:firstColumn="0" w:lastColumn="0" w:oddVBand="0" w:evenVBand="0" w:oddHBand="0" w:evenHBand="0" w:firstRowFirstColumn="0" w:firstRowLastColumn="0" w:lastRowFirstColumn="0" w:lastRowLastColumn="0"/>
            </w:pPr>
            <w:r>
              <w:t>Suspicious activity or limited breach of less critical systems, requiring thorough investigation to prevent deeper infiltration.</w:t>
            </w:r>
          </w:p>
          <w:p w14:paraId="356F7BEC" w14:textId="3D81D4C0" w:rsidR="008C3F1A" w:rsidRPr="00563DA0" w:rsidRDefault="005E4E75" w:rsidP="005E4E75">
            <w:pPr>
              <w:pStyle w:val="TableBullet"/>
              <w:cnfStyle w:val="000000000000" w:firstRow="0" w:lastRow="0" w:firstColumn="0" w:lastColumn="0" w:oddVBand="0" w:evenVBand="0" w:oddHBand="0" w:evenHBand="0" w:firstRowFirstColumn="0" w:firstRowLastColumn="0" w:lastRowFirstColumn="0" w:lastRowLastColumn="0"/>
            </w:pPr>
            <w:r>
              <w:t>Potential exposure of data on a smaller scale or in a limited context, warranting prompt corrective measures.</w:t>
            </w:r>
          </w:p>
        </w:tc>
        <w:tc>
          <w:tcPr>
            <w:tcW w:w="1525" w:type="dxa"/>
          </w:tcPr>
          <w:p w14:paraId="10F1E561" w14:textId="457A78DC" w:rsidR="008C3F1A" w:rsidRPr="00563DA0" w:rsidRDefault="00BF193A" w:rsidP="002413AA">
            <w:pPr>
              <w:cnfStyle w:val="000000000000" w:firstRow="0" w:lastRow="0" w:firstColumn="0" w:lastColumn="0" w:oddVBand="0" w:evenVBand="0" w:oddHBand="0" w:evenHBand="0" w:firstRowFirstColumn="0" w:firstRowLastColumn="0" w:lastRowFirstColumn="0" w:lastRowLastColumn="0"/>
            </w:pPr>
            <w:r>
              <w:rPr>
                <w:rFonts w:cstheme="minorHAnsi"/>
                <w:bCs/>
                <w:szCs w:val="20"/>
              </w:rPr>
              <w:t>Three (3) calendar days from when the incident began occurring</w:t>
            </w:r>
          </w:p>
        </w:tc>
      </w:tr>
      <w:tr w:rsidR="008C3F1A" w:rsidRPr="00563DA0" w14:paraId="68F76AD8" w14:textId="77777777" w:rsidTr="358A1B0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3D437F0B" w14:textId="5B08ACAD" w:rsidR="008C3F1A" w:rsidRPr="00563DA0" w:rsidRDefault="008C3F1A" w:rsidP="002413AA">
            <w:pPr>
              <w:rPr>
                <w:szCs w:val="20"/>
              </w:rPr>
            </w:pPr>
            <w:r>
              <w:rPr>
                <w:rFonts w:cs="Arial"/>
                <w:szCs w:val="20"/>
              </w:rPr>
              <w:t>Severity 4</w:t>
            </w:r>
          </w:p>
        </w:tc>
        <w:tc>
          <w:tcPr>
            <w:tcW w:w="8100" w:type="dxa"/>
          </w:tcPr>
          <w:p w14:paraId="1BCF0639" w14:textId="081C7757" w:rsidR="00DE36C9" w:rsidRPr="00DE36C9" w:rsidRDefault="00DE36C9" w:rsidP="00DE36C9">
            <w:pPr>
              <w:cnfStyle w:val="000000010000" w:firstRow="0" w:lastRow="0" w:firstColumn="0" w:lastColumn="0" w:oddVBand="0" w:evenVBand="0" w:oddHBand="0" w:evenHBand="1" w:firstRowFirstColumn="0" w:firstRowLastColumn="0" w:lastRowFirstColumn="0" w:lastRowLastColumn="0"/>
              <w:rPr>
                <w:rFonts w:cs="Arial"/>
              </w:rPr>
            </w:pPr>
            <w:r>
              <w:rPr>
                <w:rFonts w:cs="Arial"/>
              </w:rPr>
              <w:t xml:space="preserve">A security, privacy, or system incident must be assigned as a Severity 4 in the event that any incident that does not comply with the requirements of Severity 1, 2, or 3, or is characterized by any of the following: </w:t>
            </w:r>
          </w:p>
          <w:p w14:paraId="702E82A9" w14:textId="77777777" w:rsidR="00DE36C9" w:rsidRPr="00DE36C9" w:rsidRDefault="00DE36C9" w:rsidP="00DE36C9">
            <w:pPr>
              <w:pStyle w:val="TableBullet"/>
              <w:cnfStyle w:val="000000010000" w:firstRow="0" w:lastRow="0" w:firstColumn="0" w:lastColumn="0" w:oddVBand="0" w:evenVBand="0" w:oddHBand="0" w:evenHBand="1" w:firstRowFirstColumn="0" w:firstRowLastColumn="0" w:lastRowFirstColumn="0" w:lastRowLastColumn="0"/>
            </w:pPr>
            <w:r>
              <w:t xml:space="preserve">A technical service and shared service requires minimal attention. The issue is not substantially averse to the business operations of the solution (e.g., daily functionality is not impacted, or a workaround is possible) and does not require immediate resolution. </w:t>
            </w:r>
          </w:p>
          <w:p w14:paraId="435771F3" w14:textId="3350B546" w:rsidR="00DE36C9" w:rsidRPr="00DE36C9" w:rsidRDefault="00DE36C9" w:rsidP="00DE36C9">
            <w:pPr>
              <w:pStyle w:val="TableBullet"/>
              <w:cnfStyle w:val="000000010000" w:firstRow="0" w:lastRow="0" w:firstColumn="0" w:lastColumn="0" w:oddVBand="0" w:evenVBand="0" w:oddHBand="0" w:evenHBand="1" w:firstRowFirstColumn="0" w:firstRowLastColumn="0" w:lastRowFirstColumn="0" w:lastRowLastColumn="0"/>
            </w:pPr>
            <w:r>
              <w:t xml:space="preserve">A date for correction must be agreed to between the parties. </w:t>
            </w:r>
          </w:p>
          <w:p w14:paraId="0CBB4821" w14:textId="77777777" w:rsidR="00DE36C9" w:rsidRPr="00DE36C9" w:rsidRDefault="00DE36C9" w:rsidP="00DE36C9">
            <w:pPr>
              <w:pStyle w:val="TableBullet"/>
              <w:cnfStyle w:val="000000010000" w:firstRow="0" w:lastRow="0" w:firstColumn="0" w:lastColumn="0" w:oddVBand="0" w:evenVBand="0" w:oddHBand="0" w:evenHBand="1" w:firstRowFirstColumn="0" w:firstRowLastColumn="0" w:lastRowFirstColumn="0" w:lastRowLastColumn="0"/>
            </w:pPr>
            <w:r>
              <w:t>Minimal threats to Department assets, often related to isolated or easily contained incidents.</w:t>
            </w:r>
          </w:p>
          <w:p w14:paraId="0774A5B3" w14:textId="07CACD18" w:rsidR="008C3F1A" w:rsidRPr="00563DA0" w:rsidRDefault="00DE36C9" w:rsidP="00DE36C9">
            <w:pPr>
              <w:pStyle w:val="TableBullet"/>
              <w:cnfStyle w:val="000000010000" w:firstRow="0" w:lastRow="0" w:firstColumn="0" w:lastColumn="0" w:oddVBand="0" w:evenVBand="0" w:oddHBand="0" w:evenHBand="1" w:firstRowFirstColumn="0" w:firstRowLastColumn="0" w:lastRowFirstColumn="0" w:lastRowLastColumn="0"/>
              <w:rPr>
                <w:szCs w:val="20"/>
              </w:rPr>
            </w:pPr>
            <w:r>
              <w:t>Little to no risk to personal data, with any concerns typically handled through standard support process.</w:t>
            </w:r>
          </w:p>
        </w:tc>
        <w:tc>
          <w:tcPr>
            <w:tcW w:w="1525" w:type="dxa"/>
          </w:tcPr>
          <w:p w14:paraId="2105721C" w14:textId="4B04E128" w:rsidR="008C3F1A" w:rsidRPr="00563DA0" w:rsidRDefault="00AD3568" w:rsidP="002413AA">
            <w:pPr>
              <w:cnfStyle w:val="000000010000" w:firstRow="0" w:lastRow="0" w:firstColumn="0" w:lastColumn="0" w:oddVBand="0" w:evenVBand="0" w:oddHBand="0" w:evenHBand="1" w:firstRowFirstColumn="0" w:firstRowLastColumn="0" w:lastRowFirstColumn="0" w:lastRowLastColumn="0"/>
            </w:pPr>
            <w:r>
              <w:rPr>
                <w:rFonts w:cstheme="minorHAnsi"/>
                <w:bCs/>
                <w:szCs w:val="20"/>
              </w:rPr>
              <w:t>Six (6) calendar days from when the incident began occurring</w:t>
            </w:r>
          </w:p>
        </w:tc>
      </w:tr>
    </w:tbl>
    <w:p w14:paraId="76CAD607" w14:textId="2D96F751" w:rsidR="008C3F1A" w:rsidRPr="00563DA0" w:rsidRDefault="008C3F1A" w:rsidP="008C3F1A">
      <w:r>
        <w:rPr>
          <w:b/>
          <w:bCs/>
        </w:rPr>
        <w:t>Note:</w:t>
      </w:r>
      <w:r>
        <w:t xml:space="preserve"> Final determination regarding severity level rests solely with the Department OHIP Chief Information Officer (CIO) or designee.</w:t>
      </w:r>
    </w:p>
    <w:p w14:paraId="3BDFAF7E" w14:textId="63C48502" w:rsidR="00C7228D" w:rsidRDefault="00C7228D" w:rsidP="00C7228D">
      <w:pPr>
        <w:rPr>
          <w:b/>
          <w:bCs/>
          <w:i/>
        </w:rPr>
      </w:pPr>
      <w:bookmarkStart w:id="9" w:name="_Ref230265646"/>
      <w:bookmarkStart w:id="10" w:name="_Ref233191304"/>
      <w:r>
        <w:t xml:space="preserve">Priorities for issues are assigned based on Urgency Level and Issue Impact as described in the OHIP Solution Delivery Domain Document, Release Management Standard. Priority levels are described in </w:t>
      </w:r>
      <w:r>
        <w:rPr>
          <w:b/>
          <w:bCs/>
        </w:rPr>
        <w:fldChar w:fldCharType="begin"/>
      </w:r>
      <w:r>
        <w:rPr>
          <w:b/>
          <w:bCs/>
        </w:rPr>
        <w:instrText xml:space="preserve"> REF _Ref233198925 \h  \* MERGEFORMAT </w:instrText>
      </w:r>
      <w:r>
        <w:rPr>
          <w:b/>
          <w:bCs/>
        </w:rPr>
      </w:r>
      <w:r>
        <w:rPr>
          <w:b/>
          <w:bCs/>
        </w:rPr>
        <w:fldChar w:fldCharType="separate"/>
      </w:r>
      <w:r>
        <w:rPr>
          <w:b/>
          <w:bCs/>
        </w:rPr>
        <w:t xml:space="preserve">Table </w:t>
      </w:r>
      <w:r>
        <w:rPr>
          <w:b/>
          <w:bCs/>
          <w:noProof/>
        </w:rPr>
        <w:t>2</w:t>
      </w:r>
      <w:r>
        <w:rPr>
          <w:b/>
          <w:bCs/>
        </w:rPr>
        <w:fldChar w:fldCharType="end"/>
      </w:r>
      <w:r>
        <w:t>.</w:t>
      </w:r>
    </w:p>
    <w:p w14:paraId="5E81CA85" w14:textId="1F0C748B" w:rsidR="008C3F1A" w:rsidRPr="00563DA0" w:rsidRDefault="008C3F1A" w:rsidP="008C3F1A">
      <w:pPr>
        <w:pStyle w:val="Caption"/>
      </w:pPr>
      <w:bookmarkStart w:id="11" w:name="_Ref233198925"/>
      <w:r>
        <w:lastRenderedPageBreak/>
        <w:t xml:space="preserve">Table </w:t>
      </w:r>
      <w:fldSimple w:instr=" SEQ Table \* ARABIC ">
        <w:r>
          <w:rPr>
            <w:noProof/>
          </w:rPr>
          <w:t>2</w:t>
        </w:r>
      </w:fldSimple>
      <w:bookmarkEnd w:id="9"/>
      <w:bookmarkEnd w:id="11"/>
      <w:r>
        <w:rPr>
          <w:noProof/>
        </w:rPr>
        <w:t xml:space="preserve"> – Priority Level for Issues/Defects with Converged E&amp;E System and AMS Functions</w:t>
      </w:r>
      <w:bookmarkEnd w:id="10"/>
    </w:p>
    <w:tbl>
      <w:tblPr>
        <w:tblStyle w:val="DOH"/>
        <w:tblW w:w="10790" w:type="dxa"/>
        <w:tblLook w:val="04A0" w:firstRow="1" w:lastRow="0" w:firstColumn="1" w:lastColumn="0" w:noHBand="0" w:noVBand="1"/>
      </w:tblPr>
      <w:tblGrid>
        <w:gridCol w:w="1470"/>
        <w:gridCol w:w="6715"/>
        <w:gridCol w:w="2605"/>
      </w:tblGrid>
      <w:tr w:rsidR="00CD0F7A" w:rsidRPr="00563DA0" w14:paraId="0C5B2787" w14:textId="77777777" w:rsidTr="358A1B0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0" w:type="dxa"/>
          </w:tcPr>
          <w:p w14:paraId="34433373" w14:textId="19F3BF6B" w:rsidR="008C3F1A" w:rsidRPr="00563DA0" w:rsidRDefault="00155324" w:rsidP="002413AA">
            <w:pPr>
              <w:rPr>
                <w:color w:val="auto"/>
                <w:szCs w:val="20"/>
              </w:rPr>
            </w:pPr>
            <w:r>
              <w:rPr>
                <w:rFonts w:cs="Arial"/>
                <w:color w:val="auto"/>
                <w:szCs w:val="20"/>
              </w:rPr>
              <w:t>Priority Level</w:t>
            </w:r>
          </w:p>
        </w:tc>
        <w:tc>
          <w:tcPr>
            <w:tcW w:w="6715" w:type="dxa"/>
          </w:tcPr>
          <w:p w14:paraId="1119822B" w14:textId="512B381C" w:rsidR="008C3F1A" w:rsidRPr="00563DA0" w:rsidRDefault="008C3F1A" w:rsidP="002413AA">
            <w:pPr>
              <w:cnfStyle w:val="100000000000" w:firstRow="1" w:lastRow="0" w:firstColumn="0" w:lastColumn="0" w:oddVBand="0" w:evenVBand="0" w:oddHBand="0" w:evenHBand="0" w:firstRowFirstColumn="0" w:firstRowLastColumn="0" w:lastRowFirstColumn="0" w:lastRowLastColumn="0"/>
              <w:rPr>
                <w:rFonts w:cs="Arial"/>
                <w:color w:val="auto"/>
              </w:rPr>
            </w:pPr>
            <w:r>
              <w:rPr>
                <w:rFonts w:cs="Arial"/>
                <w:color w:val="auto"/>
              </w:rPr>
              <w:t>Definition</w:t>
            </w:r>
          </w:p>
        </w:tc>
        <w:tc>
          <w:tcPr>
            <w:tcW w:w="2605" w:type="dxa"/>
          </w:tcPr>
          <w:p w14:paraId="1AA378BA" w14:textId="64366E49" w:rsidR="008C3F1A" w:rsidRPr="00563DA0" w:rsidRDefault="008C3F1A" w:rsidP="002413AA">
            <w:pPr>
              <w:cnfStyle w:val="100000000000" w:firstRow="1" w:lastRow="0" w:firstColumn="0" w:lastColumn="0" w:oddVBand="0" w:evenVBand="0" w:oddHBand="0" w:evenHBand="0" w:firstRowFirstColumn="0" w:firstRowLastColumn="0" w:lastRowFirstColumn="0" w:lastRowLastColumn="0"/>
              <w:rPr>
                <w:color w:val="auto"/>
                <w:szCs w:val="20"/>
              </w:rPr>
            </w:pPr>
            <w:r>
              <w:rPr>
                <w:rFonts w:cs="Arial"/>
                <w:color w:val="auto"/>
                <w:szCs w:val="20"/>
              </w:rPr>
              <w:t>Example</w:t>
            </w:r>
          </w:p>
        </w:tc>
      </w:tr>
      <w:tr w:rsidR="008C3F1A" w:rsidRPr="00563DA0" w14:paraId="350CBD3A" w14:textId="77777777" w:rsidTr="358A1B02">
        <w:trPr>
          <w:trHeight w:val="300"/>
        </w:trPr>
        <w:tc>
          <w:tcPr>
            <w:cnfStyle w:val="001000000000" w:firstRow="0" w:lastRow="0" w:firstColumn="1" w:lastColumn="0" w:oddVBand="0" w:evenVBand="0" w:oddHBand="0" w:evenHBand="0" w:firstRowFirstColumn="0" w:firstRowLastColumn="0" w:lastRowFirstColumn="0" w:lastRowLastColumn="0"/>
            <w:tcW w:w="1470" w:type="dxa"/>
          </w:tcPr>
          <w:p w14:paraId="2008231D" w14:textId="77777777" w:rsidR="008C3F1A" w:rsidRPr="00563DA0" w:rsidRDefault="008C3F1A" w:rsidP="002413AA">
            <w:pPr>
              <w:rPr>
                <w:szCs w:val="20"/>
              </w:rPr>
            </w:pPr>
            <w:r>
              <w:rPr>
                <w:rFonts w:cs="Arial"/>
                <w:szCs w:val="20"/>
              </w:rPr>
              <w:t>Critical</w:t>
            </w:r>
          </w:p>
        </w:tc>
        <w:tc>
          <w:tcPr>
            <w:tcW w:w="6715" w:type="dxa"/>
          </w:tcPr>
          <w:p w14:paraId="70BB47AF" w14:textId="283CA875" w:rsidR="00701341" w:rsidRDefault="00C72201" w:rsidP="002413AA">
            <w:pPr>
              <w:cnfStyle w:val="000000000000" w:firstRow="0" w:lastRow="0" w:firstColumn="0" w:lastColumn="0" w:oddVBand="0" w:evenVBand="0" w:oddHBand="0" w:evenHBand="0" w:firstRowFirstColumn="0" w:firstRowLastColumn="0" w:lastRowFirstColumn="0" w:lastRowLastColumn="0"/>
              <w:rPr>
                <w:rFonts w:cs="Arial"/>
              </w:rPr>
            </w:pPr>
            <w:r>
              <w:rPr>
                <w:rFonts w:cs="Arial"/>
              </w:rPr>
              <w:t>The issue must be a complete outage or severe degradation of the Converged E&amp;E System or AMS that affects a large portion of the State staff or external users with no viable workaround, posing an immediate business, financial, safety, or regulatory risk.</w:t>
            </w:r>
          </w:p>
          <w:p w14:paraId="3A5F4944" w14:textId="77777777" w:rsidR="00C72201" w:rsidRDefault="00C72201" w:rsidP="002413AA">
            <w:pPr>
              <w:cnfStyle w:val="000000000000" w:firstRow="0" w:lastRow="0" w:firstColumn="0" w:lastColumn="0" w:oddVBand="0" w:evenVBand="0" w:oddHBand="0" w:evenHBand="0" w:firstRowFirstColumn="0" w:firstRowLastColumn="0" w:lastRowFirstColumn="0" w:lastRowLastColumn="0"/>
              <w:rPr>
                <w:rFonts w:cs="Arial"/>
              </w:rPr>
            </w:pPr>
          </w:p>
          <w:p w14:paraId="7337C46F" w14:textId="1C0FFCF2" w:rsidR="008C3F1A" w:rsidRPr="00563DA0" w:rsidRDefault="0070100E" w:rsidP="002413AA">
            <w:pPr>
              <w:cnfStyle w:val="000000000000" w:firstRow="0" w:lastRow="0" w:firstColumn="0" w:lastColumn="0" w:oddVBand="0" w:evenVBand="0" w:oddHBand="0" w:evenHBand="0" w:firstRowFirstColumn="0" w:firstRowLastColumn="0" w:lastRowFirstColumn="0" w:lastRowLastColumn="0"/>
            </w:pPr>
            <w:r>
              <w:rPr>
                <w:rFonts w:cs="Arial"/>
              </w:rPr>
              <w:t>This includes issues relating to critical and essential functions that the Converged E&amp;E System and AMS support for the NYS Medicaid Program, NYS residents related to Medicaid Program eligibility, and coverage of eligible members. A Critical defect is a significant issue or flaw within a live Production Environment that results in a system being unavailable or a critical business process (e.g., eligibility, enrollment, back office) failure, and for which there is no systemic or Department-acceptable manual workaround. The Medicaid Program cannot withstand any duration of planned or unplanned outages of these Converged E&amp;E System and AMS functions.</w:t>
            </w:r>
          </w:p>
        </w:tc>
        <w:tc>
          <w:tcPr>
            <w:tcW w:w="2605" w:type="dxa"/>
          </w:tcPr>
          <w:p w14:paraId="3D77B94E" w14:textId="48FBAF95" w:rsidR="008C3F1A" w:rsidRPr="00563DA0" w:rsidRDefault="008C3F1A" w:rsidP="002413AA">
            <w:pPr>
              <w:cnfStyle w:val="000000000000" w:firstRow="0" w:lastRow="0" w:firstColumn="0" w:lastColumn="0" w:oddVBand="0" w:evenVBand="0" w:oddHBand="0" w:evenHBand="0" w:firstRowFirstColumn="0" w:firstRowLastColumn="0" w:lastRowFirstColumn="0" w:lastRowLastColumn="0"/>
              <w:rPr>
                <w:szCs w:val="20"/>
              </w:rPr>
            </w:pPr>
            <w:r>
              <w:rPr>
                <w:rFonts w:cs="Arial"/>
                <w:szCs w:val="20"/>
              </w:rPr>
              <w:t>Loss of public-facing functionality that results in an inability to load the system or navigate to any of the website pages</w:t>
            </w:r>
          </w:p>
        </w:tc>
      </w:tr>
      <w:tr w:rsidR="00CD0F7A" w:rsidRPr="00563DA0" w14:paraId="18719DD8" w14:textId="77777777" w:rsidTr="358A1B02">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0" w:type="dxa"/>
          </w:tcPr>
          <w:p w14:paraId="44C43662" w14:textId="77777777" w:rsidR="008C3F1A" w:rsidRPr="00563DA0" w:rsidRDefault="008C3F1A" w:rsidP="002413AA">
            <w:pPr>
              <w:rPr>
                <w:szCs w:val="20"/>
              </w:rPr>
            </w:pPr>
            <w:r>
              <w:rPr>
                <w:rFonts w:cs="Arial"/>
                <w:szCs w:val="20"/>
              </w:rPr>
              <w:t>High</w:t>
            </w:r>
          </w:p>
        </w:tc>
        <w:tc>
          <w:tcPr>
            <w:tcW w:w="6715" w:type="dxa"/>
          </w:tcPr>
          <w:p w14:paraId="019C8E34" w14:textId="37BD2F87" w:rsidR="0070100E" w:rsidRDefault="0008301E" w:rsidP="002413AA">
            <w:pPr>
              <w:cnfStyle w:val="000000010000" w:firstRow="0" w:lastRow="0" w:firstColumn="0" w:lastColumn="0" w:oddVBand="0" w:evenVBand="0" w:oddHBand="0" w:evenHBand="1" w:firstRowFirstColumn="0" w:firstRowLastColumn="0" w:lastRowFirstColumn="0" w:lastRowLastColumn="0"/>
              <w:rPr>
                <w:rFonts w:cs="Arial"/>
              </w:rPr>
            </w:pPr>
            <w:r>
              <w:rPr>
                <w:rFonts w:cs="Arial"/>
              </w:rPr>
              <w:t>The issue is a significant degradation or partial outage of the Converged E&amp;E System or AMS that impacts many State staff or external users, and a workaround may exist but is cumbersome or risky.</w:t>
            </w:r>
          </w:p>
          <w:p w14:paraId="4541BFFF" w14:textId="77777777" w:rsidR="0070100E" w:rsidRDefault="0070100E" w:rsidP="002413AA">
            <w:pPr>
              <w:cnfStyle w:val="000000010000" w:firstRow="0" w:lastRow="0" w:firstColumn="0" w:lastColumn="0" w:oddVBand="0" w:evenVBand="0" w:oddHBand="0" w:evenHBand="1" w:firstRowFirstColumn="0" w:firstRowLastColumn="0" w:lastRowFirstColumn="0" w:lastRowLastColumn="0"/>
              <w:rPr>
                <w:rFonts w:cs="Arial"/>
              </w:rPr>
            </w:pPr>
          </w:p>
          <w:p w14:paraId="36671F0D" w14:textId="7739DB3C" w:rsidR="008C3F1A" w:rsidRPr="00563DA0" w:rsidRDefault="0070100E" w:rsidP="002413AA">
            <w:pPr>
              <w:cnfStyle w:val="000000010000" w:firstRow="0" w:lastRow="0" w:firstColumn="0" w:lastColumn="0" w:oddVBand="0" w:evenVBand="0" w:oddHBand="0" w:evenHBand="1" w:firstRowFirstColumn="0" w:firstRowLastColumn="0" w:lastRowFirstColumn="0" w:lastRowLastColumn="0"/>
            </w:pPr>
            <w:r>
              <w:rPr>
                <w:rFonts w:cs="Arial"/>
              </w:rPr>
              <w:t>This includes issues relating to business critical functions supported by the Converged E&amp;E System and AMS. A High defect is an issue that results in a significant negative impact on business operations or service delivery, a failure of the system to satisfy a business or technical function, and for which there is no systemic or Department-acceptable manual workaround. Systems can withstand a minimal duration of planned or unplanned outages, though it causes major disruption to the business.</w:t>
            </w:r>
          </w:p>
        </w:tc>
        <w:tc>
          <w:tcPr>
            <w:tcW w:w="2605" w:type="dxa"/>
          </w:tcPr>
          <w:p w14:paraId="2D1EFA35" w14:textId="20F021F6" w:rsidR="008C3F1A" w:rsidRPr="00563DA0" w:rsidRDefault="008C3F1A" w:rsidP="002413AA">
            <w:pPr>
              <w:cnfStyle w:val="000000010000" w:firstRow="0" w:lastRow="0" w:firstColumn="0" w:lastColumn="0" w:oddVBand="0" w:evenVBand="0" w:oddHBand="0" w:evenHBand="1" w:firstRowFirstColumn="0" w:firstRowLastColumn="0" w:lastRowFirstColumn="0" w:lastRowLastColumn="0"/>
              <w:rPr>
                <w:szCs w:val="20"/>
              </w:rPr>
            </w:pPr>
            <w:r>
              <w:rPr>
                <w:rFonts w:cs="Arial"/>
                <w:szCs w:val="20"/>
              </w:rPr>
              <w:t>Loss of Worker Portal functionality that results in inability to process eligibility verification or delay in provisioning Medicaid coverage to eligible applicants</w:t>
            </w:r>
          </w:p>
        </w:tc>
      </w:tr>
      <w:tr w:rsidR="008C3F1A" w:rsidRPr="00563DA0" w14:paraId="7C92A0FA" w14:textId="77777777" w:rsidTr="358A1B02">
        <w:trPr>
          <w:trHeight w:val="300"/>
        </w:trPr>
        <w:tc>
          <w:tcPr>
            <w:cnfStyle w:val="001000000000" w:firstRow="0" w:lastRow="0" w:firstColumn="1" w:lastColumn="0" w:oddVBand="0" w:evenVBand="0" w:oddHBand="0" w:evenHBand="0" w:firstRowFirstColumn="0" w:firstRowLastColumn="0" w:lastRowFirstColumn="0" w:lastRowLastColumn="0"/>
            <w:tcW w:w="1470" w:type="dxa"/>
          </w:tcPr>
          <w:p w14:paraId="59C13219" w14:textId="77777777" w:rsidR="008C3F1A" w:rsidRPr="00563DA0" w:rsidRDefault="008C3F1A" w:rsidP="002413AA">
            <w:pPr>
              <w:rPr>
                <w:szCs w:val="20"/>
              </w:rPr>
            </w:pPr>
            <w:r>
              <w:rPr>
                <w:rFonts w:cs="Arial"/>
                <w:szCs w:val="20"/>
              </w:rPr>
              <w:t>Medium</w:t>
            </w:r>
          </w:p>
        </w:tc>
        <w:tc>
          <w:tcPr>
            <w:tcW w:w="6715" w:type="dxa"/>
          </w:tcPr>
          <w:p w14:paraId="5BBBE510" w14:textId="2C11CDCF" w:rsidR="0008301E" w:rsidRDefault="00436983" w:rsidP="002413AA">
            <w:pPr>
              <w:cnfStyle w:val="000000000000" w:firstRow="0" w:lastRow="0" w:firstColumn="0" w:lastColumn="0" w:oddVBand="0" w:evenVBand="0" w:oddHBand="0" w:evenHBand="0" w:firstRowFirstColumn="0" w:firstRowLastColumn="0" w:lastRowFirstColumn="0" w:lastRowLastColumn="0"/>
              <w:rPr>
                <w:rFonts w:cs="Arial"/>
              </w:rPr>
            </w:pPr>
            <w:r>
              <w:rPr>
                <w:rFonts w:cs="Arial"/>
              </w:rPr>
              <w:t>The issue has a limited impact on non-critical functions of the Converged E&amp;E System or AMS or a small number of State staff or external users, with a workaround available with manageable inconvenience.</w:t>
            </w:r>
          </w:p>
          <w:p w14:paraId="4D4E0094" w14:textId="77777777" w:rsidR="0008301E" w:rsidRDefault="0008301E" w:rsidP="002413AA">
            <w:pPr>
              <w:cnfStyle w:val="000000000000" w:firstRow="0" w:lastRow="0" w:firstColumn="0" w:lastColumn="0" w:oddVBand="0" w:evenVBand="0" w:oddHBand="0" w:evenHBand="0" w:firstRowFirstColumn="0" w:firstRowLastColumn="0" w:lastRowFirstColumn="0" w:lastRowLastColumn="0"/>
              <w:rPr>
                <w:rFonts w:cs="Arial"/>
              </w:rPr>
            </w:pPr>
          </w:p>
          <w:p w14:paraId="63ABBF9F" w14:textId="524F7525" w:rsidR="008C3F1A" w:rsidRPr="00563DA0" w:rsidRDefault="0070100E" w:rsidP="002413AA">
            <w:pPr>
              <w:cnfStyle w:val="000000000000" w:firstRow="0" w:lastRow="0" w:firstColumn="0" w:lastColumn="0" w:oddVBand="0" w:evenVBand="0" w:oddHBand="0" w:evenHBand="0" w:firstRowFirstColumn="0" w:firstRowLastColumn="0" w:lastRowFirstColumn="0" w:lastRowLastColumn="0"/>
              <w:rPr>
                <w:rFonts w:cs="Arial"/>
              </w:rPr>
            </w:pPr>
            <w:r>
              <w:rPr>
                <w:rFonts w:cs="Arial"/>
              </w:rPr>
              <w:t>This includes issues relating to non-critical functions supported by the Converged E&amp;E System and AMS. A Medium defect is an issue that results in a failure of the system to satisfy a business or technical function, and for which there is no systemic or Department-acceptable manual workaround. Systems can withstand a longer duration of planned or unplanned outages, with only minor disruption to the business.</w:t>
            </w:r>
          </w:p>
        </w:tc>
        <w:tc>
          <w:tcPr>
            <w:tcW w:w="2605" w:type="dxa"/>
          </w:tcPr>
          <w:p w14:paraId="4EE32F19" w14:textId="3B0CB625" w:rsidR="008C3F1A" w:rsidRPr="00563DA0" w:rsidRDefault="008C3F1A" w:rsidP="002413AA">
            <w:pPr>
              <w:cnfStyle w:val="000000000000" w:firstRow="0" w:lastRow="0" w:firstColumn="0" w:lastColumn="0" w:oddVBand="0" w:evenVBand="0" w:oddHBand="0" w:evenHBand="0" w:firstRowFirstColumn="0" w:firstRowLastColumn="0" w:lastRowFirstColumn="0" w:lastRowLastColumn="0"/>
              <w:rPr>
                <w:szCs w:val="20"/>
              </w:rPr>
            </w:pPr>
            <w:r>
              <w:rPr>
                <w:rFonts w:cs="Arial"/>
                <w:szCs w:val="20"/>
              </w:rPr>
              <w:t>Loss of minor functionality (e.g., updates to member information, able to read but not edit), which does not impact the ability to perform eligibility verification</w:t>
            </w:r>
          </w:p>
        </w:tc>
      </w:tr>
      <w:tr w:rsidR="00CD0F7A" w:rsidRPr="00563DA0" w14:paraId="2303CAA6" w14:textId="77777777" w:rsidTr="358A1B02">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0" w:type="dxa"/>
          </w:tcPr>
          <w:p w14:paraId="2036A14A" w14:textId="77777777" w:rsidR="008C3F1A" w:rsidRPr="00563DA0" w:rsidRDefault="008C3F1A" w:rsidP="002413AA">
            <w:pPr>
              <w:rPr>
                <w:szCs w:val="20"/>
              </w:rPr>
            </w:pPr>
            <w:r>
              <w:rPr>
                <w:rFonts w:cs="Arial"/>
                <w:szCs w:val="20"/>
              </w:rPr>
              <w:t>Low</w:t>
            </w:r>
          </w:p>
        </w:tc>
        <w:tc>
          <w:tcPr>
            <w:tcW w:w="6715" w:type="dxa"/>
          </w:tcPr>
          <w:p w14:paraId="02C5AB15" w14:textId="40147837" w:rsidR="00F957DD" w:rsidRDefault="00F957DD" w:rsidP="002413AA">
            <w:pPr>
              <w:cnfStyle w:val="000000010000" w:firstRow="0" w:lastRow="0" w:firstColumn="0" w:lastColumn="0" w:oddVBand="0" w:evenVBand="0" w:oddHBand="0" w:evenHBand="1" w:firstRowFirstColumn="0" w:firstRowLastColumn="0" w:lastRowFirstColumn="0" w:lastRowLastColumn="0"/>
              <w:rPr>
                <w:rFonts w:cs="Arial"/>
              </w:rPr>
            </w:pPr>
            <w:r>
              <w:rPr>
                <w:rFonts w:cs="Arial"/>
              </w:rPr>
              <w:t>The issue causes a minor disruption, involves cosmetic defects, or consists of informational requests reported as incidents, with no meaningful business impact and an easy or no-impact workaround.</w:t>
            </w:r>
          </w:p>
          <w:p w14:paraId="78F43294" w14:textId="77777777" w:rsidR="00F957DD" w:rsidRDefault="00F957DD" w:rsidP="002413AA">
            <w:pPr>
              <w:cnfStyle w:val="000000010000" w:firstRow="0" w:lastRow="0" w:firstColumn="0" w:lastColumn="0" w:oddVBand="0" w:evenVBand="0" w:oddHBand="0" w:evenHBand="1" w:firstRowFirstColumn="0" w:firstRowLastColumn="0" w:lastRowFirstColumn="0" w:lastRowLastColumn="0"/>
              <w:rPr>
                <w:rFonts w:cs="Arial"/>
              </w:rPr>
            </w:pPr>
          </w:p>
          <w:p w14:paraId="6AD66122" w14:textId="7440E73E" w:rsidR="008C3F1A" w:rsidRPr="00563DA0" w:rsidRDefault="0070100E" w:rsidP="002413AA">
            <w:pPr>
              <w:cnfStyle w:val="000000010000" w:firstRow="0" w:lastRow="0" w:firstColumn="0" w:lastColumn="0" w:oddVBand="0" w:evenVBand="0" w:oddHBand="0" w:evenHBand="1" w:firstRowFirstColumn="0" w:firstRowLastColumn="0" w:lastRowFirstColumn="0" w:lastRowLastColumn="0"/>
              <w:rPr>
                <w:rFonts w:cs="Arial"/>
              </w:rPr>
            </w:pPr>
            <w:r>
              <w:rPr>
                <w:rFonts w:cs="Arial"/>
              </w:rPr>
              <w:t xml:space="preserve">This includes issues relating to non-essential functions supported by the Converged E&amp;E System and AMS. A Low defect is an issue that results in a failure of the system to satisfy a business or technical function and does not return valid information (e.g., does not affect overall system functionality or is cosmetic in nature). Systems can withstand an </w:t>
            </w:r>
            <w:r>
              <w:rPr>
                <w:rFonts w:cs="Arial"/>
              </w:rPr>
              <w:lastRenderedPageBreak/>
              <w:t>extended duration of planned or unplanned outages, with little to no disruption to the business.</w:t>
            </w:r>
          </w:p>
        </w:tc>
        <w:tc>
          <w:tcPr>
            <w:tcW w:w="2605" w:type="dxa"/>
          </w:tcPr>
          <w:p w14:paraId="3D59399B" w14:textId="12F5E9DD" w:rsidR="008C3F1A" w:rsidRPr="00563DA0" w:rsidRDefault="008C3F1A" w:rsidP="002413AA">
            <w:pPr>
              <w:cnfStyle w:val="000000010000" w:firstRow="0" w:lastRow="0" w:firstColumn="0" w:lastColumn="0" w:oddVBand="0" w:evenVBand="0" w:oddHBand="0" w:evenHBand="1" w:firstRowFirstColumn="0" w:firstRowLastColumn="0" w:lastRowFirstColumn="0" w:lastRowLastColumn="0"/>
              <w:rPr>
                <w:szCs w:val="20"/>
              </w:rPr>
            </w:pPr>
            <w:r>
              <w:rPr>
                <w:rFonts w:cs="Arial"/>
                <w:szCs w:val="20"/>
              </w:rPr>
              <w:lastRenderedPageBreak/>
              <w:t>Minor cosmetic issues (e.g., font, text color)</w:t>
            </w:r>
          </w:p>
        </w:tc>
      </w:tr>
    </w:tbl>
    <w:p w14:paraId="563D65CE" w14:textId="070616CF" w:rsidR="00030A3E" w:rsidRDefault="00030A3E" w:rsidP="00030A3E">
      <w:pPr>
        <w:pStyle w:val="Heading1"/>
      </w:pPr>
      <w:bookmarkStart w:id="12" w:name="_Toc230267114"/>
      <w:bookmarkStart w:id="13" w:name="_Toc233199123"/>
      <w:r>
        <w:t>Service Level Agreements</w:t>
      </w:r>
      <w:bookmarkEnd w:id="12"/>
      <w:bookmarkEnd w:id="13"/>
    </w:p>
    <w:p w14:paraId="63359E54" w14:textId="7B864BD2" w:rsidR="00030A3E" w:rsidRDefault="00030A3E" w:rsidP="00030A3E">
      <w:r>
        <w:t>The following are the SLAs for the Converged E&amp;E and AMS RFP.</w:t>
      </w:r>
    </w:p>
    <w:p w14:paraId="0F3AAE53" w14:textId="0F13F540" w:rsidR="00242F3B" w:rsidRPr="00030A3E" w:rsidRDefault="00CE5273" w:rsidP="00242F3B">
      <w:pPr>
        <w:pStyle w:val="Heading2"/>
      </w:pPr>
      <w:bookmarkStart w:id="14" w:name="_Toc233199124"/>
      <w:r>
        <w:t>Procedural and Change</w:t>
      </w:r>
      <w:bookmarkEnd w:id="14"/>
    </w:p>
    <w:p w14:paraId="35BECEC7" w14:textId="3C5D723B" w:rsidR="005562EB" w:rsidRPr="002C7415" w:rsidRDefault="005562EB" w:rsidP="00B44563">
      <w:pPr>
        <w:pStyle w:val="HeadingSLA"/>
      </w:pPr>
      <w:bookmarkStart w:id="15" w:name="_Toc233199125"/>
      <w:r>
        <w:t>Converged Eligibility and Enrollment System and Appeals Management System Project Roadmap – Currency</w:t>
      </w:r>
      <w:bookmarkEnd w:id="0"/>
      <w:bookmarkEnd w:id="15"/>
    </w:p>
    <w:tbl>
      <w:tblPr>
        <w:tblStyle w:val="DOH-LeftHeader"/>
        <w:tblW w:w="5000" w:type="pct"/>
        <w:tblLayout w:type="fixed"/>
        <w:tblLook w:val="0480" w:firstRow="0" w:lastRow="0" w:firstColumn="1" w:lastColumn="0" w:noHBand="0" w:noVBand="1"/>
      </w:tblPr>
      <w:tblGrid>
        <w:gridCol w:w="1885"/>
        <w:gridCol w:w="8905"/>
      </w:tblGrid>
      <w:tr w:rsidR="005562EB" w:rsidRPr="002C7415" w14:paraId="288D63F4" w14:textId="77777777" w:rsidTr="1D27F165">
        <w:tc>
          <w:tcPr>
            <w:cnfStyle w:val="001000000000" w:firstRow="0" w:lastRow="0" w:firstColumn="1" w:lastColumn="0" w:oddVBand="0" w:evenVBand="0" w:oddHBand="0" w:evenHBand="0" w:firstRowFirstColumn="0" w:firstRowLastColumn="0" w:lastRowFirstColumn="0" w:lastRowLastColumn="0"/>
            <w:tcW w:w="1885" w:type="dxa"/>
          </w:tcPr>
          <w:p w14:paraId="2A824B0D" w14:textId="77777777" w:rsidR="005562EB" w:rsidRPr="002C7415" w:rsidRDefault="005562EB" w:rsidP="002413AA">
            <w:pPr>
              <w:rPr>
                <w:rFonts w:cs="Arial"/>
                <w:b w:val="0"/>
                <w:bCs w:val="0"/>
                <w:szCs w:val="20"/>
              </w:rPr>
            </w:pPr>
            <w:r>
              <w:rPr>
                <w:rFonts w:cs="Arial"/>
                <w:szCs w:val="20"/>
              </w:rPr>
              <w:t>Purpose</w:t>
            </w:r>
          </w:p>
        </w:tc>
        <w:tc>
          <w:tcPr>
            <w:tcW w:w="8905" w:type="dxa"/>
          </w:tcPr>
          <w:p w14:paraId="63860C29"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makes sure the Contractor keeps the Project Roadmap updated. The Department relies on this document to know when project milestones, releases, and system improvements will happen.</w:t>
            </w:r>
          </w:p>
        </w:tc>
      </w:tr>
      <w:tr w:rsidR="005562EB" w:rsidRPr="002C7415" w14:paraId="3E716A36" w14:textId="77777777" w:rsidTr="1D27F1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53404010" w14:textId="77777777" w:rsidR="005562EB" w:rsidRPr="002C7415" w:rsidRDefault="005562EB" w:rsidP="002413AA">
            <w:pPr>
              <w:rPr>
                <w:rFonts w:cs="Arial"/>
                <w:b w:val="0"/>
                <w:bCs w:val="0"/>
                <w:szCs w:val="20"/>
              </w:rPr>
            </w:pPr>
            <w:r>
              <w:rPr>
                <w:rFonts w:cs="Arial"/>
                <w:szCs w:val="20"/>
              </w:rPr>
              <w:t>Specification</w:t>
            </w:r>
          </w:p>
        </w:tc>
        <w:tc>
          <w:tcPr>
            <w:tcW w:w="8905" w:type="dxa"/>
          </w:tcPr>
          <w:p w14:paraId="62E67708" w14:textId="68E2BEBD"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update the Converged E&amp;E System and AMS Project Roadmap at least once every calendar quarter. The update must show any changes to the project’s scope, timelines, and release plans.</w:t>
            </w:r>
          </w:p>
        </w:tc>
      </w:tr>
      <w:tr w:rsidR="005562EB" w:rsidRPr="002C7415" w14:paraId="11FDF79B" w14:textId="77777777" w:rsidTr="1D27F165">
        <w:tc>
          <w:tcPr>
            <w:cnfStyle w:val="001000000000" w:firstRow="0" w:lastRow="0" w:firstColumn="1" w:lastColumn="0" w:oddVBand="0" w:evenVBand="0" w:oddHBand="0" w:evenHBand="0" w:firstRowFirstColumn="0" w:firstRowLastColumn="0" w:lastRowFirstColumn="0" w:lastRowLastColumn="0"/>
            <w:tcW w:w="1885" w:type="dxa"/>
          </w:tcPr>
          <w:p w14:paraId="20048092" w14:textId="77777777" w:rsidR="005562EB" w:rsidRPr="002C7415" w:rsidRDefault="005562EB" w:rsidP="002413AA">
            <w:pPr>
              <w:rPr>
                <w:rFonts w:cs="Arial"/>
                <w:b w:val="0"/>
                <w:bCs w:val="0"/>
                <w:szCs w:val="20"/>
              </w:rPr>
            </w:pPr>
            <w:r>
              <w:rPr>
                <w:rFonts w:cs="Arial"/>
                <w:szCs w:val="20"/>
              </w:rPr>
              <w:t>Service Level</w:t>
            </w:r>
          </w:p>
        </w:tc>
        <w:tc>
          <w:tcPr>
            <w:tcW w:w="8905" w:type="dxa"/>
          </w:tcPr>
          <w:p w14:paraId="67C52A8B" w14:textId="77777777"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submit an updated Project Roadmap to the Department by the last business day of every calendar quarter.</w:t>
            </w:r>
          </w:p>
        </w:tc>
      </w:tr>
      <w:tr w:rsidR="005562EB" w:rsidRPr="002C7415" w14:paraId="4509B9B4" w14:textId="77777777" w:rsidTr="1D27F1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5710B85E" w14:textId="77777777" w:rsidR="005562EB" w:rsidRPr="002C7415" w:rsidRDefault="005562EB" w:rsidP="002413AA">
            <w:pPr>
              <w:rPr>
                <w:rFonts w:cs="Arial"/>
                <w:b w:val="0"/>
                <w:bCs w:val="0"/>
                <w:szCs w:val="20"/>
              </w:rPr>
            </w:pPr>
            <w:r>
              <w:rPr>
                <w:rFonts w:cs="Arial"/>
                <w:szCs w:val="20"/>
              </w:rPr>
              <w:t>Notes</w:t>
            </w:r>
          </w:p>
        </w:tc>
        <w:tc>
          <w:tcPr>
            <w:tcW w:w="8905" w:type="dxa"/>
          </w:tcPr>
          <w:p w14:paraId="72B280F2" w14:textId="2271849C" w:rsidR="005562EB" w:rsidRPr="002C7415" w:rsidRDefault="005562EB" w:rsidP="19AD5764">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Roadmap must include the schedule for all design, development, and implementation (DDI), and </w:t>
            </w:r>
            <w:r>
              <w:rPr>
                <w:rFonts w:cs="Arial"/>
              </w:rPr>
              <w:t>Maintenance and Operations (M&amp;O) work.</w:t>
            </w:r>
            <w:r>
              <w:rPr>
                <w:rFonts w:cs="Arial"/>
                <w:szCs w:val="20"/>
              </w:rPr>
              <w:t xml:space="preserve"> Each quarterly update must show exact dates for the upcoming six months, and a general timeline for the rest of the project.</w:t>
            </w:r>
          </w:p>
        </w:tc>
      </w:tr>
      <w:tr w:rsidR="005562EB" w:rsidRPr="002C7415" w14:paraId="12DFF401" w14:textId="77777777" w:rsidTr="1D27F165">
        <w:tc>
          <w:tcPr>
            <w:cnfStyle w:val="001000000000" w:firstRow="0" w:lastRow="0" w:firstColumn="1" w:lastColumn="0" w:oddVBand="0" w:evenVBand="0" w:oddHBand="0" w:evenHBand="0" w:firstRowFirstColumn="0" w:firstRowLastColumn="0" w:lastRowFirstColumn="0" w:lastRowLastColumn="0"/>
            <w:tcW w:w="1885" w:type="dxa"/>
          </w:tcPr>
          <w:p w14:paraId="2125F68C" w14:textId="77777777" w:rsidR="005562EB" w:rsidRPr="002C7415" w:rsidRDefault="005562EB" w:rsidP="002413AA">
            <w:pPr>
              <w:rPr>
                <w:rFonts w:cs="Arial"/>
                <w:b w:val="0"/>
                <w:bCs w:val="0"/>
                <w:szCs w:val="20"/>
              </w:rPr>
            </w:pPr>
            <w:r>
              <w:rPr>
                <w:rFonts w:cs="Arial"/>
                <w:szCs w:val="20"/>
              </w:rPr>
              <w:t>Reporting Frequency</w:t>
            </w:r>
          </w:p>
        </w:tc>
        <w:tc>
          <w:tcPr>
            <w:tcW w:w="8905" w:type="dxa"/>
          </w:tcPr>
          <w:p w14:paraId="48702FA0" w14:textId="77777777"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reviewed at the end of each calendar quarter. The Contractor must report the status of this SLA in the Weekly and Monthly Status Reports.</w:t>
            </w:r>
          </w:p>
        </w:tc>
      </w:tr>
      <w:tr w:rsidR="005562EB" w:rsidRPr="002C7415" w14:paraId="79E2DF40" w14:textId="77777777" w:rsidTr="1D27F1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34A08CE7" w14:textId="77777777" w:rsidR="005562EB" w:rsidRPr="002C7415" w:rsidRDefault="005562EB" w:rsidP="002413AA">
            <w:pPr>
              <w:rPr>
                <w:rFonts w:cs="Arial"/>
                <w:szCs w:val="20"/>
              </w:rPr>
            </w:pPr>
            <w:r>
              <w:rPr>
                <w:rFonts w:cs="Arial"/>
                <w:szCs w:val="20"/>
              </w:rPr>
              <w:t>SLA Calculations</w:t>
            </w:r>
          </w:p>
        </w:tc>
        <w:tc>
          <w:tcPr>
            <w:tcW w:w="8905" w:type="dxa"/>
          </w:tcPr>
          <w:p w14:paraId="0E4A38C9"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Here is how the review is done to determine if this SLA was met:</w:t>
            </w:r>
          </w:p>
          <w:p w14:paraId="507139B4"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Find the Due Date</w:t>
            </w:r>
            <w:r>
              <w:rPr>
                <w:rFonts w:cs="Arial"/>
                <w:szCs w:val="20"/>
              </w:rPr>
              <w:t>: The updated Roadmap is due by the last business day of the calendar quarter.</w:t>
            </w:r>
          </w:p>
          <w:p w14:paraId="22BFA18F" w14:textId="4EAD9FF4"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Check the Submission Date</w:t>
            </w:r>
            <w:r>
              <w:rPr>
                <w:rFonts w:cs="Arial"/>
                <w:szCs w:val="20"/>
              </w:rPr>
              <w:t>: The “Document Edit History” in the Roadmap is reviewed to see exactly when the Contractor submitted the newest version.</w:t>
            </w:r>
          </w:p>
          <w:p w14:paraId="2CA5A565" w14:textId="3804AA09" w:rsidR="005562EB" w:rsidRPr="002C7415" w:rsidRDefault="005562EB" w:rsidP="00891A95">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Check for a Breach</w:t>
            </w:r>
            <w:r>
              <w:rPr>
                <w:rFonts w:cs="Arial"/>
                <w:szCs w:val="20"/>
              </w:rPr>
              <w:t>: If the submission date is after the due date, the initial service credit is applied. If the update is more than 30 days late, the additional service credit is also applied.</w:t>
            </w:r>
          </w:p>
          <w:p w14:paraId="19084B91" w14:textId="77777777" w:rsidR="00891A95" w:rsidRPr="002C7415" w:rsidRDefault="00891A95" w:rsidP="00891A95">
            <w:pPr>
              <w:cnfStyle w:val="000000010000" w:firstRow="0" w:lastRow="0" w:firstColumn="0" w:lastColumn="0" w:oddVBand="0" w:evenVBand="0" w:oddHBand="0" w:evenHBand="1" w:firstRowFirstColumn="0" w:firstRowLastColumn="0" w:lastRowFirstColumn="0" w:lastRowLastColumn="0"/>
              <w:rPr>
                <w:rFonts w:cs="Arial"/>
                <w:szCs w:val="20"/>
              </w:rPr>
            </w:pPr>
          </w:p>
          <w:p w14:paraId="69C6E13D"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t>Example</w:t>
            </w:r>
          </w:p>
          <w:p w14:paraId="0DBBE14A"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Due Date: September 30 (end of Q3).</w:t>
            </w:r>
          </w:p>
          <w:p w14:paraId="7BBE9E95"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Met</w:t>
            </w:r>
            <w:r>
              <w:rPr>
                <w:rFonts w:cs="Arial"/>
                <w:szCs w:val="20"/>
              </w:rPr>
              <w:t>: Contractor submits on September 28. SLA is met.</w:t>
            </w:r>
          </w:p>
          <w:p w14:paraId="5AD6BE00" w14:textId="66C5E1E4"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Initial Breach:</w:t>
            </w:r>
            <w:r>
              <w:rPr>
                <w:rFonts w:cs="Arial"/>
                <w:szCs w:val="20"/>
              </w:rPr>
              <w:t xml:space="preserve"> Contractor submits on October 15. The initial service credit of twenty-five thousand dollars ($25,000) is applied.</w:t>
            </w:r>
          </w:p>
          <w:p w14:paraId="7B43FA36" w14:textId="33403261" w:rsidR="005562EB" w:rsidRPr="002C7415" w:rsidRDefault="00D774AF"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Breach</w:t>
            </w:r>
            <w:r>
              <w:rPr>
                <w:rFonts w:cs="Arial"/>
                <w:szCs w:val="20"/>
              </w:rPr>
              <w:t>: Contractor submits on November 5. Because this is more than 30 calendar days past Sept 30, the additional service credit of ten thousand dollars ($10,000) is added, for total service credit of thirty-five thousand dollars ($35,000).</w:t>
            </w:r>
          </w:p>
        </w:tc>
      </w:tr>
      <w:tr w:rsidR="005562EB" w:rsidRPr="002C7415" w14:paraId="10311C6A" w14:textId="77777777" w:rsidTr="1D27F165">
        <w:tc>
          <w:tcPr>
            <w:cnfStyle w:val="001000000000" w:firstRow="0" w:lastRow="0" w:firstColumn="1" w:lastColumn="0" w:oddVBand="0" w:evenVBand="0" w:oddHBand="0" w:evenHBand="0" w:firstRowFirstColumn="0" w:firstRowLastColumn="0" w:lastRowFirstColumn="0" w:lastRowLastColumn="0"/>
            <w:tcW w:w="1885" w:type="dxa"/>
          </w:tcPr>
          <w:p w14:paraId="0F9BA159" w14:textId="77777777" w:rsidR="005562EB" w:rsidRPr="002C7415" w:rsidRDefault="005562EB" w:rsidP="002413AA">
            <w:pPr>
              <w:rPr>
                <w:rFonts w:cs="Arial"/>
                <w:b w:val="0"/>
                <w:bCs w:val="0"/>
                <w:szCs w:val="20"/>
              </w:rPr>
            </w:pPr>
            <w:bookmarkStart w:id="16" w:name="_Hlk31283409"/>
            <w:r>
              <w:rPr>
                <w:rFonts w:cs="Arial"/>
                <w:szCs w:val="20"/>
              </w:rPr>
              <w:t>SLA Calculations Definitions</w:t>
            </w:r>
          </w:p>
        </w:tc>
        <w:tc>
          <w:tcPr>
            <w:tcW w:w="8905" w:type="dxa"/>
          </w:tcPr>
          <w:p w14:paraId="608999FD"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Document Edit History</w:t>
            </w:r>
            <w:r>
              <w:rPr>
                <w:rFonts w:cs="Arial"/>
                <w:szCs w:val="20"/>
              </w:rPr>
              <w:t>: A change log maintained within a document that tracks document version, submission date, author, and description of change.</w:t>
            </w:r>
          </w:p>
          <w:p w14:paraId="19E563C4" w14:textId="1FAF240E"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Calendar Quarter</w:t>
            </w:r>
            <w:r>
              <w:rPr>
                <w:rFonts w:cs="Arial"/>
                <w:szCs w:val="20"/>
              </w:rPr>
              <w:t>: The four three-month periods of the year: Q1 (January–March), Q2 (April–June), Q3 (July–September), and Q4 (October–December).</w:t>
            </w:r>
          </w:p>
        </w:tc>
      </w:tr>
      <w:bookmarkEnd w:id="16"/>
      <w:tr w:rsidR="005562EB" w:rsidRPr="002C7415" w14:paraId="51A2AEB0" w14:textId="77777777" w:rsidTr="1D27F1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471BC98D" w14:textId="77777777" w:rsidR="005562EB" w:rsidRPr="002C7415" w:rsidRDefault="005562EB" w:rsidP="002413AA">
            <w:pPr>
              <w:rPr>
                <w:rFonts w:cs="Arial"/>
                <w:b w:val="0"/>
                <w:bCs w:val="0"/>
                <w:szCs w:val="20"/>
              </w:rPr>
            </w:pPr>
            <w:r>
              <w:rPr>
                <w:rFonts w:cs="Arial"/>
                <w:szCs w:val="20"/>
              </w:rPr>
              <w:lastRenderedPageBreak/>
              <w:t>Exclusions</w:t>
            </w:r>
          </w:p>
        </w:tc>
        <w:tc>
          <w:tcPr>
            <w:tcW w:w="8905" w:type="dxa"/>
          </w:tcPr>
          <w:p w14:paraId="10100529" w14:textId="2F7B8545" w:rsidR="005562EB" w:rsidRPr="002C7415" w:rsidRDefault="005562EB" w:rsidP="1D27F165">
            <w:pPr>
              <w:cnfStyle w:val="000000010000" w:firstRow="0" w:lastRow="0" w:firstColumn="0" w:lastColumn="0" w:oddVBand="0" w:evenVBand="0" w:oddHBand="0" w:evenHBand="1" w:firstRowFirstColumn="0" w:firstRowLastColumn="0" w:lastRowFirstColumn="0" w:lastRowLastColumn="0"/>
              <w:rPr>
                <w:rFonts w:cs="Arial"/>
              </w:rPr>
            </w:pPr>
            <w:r>
              <w:rPr>
                <w:rFonts w:cs="Arial"/>
              </w:rPr>
              <w:t>The Contractor is responsible for demonstrating that any claimed exclusion applies by providing written documentation of any waiver, including the waiver date, the authorizing decision-maker, and the impacted quarter(s), in the Document Edit History log.</w:t>
            </w:r>
          </w:p>
        </w:tc>
      </w:tr>
      <w:tr w:rsidR="005562EB" w:rsidRPr="002C7415" w14:paraId="7A2400D9" w14:textId="77777777" w:rsidTr="1D27F165">
        <w:tc>
          <w:tcPr>
            <w:cnfStyle w:val="001000000000" w:firstRow="0" w:lastRow="0" w:firstColumn="1" w:lastColumn="0" w:oddVBand="0" w:evenVBand="0" w:oddHBand="0" w:evenHBand="0" w:firstRowFirstColumn="0" w:firstRowLastColumn="0" w:lastRowFirstColumn="0" w:lastRowLastColumn="0"/>
            <w:tcW w:w="1885" w:type="dxa"/>
          </w:tcPr>
          <w:p w14:paraId="69148A00" w14:textId="77777777" w:rsidR="005562EB" w:rsidRPr="002C7415" w:rsidRDefault="005562EB" w:rsidP="002413AA">
            <w:pPr>
              <w:rPr>
                <w:rFonts w:cs="Arial"/>
                <w:b w:val="0"/>
                <w:bCs w:val="0"/>
                <w:szCs w:val="20"/>
              </w:rPr>
            </w:pPr>
            <w:r>
              <w:rPr>
                <w:rFonts w:cs="Arial"/>
                <w:szCs w:val="20"/>
              </w:rPr>
              <w:t>Process to Compile and Report SLA</w:t>
            </w:r>
          </w:p>
        </w:tc>
        <w:tc>
          <w:tcPr>
            <w:tcW w:w="8905" w:type="dxa"/>
          </w:tcPr>
          <w:p w14:paraId="53FF09B3"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determined by reviewing the Document Edit History within the most recent version of the Converged E&amp;E System and AMS Project Roadmap. The Contractor must identify and report any instance where a quarterly update was not submitted by the last business day of the calendar quarter. This compliance status, including the submission date of the last update, must be reported in the next scheduled Weekly and Monthly Status Reports provided to the Department.</w:t>
            </w:r>
          </w:p>
        </w:tc>
      </w:tr>
      <w:tr w:rsidR="005562EB" w:rsidRPr="002C7415" w14:paraId="13A7D48F" w14:textId="77777777" w:rsidTr="1D27F1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52418974" w14:textId="41606D6C" w:rsidR="005562EB" w:rsidRPr="002C7415" w:rsidRDefault="005562EB" w:rsidP="002413AA">
            <w:pPr>
              <w:rPr>
                <w:rFonts w:cs="Arial"/>
                <w:b w:val="0"/>
                <w:bCs w:val="0"/>
                <w:szCs w:val="20"/>
              </w:rPr>
            </w:pPr>
            <w:r>
              <w:rPr>
                <w:rFonts w:cs="Arial"/>
                <w:szCs w:val="20"/>
              </w:rPr>
              <w:t>Converged E&amp;E System and AMS Service Credit</w:t>
            </w:r>
          </w:p>
        </w:tc>
        <w:tc>
          <w:tcPr>
            <w:tcW w:w="8905" w:type="dxa"/>
          </w:tcPr>
          <w:p w14:paraId="2374CD3C" w14:textId="36F1BD0B"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Delayed Submission (Initial Service Credit): </w:t>
            </w:r>
            <w:r>
              <w:rPr>
                <w:rFonts w:cs="Arial"/>
                <w:szCs w:val="20"/>
              </w:rPr>
              <w:t>Contractor failure to submit an updated Converged E&amp;E System and AMS Project Roadmap at least once per calendar quarter, results in an initial service credit of twenty-five thousand dollars ($25,000) for each calendar quarter when the updated Plan is not delivered by the last business day of that quarter.</w:t>
            </w:r>
          </w:p>
          <w:p w14:paraId="2FA2CD39" w14:textId="015B1374" w:rsidR="005562EB" w:rsidRPr="002C7415" w:rsidRDefault="005562EB" w:rsidP="004F44BB">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Extended Delay (Additional Service Credit): </w:t>
            </w:r>
            <w:r>
              <w:rPr>
                <w:rFonts w:cs="Arial"/>
                <w:szCs w:val="20"/>
              </w:rPr>
              <w:t>If the updated Roadmap remains unsubmitted for more than thirty (30) calendar days after the end of the calendar quarter, an additional service credit of ten thousand dollars ($10,000) will apply for each additional thirty (30) calendar days, or portion thereof, until the updated Plan is delivered.</w:t>
            </w:r>
          </w:p>
        </w:tc>
      </w:tr>
    </w:tbl>
    <w:p w14:paraId="56C5ED89" w14:textId="778AE290" w:rsidR="005562EB" w:rsidRPr="002C7415" w:rsidRDefault="005562EB" w:rsidP="00CB1E19">
      <w:pPr>
        <w:pStyle w:val="HeadingSLA"/>
      </w:pPr>
      <w:bookmarkStart w:id="17" w:name="_Toc230258199"/>
      <w:bookmarkStart w:id="18" w:name="_Toc233199126"/>
      <w:r>
        <w:t>Project Management Plan – Currency</w:t>
      </w:r>
      <w:bookmarkEnd w:id="17"/>
      <w:bookmarkEnd w:id="18"/>
    </w:p>
    <w:tbl>
      <w:tblPr>
        <w:tblStyle w:val="DOH-LeftHeader"/>
        <w:tblW w:w="4998" w:type="pct"/>
        <w:tblLayout w:type="fixed"/>
        <w:tblLook w:val="0480" w:firstRow="0" w:lastRow="0" w:firstColumn="1" w:lastColumn="0" w:noHBand="0" w:noVBand="1"/>
      </w:tblPr>
      <w:tblGrid>
        <w:gridCol w:w="1886"/>
        <w:gridCol w:w="8900"/>
      </w:tblGrid>
      <w:tr w:rsidR="005562EB" w:rsidRPr="002C7415" w14:paraId="3DB96AB8" w14:textId="77777777" w:rsidTr="1D27F165">
        <w:tc>
          <w:tcPr>
            <w:cnfStyle w:val="001000000000" w:firstRow="0" w:lastRow="0" w:firstColumn="1" w:lastColumn="0" w:oddVBand="0" w:evenVBand="0" w:oddHBand="0" w:evenHBand="0" w:firstRowFirstColumn="0" w:firstRowLastColumn="0" w:lastRowFirstColumn="0" w:lastRowLastColumn="0"/>
            <w:tcW w:w="1886" w:type="dxa"/>
          </w:tcPr>
          <w:p w14:paraId="75768556" w14:textId="77777777" w:rsidR="005562EB" w:rsidRPr="002C7415" w:rsidRDefault="005562EB" w:rsidP="002413AA">
            <w:pPr>
              <w:rPr>
                <w:rFonts w:cs="Arial"/>
                <w:b w:val="0"/>
                <w:bCs w:val="0"/>
                <w:szCs w:val="20"/>
              </w:rPr>
            </w:pPr>
            <w:r>
              <w:rPr>
                <w:rFonts w:cs="Arial"/>
                <w:szCs w:val="20"/>
              </w:rPr>
              <w:t>Purpose</w:t>
            </w:r>
          </w:p>
        </w:tc>
        <w:tc>
          <w:tcPr>
            <w:tcW w:w="8900" w:type="dxa"/>
          </w:tcPr>
          <w:p w14:paraId="5EE62229" w14:textId="534F0E4D" w:rsidR="005562EB" w:rsidRPr="002C7415" w:rsidRDefault="267E2938" w:rsidP="1D27F165">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This SLA enforces the importance of keeping project foundational plans accurate and current throughout the Contract term. The Project Management Plan (PMP) and its sub-management plans specify the management framework for project planning, execution, monitoring, controlling, and closure. It is important to keep the PMP and all sub-plans current as project scope, schedule, change management, and governance are all managed using this Department approved deliverable. </w:t>
            </w:r>
          </w:p>
        </w:tc>
      </w:tr>
      <w:tr w:rsidR="005562EB" w:rsidRPr="002C7415" w14:paraId="629E07EF" w14:textId="77777777" w:rsidTr="1D27F1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D3FD6EF" w14:textId="77777777" w:rsidR="005562EB" w:rsidRPr="002C7415" w:rsidRDefault="005562EB" w:rsidP="002413AA">
            <w:pPr>
              <w:rPr>
                <w:rFonts w:cs="Arial"/>
                <w:b w:val="0"/>
                <w:bCs w:val="0"/>
                <w:szCs w:val="20"/>
              </w:rPr>
            </w:pPr>
            <w:r>
              <w:rPr>
                <w:rFonts w:cs="Arial"/>
                <w:szCs w:val="20"/>
              </w:rPr>
              <w:t>Specification</w:t>
            </w:r>
          </w:p>
        </w:tc>
        <w:tc>
          <w:tcPr>
            <w:tcW w:w="8900" w:type="dxa"/>
          </w:tcPr>
          <w:p w14:paraId="65254A3E" w14:textId="757D3E0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maintain and adhere to the PMP and all its subsidiary management plans. The Contractor is required to review, update as necessary, and submit the complete PMP for Department review and approval at least once per calendar quarter.</w:t>
            </w:r>
          </w:p>
        </w:tc>
      </w:tr>
      <w:tr w:rsidR="005562EB" w:rsidRPr="002C7415" w14:paraId="182597AD" w14:textId="77777777" w:rsidTr="1D27F165">
        <w:tc>
          <w:tcPr>
            <w:cnfStyle w:val="001000000000" w:firstRow="0" w:lastRow="0" w:firstColumn="1" w:lastColumn="0" w:oddVBand="0" w:evenVBand="0" w:oddHBand="0" w:evenHBand="0" w:firstRowFirstColumn="0" w:firstRowLastColumn="0" w:lastRowFirstColumn="0" w:lastRowLastColumn="0"/>
            <w:tcW w:w="1886" w:type="dxa"/>
          </w:tcPr>
          <w:p w14:paraId="63A34CBD" w14:textId="77777777" w:rsidR="005562EB" w:rsidRPr="002C7415" w:rsidRDefault="005562EB" w:rsidP="002413AA">
            <w:pPr>
              <w:rPr>
                <w:rFonts w:cs="Arial"/>
                <w:b w:val="0"/>
                <w:bCs w:val="0"/>
                <w:szCs w:val="20"/>
              </w:rPr>
            </w:pPr>
            <w:r>
              <w:rPr>
                <w:rFonts w:cs="Arial"/>
                <w:szCs w:val="20"/>
              </w:rPr>
              <w:t>Service Level</w:t>
            </w:r>
          </w:p>
        </w:tc>
        <w:tc>
          <w:tcPr>
            <w:tcW w:w="8900" w:type="dxa"/>
          </w:tcPr>
          <w:p w14:paraId="0AC3E49A" w14:textId="1F4B126A"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complete and updated PMP, inclusive of all sub-management plans, must be submitted for Department review at least once per calendar quarter.</w:t>
            </w:r>
          </w:p>
        </w:tc>
      </w:tr>
      <w:tr w:rsidR="005562EB" w:rsidRPr="002C7415" w14:paraId="6FADC723" w14:textId="77777777" w:rsidTr="1D27F1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538965F" w14:textId="77777777" w:rsidR="005562EB" w:rsidRPr="002C7415" w:rsidRDefault="005562EB" w:rsidP="002413AA">
            <w:pPr>
              <w:rPr>
                <w:rFonts w:cs="Arial"/>
                <w:b w:val="0"/>
                <w:bCs w:val="0"/>
                <w:szCs w:val="20"/>
              </w:rPr>
            </w:pPr>
            <w:r>
              <w:rPr>
                <w:rFonts w:cs="Arial"/>
                <w:szCs w:val="20"/>
              </w:rPr>
              <w:t>Notes</w:t>
            </w:r>
          </w:p>
        </w:tc>
        <w:tc>
          <w:tcPr>
            <w:tcW w:w="8900" w:type="dxa"/>
          </w:tcPr>
          <w:p w14:paraId="16EDA224" w14:textId="21C237A1"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 will provide the Contractor with the current PMP prepared by the Incumbent Contractor for the MECM System and AMS, which includes a comprehensive set of sub-management plans. The Contractor must maintain and create updates to the existing PMP based on the SOW and requirements documented within this RFP. The PMP must describe the methodology, process, and procedures for managing the project and all required activities for each project phase and define how the project is planned, executed, monitored, controlled, and closed. The PMP must define the process for managing the project scope, schedule, decisions, and action items. It will be used to manage the project from the beginning until the end of the Contract term.</w:t>
            </w:r>
          </w:p>
          <w:p w14:paraId="3571FAA6" w14:textId="6143AE9E"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Changes to the PMP must be submitted to the Department for review and approval. The PMP must include, at a minimum, the following sub-management plans:</w:t>
            </w:r>
          </w:p>
          <w:p w14:paraId="70A9754A"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Governance Structure</w:t>
            </w:r>
          </w:p>
          <w:p w14:paraId="3005808F"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Scope Management Plan</w:t>
            </w:r>
          </w:p>
          <w:p w14:paraId="4F903259"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Schedule Management Plan</w:t>
            </w:r>
          </w:p>
          <w:p w14:paraId="69E86E40"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Stakeholder Management Plan</w:t>
            </w:r>
          </w:p>
          <w:p w14:paraId="14DA7900"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Communication Management Plan</w:t>
            </w:r>
          </w:p>
          <w:p w14:paraId="1C60B01F"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Budget Management Plan</w:t>
            </w:r>
          </w:p>
          <w:p w14:paraId="445154CD"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Project Change Control Plan (PCCP)</w:t>
            </w:r>
          </w:p>
          <w:p w14:paraId="7F2F1782"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lastRenderedPageBreak/>
              <w:t>Quality Management Plan</w:t>
            </w:r>
          </w:p>
          <w:p w14:paraId="4CA5CAAA"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Staff and Resource Management Plan</w:t>
            </w:r>
          </w:p>
          <w:p w14:paraId="0F5CC017"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Risk and Issue Management Plan</w:t>
            </w:r>
          </w:p>
          <w:p w14:paraId="7441EE25"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Procurement and Licensing Management Plan</w:t>
            </w:r>
          </w:p>
          <w:p w14:paraId="2059FFB3"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Document Management Plan</w:t>
            </w:r>
          </w:p>
          <w:p w14:paraId="37B32C0D" w14:textId="0DDE7DBA"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For detailed descriptions of the required content for the sub-management plans, refer to the OHIP Program &amp; Project Management (PM) Domain Document, PM Standard.</w:t>
            </w:r>
          </w:p>
        </w:tc>
      </w:tr>
      <w:tr w:rsidR="005562EB" w:rsidRPr="002C7415" w14:paraId="194B9282" w14:textId="77777777" w:rsidTr="1D27F165">
        <w:tc>
          <w:tcPr>
            <w:cnfStyle w:val="001000000000" w:firstRow="0" w:lastRow="0" w:firstColumn="1" w:lastColumn="0" w:oddVBand="0" w:evenVBand="0" w:oddHBand="0" w:evenHBand="0" w:firstRowFirstColumn="0" w:firstRowLastColumn="0" w:lastRowFirstColumn="0" w:lastRowLastColumn="0"/>
            <w:tcW w:w="1886" w:type="dxa"/>
          </w:tcPr>
          <w:p w14:paraId="78BD7070" w14:textId="77777777" w:rsidR="005562EB" w:rsidRPr="002C7415" w:rsidRDefault="005562EB" w:rsidP="002413AA">
            <w:pPr>
              <w:rPr>
                <w:rFonts w:cs="Arial"/>
                <w:b w:val="0"/>
                <w:bCs w:val="0"/>
                <w:szCs w:val="20"/>
              </w:rPr>
            </w:pPr>
            <w:r>
              <w:rPr>
                <w:rFonts w:cs="Arial"/>
                <w:szCs w:val="20"/>
              </w:rPr>
              <w:lastRenderedPageBreak/>
              <w:t>Reporting Frequency</w:t>
            </w:r>
          </w:p>
        </w:tc>
        <w:tc>
          <w:tcPr>
            <w:tcW w:w="8900" w:type="dxa"/>
          </w:tcPr>
          <w:p w14:paraId="168F7A17" w14:textId="44D86966" w:rsidR="005562EB" w:rsidRPr="002C7415" w:rsidRDefault="005562EB" w:rsidP="1D27F165">
            <w:pPr>
              <w:cnfStyle w:val="000000000000" w:firstRow="0" w:lastRow="0" w:firstColumn="0" w:lastColumn="0" w:oddVBand="0" w:evenVBand="0" w:oddHBand="0" w:evenHBand="0" w:firstRowFirstColumn="0" w:firstRowLastColumn="0" w:lastRowFirstColumn="0" w:lastRowLastColumn="0"/>
              <w:rPr>
                <w:rFonts w:cs="Arial"/>
              </w:rPr>
            </w:pPr>
            <w:r>
              <w:rPr>
                <w:rFonts w:cs="Arial"/>
              </w:rPr>
              <w:t>Quarterly. The Contractor must report on compliance with this SLA in the Monthly Status Reports following the end of each calendar quarter.</w:t>
            </w:r>
          </w:p>
        </w:tc>
      </w:tr>
      <w:tr w:rsidR="005562EB" w:rsidRPr="002C7415" w14:paraId="6DA7D42F" w14:textId="77777777" w:rsidTr="1D27F1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3404A04" w14:textId="77777777" w:rsidR="005562EB" w:rsidRPr="002C7415" w:rsidRDefault="005562EB" w:rsidP="002413AA">
            <w:pPr>
              <w:rPr>
                <w:rFonts w:cs="Arial"/>
                <w:szCs w:val="20"/>
              </w:rPr>
            </w:pPr>
            <w:r>
              <w:rPr>
                <w:rFonts w:cs="Arial"/>
                <w:szCs w:val="20"/>
              </w:rPr>
              <w:t>SLA Calculations</w:t>
            </w:r>
          </w:p>
        </w:tc>
        <w:tc>
          <w:tcPr>
            <w:tcW w:w="8900" w:type="dxa"/>
          </w:tcPr>
          <w:p w14:paraId="54642530" w14:textId="7E9590D5" w:rsidR="005562EB" w:rsidRPr="002C7415" w:rsidRDefault="005562EB" w:rsidP="1D27F165">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rPr>
              <w:t>Compliance is measured based on the Contractor’s timely submission of the updated PMP each quarter. The Document Edit History is reviewed to identify the submission dates.</w:t>
            </w:r>
          </w:p>
          <w:p w14:paraId="20F382F3" w14:textId="2BD29E14" w:rsidR="005562EB" w:rsidRPr="002C7415" w:rsidRDefault="30090E5E" w:rsidP="1D27F165">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bCs/>
              </w:rPr>
              <w:t>Timely Submission (Initial Service Credit:</w:t>
            </w:r>
            <w:r>
              <w:rPr>
                <w:rFonts w:cs="Arial"/>
              </w:rPr>
              <w:t xml:space="preserve"> If the Contractor submits the updated PMP on or before the last business day of the calendar quarter, the SLA is met. A primary service credit applies if the submission is late.</w:t>
            </w:r>
          </w:p>
          <w:p w14:paraId="38F36CF5" w14:textId="1D21CCB2" w:rsidR="005562EB" w:rsidRPr="002C7415" w:rsidRDefault="4940FE87" w:rsidP="1D27F165">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bCs/>
              </w:rPr>
              <w:t>Excessive Lateness (Additional Service Credit)</w:t>
            </w:r>
            <w:r>
              <w:rPr>
                <w:rFonts w:cs="Arial"/>
              </w:rPr>
              <w:t>: If the PMP remains unsubmitted for more than thirty (30) calendar days after the quarterly due date, an additional, secondary service credit applies for each subsequent thirty (30) calendar days period of delay.</w:t>
            </w:r>
          </w:p>
        </w:tc>
      </w:tr>
      <w:tr w:rsidR="005562EB" w:rsidRPr="002C7415" w14:paraId="7A4FE533" w14:textId="77777777" w:rsidTr="1D27F165">
        <w:tc>
          <w:tcPr>
            <w:cnfStyle w:val="001000000000" w:firstRow="0" w:lastRow="0" w:firstColumn="1" w:lastColumn="0" w:oddVBand="0" w:evenVBand="0" w:oddHBand="0" w:evenHBand="0" w:firstRowFirstColumn="0" w:firstRowLastColumn="0" w:lastRowFirstColumn="0" w:lastRowLastColumn="0"/>
            <w:tcW w:w="1886" w:type="dxa"/>
          </w:tcPr>
          <w:p w14:paraId="5A83FF77"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14EC63C1" w14:textId="09CB7AEF"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Calendar Quarter: </w:t>
            </w:r>
            <w:r>
              <w:rPr>
                <w:rFonts w:cs="Arial"/>
                <w:szCs w:val="20"/>
              </w:rPr>
              <w:t>The four three-month periods of the year: Q1 (January–March), Q2 (April–June), Q3 (July–September), and Q4 (October–December).</w:t>
            </w:r>
          </w:p>
          <w:p w14:paraId="71234AF7" w14:textId="5E9FCCA2" w:rsidR="005562EB" w:rsidRPr="002C7415" w:rsidRDefault="005562EB" w:rsidP="1D27F165">
            <w:pPr>
              <w:cnfStyle w:val="000000000000" w:firstRow="0" w:lastRow="0" w:firstColumn="0" w:lastColumn="0" w:oddVBand="0" w:evenVBand="0" w:oddHBand="0" w:evenHBand="0" w:firstRowFirstColumn="0" w:firstRowLastColumn="0" w:lastRowFirstColumn="0" w:lastRowLastColumn="0"/>
              <w:rPr>
                <w:rFonts w:cs="Arial"/>
              </w:rPr>
            </w:pPr>
            <w:r>
              <w:rPr>
                <w:rFonts w:cs="Arial"/>
                <w:b/>
                <w:bCs/>
              </w:rPr>
              <w:t>Calendar Day</w:t>
            </w:r>
            <w:r>
              <w:rPr>
                <w:rFonts w:cs="Arial"/>
              </w:rPr>
              <w:t xml:space="preserve"> – All days in a month, from 12:00 a.m. through 11:59 p.m. Eastern Standard/Daylight Time, including weekends and state and federal holidays.</w:t>
            </w:r>
          </w:p>
          <w:p w14:paraId="4BBBAFB1" w14:textId="1EEBE817" w:rsidR="005562EB" w:rsidRPr="002C7415" w:rsidRDefault="54595DAF" w:rsidP="1D27F165">
            <w:pPr>
              <w:cnfStyle w:val="000000000000" w:firstRow="0" w:lastRow="0" w:firstColumn="0" w:lastColumn="0" w:oddVBand="0" w:evenVBand="0" w:oddHBand="0" w:evenHBand="0" w:firstRowFirstColumn="0" w:firstRowLastColumn="0" w:lastRowFirstColumn="0" w:lastRowLastColumn="0"/>
              <w:rPr>
                <w:rFonts w:cs="Arial"/>
              </w:rPr>
            </w:pPr>
            <w:r>
              <w:rPr>
                <w:rFonts w:cs="Arial"/>
                <w:b/>
                <w:bCs/>
              </w:rPr>
              <w:t>Document Edit History</w:t>
            </w:r>
            <w:r>
              <w:rPr>
                <w:rFonts w:cs="Arial"/>
              </w:rPr>
              <w:t>: A change log maintained within a document that tracks document version, submission date, author, and description of change.</w:t>
            </w:r>
          </w:p>
        </w:tc>
      </w:tr>
      <w:tr w:rsidR="005562EB" w:rsidRPr="002C7415" w14:paraId="60EAD596" w14:textId="77777777" w:rsidTr="1D27F1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618D5CD" w14:textId="77777777" w:rsidR="005562EB" w:rsidRPr="002C7415" w:rsidRDefault="005562EB" w:rsidP="002413AA">
            <w:pPr>
              <w:rPr>
                <w:rFonts w:cs="Arial"/>
                <w:b w:val="0"/>
                <w:bCs w:val="0"/>
                <w:szCs w:val="20"/>
              </w:rPr>
            </w:pPr>
            <w:r>
              <w:rPr>
                <w:rFonts w:cs="Arial"/>
                <w:szCs w:val="20"/>
              </w:rPr>
              <w:t>Exclusions</w:t>
            </w:r>
          </w:p>
        </w:tc>
        <w:tc>
          <w:tcPr>
            <w:tcW w:w="8900" w:type="dxa"/>
          </w:tcPr>
          <w:p w14:paraId="61CF1879" w14:textId="101D09B7" w:rsidR="005562EB" w:rsidRPr="002C7415" w:rsidRDefault="005562EB" w:rsidP="1D27F165">
            <w:pPr>
              <w:cnfStyle w:val="000000010000" w:firstRow="0" w:lastRow="0" w:firstColumn="0" w:lastColumn="0" w:oddVBand="0" w:evenVBand="0" w:oddHBand="0" w:evenHBand="1" w:firstRowFirstColumn="0" w:firstRowLastColumn="0" w:lastRowFirstColumn="0" w:lastRowLastColumn="0"/>
              <w:rPr>
                <w:rFonts w:cs="Arial"/>
              </w:rPr>
            </w:pPr>
            <w:r>
              <w:rPr>
                <w:rFonts w:cs="Arial"/>
              </w:rPr>
              <w:t>The Department may elect to waive a quarterly PMP update in writing. The Contractor is responsible for demonstrating that any claimed exclusion applies by providing the official written waiver approval documentation for the record.</w:t>
            </w:r>
          </w:p>
        </w:tc>
      </w:tr>
      <w:tr w:rsidR="005562EB" w:rsidRPr="002C7415" w14:paraId="235EDCD4" w14:textId="77777777" w:rsidTr="1D27F165">
        <w:tc>
          <w:tcPr>
            <w:cnfStyle w:val="001000000000" w:firstRow="0" w:lastRow="0" w:firstColumn="1" w:lastColumn="0" w:oddVBand="0" w:evenVBand="0" w:oddHBand="0" w:evenHBand="0" w:firstRowFirstColumn="0" w:firstRowLastColumn="0" w:lastRowFirstColumn="0" w:lastRowLastColumn="0"/>
            <w:tcW w:w="1886" w:type="dxa"/>
          </w:tcPr>
          <w:p w14:paraId="2C10D075"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1C19E0BD"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 change log or version history for the PMP. For each calendar quarter, the Contractor must:</w:t>
            </w:r>
          </w:p>
          <w:p w14:paraId="27CF6A09" w14:textId="77777777"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Document the submission date of the updated PMP.</w:t>
            </w:r>
          </w:p>
          <w:p w14:paraId="5B2397A9" w14:textId="044BC1B8"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Calculate and list any service credits incurred due to a breach of either initial or extended submission timeliness.</w:t>
            </w:r>
          </w:p>
          <w:p w14:paraId="7F7E17AA" w14:textId="77777777"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Report this compliance data in the Weekly and Monthly Status Reports for the period following the end of the quarter.</w:t>
            </w:r>
          </w:p>
        </w:tc>
      </w:tr>
      <w:tr w:rsidR="005562EB" w:rsidRPr="002C7415" w14:paraId="27B135ED" w14:textId="77777777" w:rsidTr="1D27F1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94A8577" w14:textId="526AE4D7"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0AEECE8C" w14:textId="69D9E558" w:rsidR="005562EB" w:rsidRPr="002C7415" w:rsidRDefault="3D674AE5" w:rsidP="1D27F165">
            <w:pPr>
              <w:cnfStyle w:val="000000010000" w:firstRow="0" w:lastRow="0" w:firstColumn="0" w:lastColumn="0" w:oddVBand="0" w:evenVBand="0" w:oddHBand="0" w:evenHBand="1" w:firstRowFirstColumn="0" w:firstRowLastColumn="0" w:lastRowFirstColumn="0" w:lastRowLastColumn="0"/>
              <w:rPr>
                <w:rFonts w:cs="Arial"/>
              </w:rPr>
            </w:pPr>
            <w:r>
              <w:rPr>
                <w:rFonts w:cs="Arial"/>
                <w:b/>
                <w:bCs/>
              </w:rPr>
              <w:t xml:space="preserve">Late Submission (Initial Service Credit): </w:t>
            </w:r>
            <w:r>
              <w:rPr>
                <w:rFonts w:cs="Arial"/>
              </w:rPr>
              <w:t>Failure by the Contractor to submit an updated PMP at least once per calendar quarter will result in a service credit of twenty thousand dollars ($20,000) for each quarter the PMP is not delivered by the last business day of that quarter.</w:t>
            </w:r>
          </w:p>
          <w:p w14:paraId="0A277B48" w14:textId="1FF1A439" w:rsidR="005562EB" w:rsidRPr="002C7415" w:rsidRDefault="5BC80818"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rPr>
              <w:t xml:space="preserve">Excessive Lateness (Additional Service Credit): </w:t>
            </w:r>
            <w:r>
              <w:rPr>
                <w:rFonts w:cs="Arial"/>
                <w:szCs w:val="20"/>
              </w:rPr>
              <w:t>If the updated PMP remains unsubmitted for more than thirty (30) calendar days after the end of the quarter, an additional service credit of ten thousand dollars ($10,000) will apply for each additional thirty (30) calendar days, or portion thereof, until the updated materials are delivered.</w:t>
            </w:r>
          </w:p>
        </w:tc>
      </w:tr>
    </w:tbl>
    <w:p w14:paraId="546E847C" w14:textId="08F39345" w:rsidR="005562EB" w:rsidRPr="002C7415" w:rsidRDefault="005562EB" w:rsidP="005C074F">
      <w:pPr>
        <w:pStyle w:val="HeadingSLA"/>
        <w:ind w:right="-180"/>
      </w:pPr>
      <w:bookmarkStart w:id="19" w:name="_Toc230258200"/>
      <w:bookmarkStart w:id="20" w:name="_Toc233199127"/>
      <w:r>
        <w:t>Ad Hoc Documentation Submission Timeliness</w:t>
      </w:r>
      <w:bookmarkEnd w:id="19"/>
      <w:bookmarkEnd w:id="20"/>
    </w:p>
    <w:tbl>
      <w:tblPr>
        <w:tblStyle w:val="DOH-LeftHeader"/>
        <w:tblW w:w="4998" w:type="pct"/>
        <w:tblLayout w:type="fixed"/>
        <w:tblLook w:val="0480" w:firstRow="0" w:lastRow="0" w:firstColumn="1" w:lastColumn="0" w:noHBand="0" w:noVBand="1"/>
      </w:tblPr>
      <w:tblGrid>
        <w:gridCol w:w="1886"/>
        <w:gridCol w:w="8900"/>
      </w:tblGrid>
      <w:tr w:rsidR="005562EB" w:rsidRPr="002C7415" w14:paraId="0F9DC254" w14:textId="77777777" w:rsidTr="00883AA1">
        <w:tc>
          <w:tcPr>
            <w:cnfStyle w:val="001000000000" w:firstRow="0" w:lastRow="0" w:firstColumn="1" w:lastColumn="0" w:oddVBand="0" w:evenVBand="0" w:oddHBand="0" w:evenHBand="0" w:firstRowFirstColumn="0" w:firstRowLastColumn="0" w:lastRowFirstColumn="0" w:lastRowLastColumn="0"/>
            <w:tcW w:w="1886" w:type="dxa"/>
          </w:tcPr>
          <w:p w14:paraId="0FE2D1AD" w14:textId="77777777" w:rsidR="005562EB" w:rsidRPr="002C7415" w:rsidRDefault="005562EB" w:rsidP="002413AA">
            <w:pPr>
              <w:rPr>
                <w:rFonts w:cs="Arial"/>
                <w:b w:val="0"/>
                <w:bCs w:val="0"/>
                <w:szCs w:val="20"/>
              </w:rPr>
            </w:pPr>
            <w:r>
              <w:rPr>
                <w:rFonts w:cs="Arial"/>
                <w:szCs w:val="20"/>
              </w:rPr>
              <w:t>Purpose</w:t>
            </w:r>
          </w:p>
        </w:tc>
        <w:tc>
          <w:tcPr>
            <w:tcW w:w="8900" w:type="dxa"/>
          </w:tcPr>
          <w:p w14:paraId="0B9288FB" w14:textId="2BFC32F0" w:rsidR="005562EB" w:rsidRPr="002C7415" w:rsidRDefault="00883AA1"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establishes a clear, enforceable standard for the Contractor’s timely response to ad hoc requests for documentation. To ensure the Department can effectively conduct oversight, support audits, and make timely project decisions, it requires prompt access to supplementary project documentation. </w:t>
            </w:r>
          </w:p>
        </w:tc>
      </w:tr>
      <w:tr w:rsidR="005562EB" w:rsidRPr="002C7415" w14:paraId="2545490F" w14:textId="77777777" w:rsidTr="00883A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234CC62" w14:textId="77777777" w:rsidR="005562EB" w:rsidRPr="002C7415" w:rsidRDefault="005562EB" w:rsidP="002413AA">
            <w:pPr>
              <w:rPr>
                <w:rFonts w:cs="Arial"/>
                <w:b w:val="0"/>
                <w:bCs w:val="0"/>
                <w:szCs w:val="20"/>
              </w:rPr>
            </w:pPr>
            <w:r>
              <w:rPr>
                <w:rFonts w:cs="Arial"/>
                <w:szCs w:val="20"/>
              </w:rPr>
              <w:t>Specification</w:t>
            </w:r>
          </w:p>
        </w:tc>
        <w:tc>
          <w:tcPr>
            <w:tcW w:w="8900" w:type="dxa"/>
          </w:tcPr>
          <w:p w14:paraId="2E91AA76"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Upon written request from the Department, the Contractor must provide complete and accurate copies of requested project documentation. This SLA applies to requests for existing artifacts, </w:t>
            </w:r>
            <w:r>
              <w:rPr>
                <w:rFonts w:cs="Arial"/>
                <w:szCs w:val="20"/>
              </w:rPr>
              <w:lastRenderedPageBreak/>
              <w:t>work products, and other supporting information not already governed by a separate deliverable timeline.</w:t>
            </w:r>
          </w:p>
        </w:tc>
      </w:tr>
      <w:tr w:rsidR="005562EB" w:rsidRPr="002C7415" w14:paraId="798534BF" w14:textId="77777777" w:rsidTr="00883AA1">
        <w:tc>
          <w:tcPr>
            <w:cnfStyle w:val="001000000000" w:firstRow="0" w:lastRow="0" w:firstColumn="1" w:lastColumn="0" w:oddVBand="0" w:evenVBand="0" w:oddHBand="0" w:evenHBand="0" w:firstRowFirstColumn="0" w:firstRowLastColumn="0" w:lastRowFirstColumn="0" w:lastRowLastColumn="0"/>
            <w:tcW w:w="1886" w:type="dxa"/>
          </w:tcPr>
          <w:p w14:paraId="6E109645" w14:textId="77777777" w:rsidR="005562EB" w:rsidRPr="002C7415" w:rsidRDefault="005562EB" w:rsidP="002413AA">
            <w:pPr>
              <w:rPr>
                <w:rFonts w:cs="Arial"/>
                <w:b w:val="0"/>
                <w:bCs w:val="0"/>
                <w:szCs w:val="20"/>
              </w:rPr>
            </w:pPr>
            <w:r>
              <w:rPr>
                <w:rFonts w:cs="Arial"/>
                <w:szCs w:val="20"/>
              </w:rPr>
              <w:lastRenderedPageBreak/>
              <w:t>Service Level</w:t>
            </w:r>
          </w:p>
        </w:tc>
        <w:tc>
          <w:tcPr>
            <w:tcW w:w="8900" w:type="dxa"/>
          </w:tcPr>
          <w:p w14:paraId="0D61BC65" w14:textId="77777777"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Unless a different timeframe is specified in the written request, the Contractor must submit all requested documentation within five (5) business days of receiving the request.</w:t>
            </w:r>
          </w:p>
        </w:tc>
      </w:tr>
      <w:tr w:rsidR="005562EB" w:rsidRPr="002C7415" w14:paraId="17DCF078" w14:textId="77777777" w:rsidTr="00883A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6457D39" w14:textId="77777777" w:rsidR="005562EB" w:rsidRPr="002C7415" w:rsidRDefault="005562EB" w:rsidP="002413AA">
            <w:pPr>
              <w:rPr>
                <w:rFonts w:cs="Arial"/>
                <w:b w:val="0"/>
                <w:bCs w:val="0"/>
                <w:szCs w:val="20"/>
              </w:rPr>
            </w:pPr>
            <w:r>
              <w:rPr>
                <w:rFonts w:cs="Arial"/>
                <w:szCs w:val="20"/>
              </w:rPr>
              <w:t>Notes</w:t>
            </w:r>
          </w:p>
        </w:tc>
        <w:tc>
          <w:tcPr>
            <w:tcW w:w="8900" w:type="dxa"/>
          </w:tcPr>
          <w:p w14:paraId="32E1B4AC" w14:textId="450A6B8D"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maintain a log of all Department ad hoc documentation requests that includes, at a minimum: the request date, a description of the request, the Department-specified due date (or the default to five [5] business days), and the final delivery date.</w:t>
            </w:r>
          </w:p>
        </w:tc>
      </w:tr>
      <w:tr w:rsidR="005562EB" w:rsidRPr="002C7415" w14:paraId="0349237E" w14:textId="77777777" w:rsidTr="00883AA1">
        <w:tc>
          <w:tcPr>
            <w:cnfStyle w:val="001000000000" w:firstRow="0" w:lastRow="0" w:firstColumn="1" w:lastColumn="0" w:oddVBand="0" w:evenVBand="0" w:oddHBand="0" w:evenHBand="0" w:firstRowFirstColumn="0" w:firstRowLastColumn="0" w:lastRowFirstColumn="0" w:lastRowLastColumn="0"/>
            <w:tcW w:w="1886" w:type="dxa"/>
          </w:tcPr>
          <w:p w14:paraId="1201F819"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70979C03" w14:textId="5677C703"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Per-request. The Contractor must report on the status of all open and recently closed ad hoc documentation requests in the Weekly and Monthly Status Reports. </w:t>
            </w:r>
          </w:p>
        </w:tc>
      </w:tr>
      <w:tr w:rsidR="005562EB" w:rsidRPr="002C7415" w14:paraId="16D26040" w14:textId="77777777" w:rsidTr="00883A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7E34AC1" w14:textId="77777777" w:rsidR="005562EB" w:rsidRPr="002C7415" w:rsidRDefault="005562EB" w:rsidP="002413AA">
            <w:pPr>
              <w:rPr>
                <w:rFonts w:cs="Arial"/>
                <w:szCs w:val="20"/>
              </w:rPr>
            </w:pPr>
            <w:r>
              <w:rPr>
                <w:rFonts w:cs="Arial"/>
                <w:szCs w:val="20"/>
              </w:rPr>
              <w:t>SLA Calculations</w:t>
            </w:r>
          </w:p>
        </w:tc>
        <w:tc>
          <w:tcPr>
            <w:tcW w:w="8900" w:type="dxa"/>
          </w:tcPr>
          <w:p w14:paraId="55B78782"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on a per request basis by comparing the Submission Date to the Due Date.</w:t>
            </w:r>
          </w:p>
          <w:p w14:paraId="7CD67C4F" w14:textId="630ABE03"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Identify the Submission Due Date</w:t>
            </w:r>
            <w:r>
              <w:rPr>
                <w:rFonts w:cs="Arial"/>
                <w:szCs w:val="20"/>
              </w:rPr>
              <w:t>: The due date is the date specified in the Department’s written request or, if no date is specified, the submission due date is five (5) business days following the request received date. The received date is Day Zero (0).</w:t>
            </w:r>
          </w:p>
          <w:p w14:paraId="4B6BED17" w14:textId="650F633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Calculate Delay</w:t>
            </w:r>
            <w:r>
              <w:rPr>
                <w:rFonts w:cs="Arial"/>
                <w:szCs w:val="20"/>
              </w:rPr>
              <w:t>: If the Submission Date is after the Due Date, the SLA is breached. The delay metric is the total number of calendar days from the day after the Due Date to the Delivery Date, including any portion of an applicable calendar day.</w:t>
            </w:r>
          </w:p>
          <w:p w14:paraId="39B994A7" w14:textId="77777777" w:rsidR="005562EB" w:rsidRDefault="005562EB" w:rsidP="00891A95">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Calculate Service Credit:</w:t>
            </w:r>
            <w:r>
              <w:rPr>
                <w:rFonts w:cs="Arial"/>
                <w:szCs w:val="20"/>
              </w:rPr>
              <w:t xml:space="preserve"> The total late submission calendar days are multiplied by the per Calendar Day service credit amount.</w:t>
            </w:r>
          </w:p>
          <w:p w14:paraId="55E88B96" w14:textId="77777777" w:rsidR="00891A95" w:rsidRDefault="00891A95" w:rsidP="00891A95">
            <w:pPr>
              <w:cnfStyle w:val="000000010000" w:firstRow="0" w:lastRow="0" w:firstColumn="0" w:lastColumn="0" w:oddVBand="0" w:evenVBand="0" w:oddHBand="0" w:evenHBand="1" w:firstRowFirstColumn="0" w:firstRowLastColumn="0" w:lastRowFirstColumn="0" w:lastRowLastColumn="0"/>
              <w:rPr>
                <w:rFonts w:cs="Arial"/>
                <w:szCs w:val="20"/>
              </w:rPr>
            </w:pPr>
          </w:p>
          <w:p w14:paraId="643292AB" w14:textId="77777777" w:rsidR="00426BD0" w:rsidRDefault="00426BD0"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t xml:space="preserve">Example: </w:t>
            </w:r>
          </w:p>
          <w:p w14:paraId="1637A6B4" w14:textId="77777777" w:rsidR="00426BD0" w:rsidRDefault="00426BD0"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Department Request Date: April 1</w:t>
            </w:r>
          </w:p>
          <w:p w14:paraId="75792FEE" w14:textId="69890ACD" w:rsidR="00426BD0" w:rsidRDefault="00426BD0"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Submission Due Date: April 6</w:t>
            </w:r>
          </w:p>
          <w:p w14:paraId="52EC149A" w14:textId="67AB696E" w:rsidR="0042793E" w:rsidRDefault="0042793E"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Actual Submission Date: April 8</w:t>
            </w:r>
          </w:p>
          <w:p w14:paraId="760EF516" w14:textId="77777777" w:rsidR="00631D1F" w:rsidRDefault="0042793E"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submission is two (2) calendar days late. The service credit for each calendar day when the submission is missing or late is three thousand dollars ($3,000). </w:t>
            </w:r>
          </w:p>
          <w:p w14:paraId="06737815" w14:textId="34773CF6" w:rsidR="00426BD0" w:rsidRPr="00426BD0" w:rsidRDefault="00636B42"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Two (2) days x three thousand dollars ($3,000) = six thousand dollars ($6,000) service credit is applied.</w:t>
            </w:r>
          </w:p>
        </w:tc>
      </w:tr>
      <w:tr w:rsidR="005562EB" w:rsidRPr="002C7415" w14:paraId="532738B7" w14:textId="77777777" w:rsidTr="00883AA1">
        <w:tc>
          <w:tcPr>
            <w:cnfStyle w:val="001000000000" w:firstRow="0" w:lastRow="0" w:firstColumn="1" w:lastColumn="0" w:oddVBand="0" w:evenVBand="0" w:oddHBand="0" w:evenHBand="0" w:firstRowFirstColumn="0" w:firstRowLastColumn="0" w:lastRowFirstColumn="0" w:lastRowLastColumn="0"/>
            <w:tcW w:w="1886" w:type="dxa"/>
          </w:tcPr>
          <w:p w14:paraId="1FC32795"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1CD238AD"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Business Day </w:t>
            </w:r>
            <w:r>
              <w:rPr>
                <w:rFonts w:cs="Arial"/>
                <w:szCs w:val="20"/>
              </w:rPr>
              <w:t>– Any day from Monday through Friday, excluding State and federal holidays</w:t>
            </w:r>
          </w:p>
          <w:p w14:paraId="47D50B81"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Calendar Day</w:t>
            </w:r>
            <w:r>
              <w:rPr>
                <w:rFonts w:cs="Arial"/>
                <w:szCs w:val="20"/>
              </w:rPr>
              <w:t xml:space="preserve"> – All days in a month, from 12:00 a.m. through 11:59 p.m. Eastern Standard/Daylight Time, including weekends and state and federal holidays</w:t>
            </w:r>
          </w:p>
        </w:tc>
      </w:tr>
      <w:tr w:rsidR="005562EB" w:rsidRPr="002C7415" w14:paraId="11D3CDED" w14:textId="77777777" w:rsidTr="00883A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2B7B10E" w14:textId="77777777" w:rsidR="005562EB" w:rsidRPr="002C7415" w:rsidRDefault="005562EB" w:rsidP="002413AA">
            <w:pPr>
              <w:rPr>
                <w:rFonts w:cs="Arial"/>
                <w:b w:val="0"/>
                <w:bCs w:val="0"/>
                <w:szCs w:val="20"/>
              </w:rPr>
            </w:pPr>
            <w:r>
              <w:rPr>
                <w:rFonts w:cs="Arial"/>
                <w:szCs w:val="20"/>
              </w:rPr>
              <w:t>Exclusions</w:t>
            </w:r>
          </w:p>
        </w:tc>
        <w:tc>
          <w:tcPr>
            <w:tcW w:w="8900" w:type="dxa"/>
          </w:tcPr>
          <w:p w14:paraId="7C102120" w14:textId="3BCCD14C"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is not responsible for delays caused by a documented and Department verified inability to access information due to a failure of another contractor, a </w:t>
            </w:r>
            <w:bookmarkStart w:id="21" w:name="_Int_Y7cJ9DvH"/>
            <w:r>
              <w:rPr>
                <w:rFonts w:cs="Arial"/>
                <w:szCs w:val="20"/>
              </w:rPr>
              <w:t>Department</w:t>
            </w:r>
            <w:bookmarkEnd w:id="21"/>
            <w:r>
              <w:rPr>
                <w:rFonts w:cs="Arial"/>
                <w:szCs w:val="20"/>
              </w:rPr>
              <w:t>-controlled system, or a legal restriction. The Contractor is responsible for demonstrating that a claimed exclusion applies by providing formal written notification of the impediment within one (1) business day of the request. The Department will communicate with the Contractor regarding any approved delayed submission.</w:t>
            </w:r>
          </w:p>
        </w:tc>
      </w:tr>
      <w:tr w:rsidR="005562EB" w:rsidRPr="002C7415" w14:paraId="2B019C40" w14:textId="77777777" w:rsidTr="00883AA1">
        <w:tc>
          <w:tcPr>
            <w:cnfStyle w:val="001000000000" w:firstRow="0" w:lastRow="0" w:firstColumn="1" w:lastColumn="0" w:oddVBand="0" w:evenVBand="0" w:oddHBand="0" w:evenHBand="0" w:firstRowFirstColumn="0" w:firstRowLastColumn="0" w:lastRowFirstColumn="0" w:lastRowLastColumn="0"/>
            <w:tcW w:w="1886" w:type="dxa"/>
          </w:tcPr>
          <w:p w14:paraId="058FB5F9"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7544BFC3"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 log of all ad hoc documentation requests. In each Weekly and Monthly Status Report, the Contractor must:</w:t>
            </w:r>
          </w:p>
          <w:p w14:paraId="697D7F6B" w14:textId="77777777"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List all requests received or fulfilled during the reporting period</w:t>
            </w:r>
          </w:p>
          <w:p w14:paraId="0E8E1526" w14:textId="77777777"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For each request, report the submission due date and the final delivery date</w:t>
            </w:r>
          </w:p>
          <w:p w14:paraId="7BCE0E25" w14:textId="77777777"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Identify any requests that are out of compliance and report the total accrued service credits for the reporting period</w:t>
            </w:r>
          </w:p>
        </w:tc>
      </w:tr>
      <w:tr w:rsidR="005562EB" w:rsidRPr="002C7415" w14:paraId="6B4D2743" w14:textId="77777777" w:rsidTr="00883A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7D411FF" w14:textId="6740479E"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1DC3602C" w14:textId="450401B2"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Contractor’s failure to submit the requested ad hoc documentation by the applicable due date will result in a service credit of three thousand dollars ($3,000) per calendar day, or portion thereof, until the requested documentation is delivered.</w:t>
            </w:r>
          </w:p>
        </w:tc>
      </w:tr>
    </w:tbl>
    <w:p w14:paraId="09E826C9" w14:textId="05A2C160" w:rsidR="005562EB" w:rsidRPr="002C7415" w:rsidRDefault="005562EB" w:rsidP="00CB1E19">
      <w:pPr>
        <w:pStyle w:val="HeadingSLA"/>
      </w:pPr>
      <w:bookmarkStart w:id="22" w:name="_Toc230258201"/>
      <w:bookmarkStart w:id="23" w:name="_Toc233199128"/>
      <w:r>
        <w:lastRenderedPageBreak/>
        <w:t>Documentation Deficiency Resolution</w:t>
      </w:r>
      <w:bookmarkEnd w:id="22"/>
      <w:bookmarkEnd w:id="23"/>
    </w:p>
    <w:tbl>
      <w:tblPr>
        <w:tblStyle w:val="DOH-LeftHeader"/>
        <w:tblW w:w="4998" w:type="pct"/>
        <w:tblLayout w:type="fixed"/>
        <w:tblLook w:val="0480" w:firstRow="0" w:lastRow="0" w:firstColumn="1" w:lastColumn="0" w:noHBand="0" w:noVBand="1"/>
      </w:tblPr>
      <w:tblGrid>
        <w:gridCol w:w="1886"/>
        <w:gridCol w:w="8900"/>
      </w:tblGrid>
      <w:tr w:rsidR="005562EB" w:rsidRPr="002C7415" w14:paraId="6519737C" w14:textId="77777777" w:rsidTr="00667961">
        <w:tc>
          <w:tcPr>
            <w:cnfStyle w:val="001000000000" w:firstRow="0" w:lastRow="0" w:firstColumn="1" w:lastColumn="0" w:oddVBand="0" w:evenVBand="0" w:oddHBand="0" w:evenHBand="0" w:firstRowFirstColumn="0" w:firstRowLastColumn="0" w:lastRowFirstColumn="0" w:lastRowLastColumn="0"/>
            <w:tcW w:w="1886" w:type="dxa"/>
          </w:tcPr>
          <w:p w14:paraId="0E1BE545" w14:textId="77777777" w:rsidR="005562EB" w:rsidRPr="002C7415" w:rsidRDefault="005562EB" w:rsidP="002413AA">
            <w:pPr>
              <w:rPr>
                <w:rFonts w:cs="Arial"/>
                <w:b w:val="0"/>
                <w:bCs w:val="0"/>
                <w:szCs w:val="20"/>
              </w:rPr>
            </w:pPr>
            <w:r>
              <w:rPr>
                <w:rFonts w:cs="Arial"/>
                <w:szCs w:val="20"/>
              </w:rPr>
              <w:t>Purpose</w:t>
            </w:r>
          </w:p>
        </w:tc>
        <w:tc>
          <w:tcPr>
            <w:tcW w:w="8900" w:type="dxa"/>
          </w:tcPr>
          <w:p w14:paraId="5F373C84" w14:textId="55B8C927" w:rsidR="005562EB" w:rsidRPr="002C7415" w:rsidRDefault="002D671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reinforces the Contractor requirement to maintain accurate documentation and respond promptly with corrective actions to resolve any Department identified documentation errors. The quality and accuracy of Contractor documentation is important, as these materials are essential for project activities including, but not limited to, deliverable reviews and approvals, invoice reviews, informed executive decision-making, and audit support. Documentation deficiencies can introduce significant project risk, leading to potential schedule delays and hampering knowledge transfer. </w:t>
            </w:r>
          </w:p>
        </w:tc>
      </w:tr>
      <w:tr w:rsidR="005562EB" w:rsidRPr="002C7415" w14:paraId="2A6BC7FA" w14:textId="77777777" w:rsidTr="0066796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C704C97" w14:textId="77777777" w:rsidR="005562EB" w:rsidRPr="002C7415" w:rsidRDefault="005562EB" w:rsidP="002413AA">
            <w:pPr>
              <w:rPr>
                <w:rFonts w:cs="Arial"/>
                <w:b w:val="0"/>
                <w:bCs w:val="0"/>
                <w:szCs w:val="20"/>
              </w:rPr>
            </w:pPr>
            <w:r>
              <w:rPr>
                <w:rFonts w:cs="Arial"/>
                <w:szCs w:val="20"/>
              </w:rPr>
              <w:t>Specification</w:t>
            </w:r>
          </w:p>
        </w:tc>
        <w:tc>
          <w:tcPr>
            <w:tcW w:w="8900" w:type="dxa"/>
          </w:tcPr>
          <w:p w14:paraId="1B370FF4"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resolve any identified documentation deficiencies within five (5) business days following notification by the Department. </w:t>
            </w:r>
          </w:p>
        </w:tc>
      </w:tr>
      <w:tr w:rsidR="005562EB" w:rsidRPr="002C7415" w14:paraId="0D23BCD0" w14:textId="77777777" w:rsidTr="00667961">
        <w:tc>
          <w:tcPr>
            <w:cnfStyle w:val="001000000000" w:firstRow="0" w:lastRow="0" w:firstColumn="1" w:lastColumn="0" w:oddVBand="0" w:evenVBand="0" w:oddHBand="0" w:evenHBand="0" w:firstRowFirstColumn="0" w:firstRowLastColumn="0" w:lastRowFirstColumn="0" w:lastRowLastColumn="0"/>
            <w:tcW w:w="1886" w:type="dxa"/>
          </w:tcPr>
          <w:p w14:paraId="03E38E7A" w14:textId="77777777" w:rsidR="005562EB" w:rsidRPr="002C7415" w:rsidRDefault="005562EB" w:rsidP="002413AA">
            <w:pPr>
              <w:rPr>
                <w:rFonts w:cs="Arial"/>
                <w:b w:val="0"/>
                <w:bCs w:val="0"/>
                <w:szCs w:val="20"/>
              </w:rPr>
            </w:pPr>
            <w:r>
              <w:rPr>
                <w:rFonts w:cs="Arial"/>
                <w:szCs w:val="20"/>
              </w:rPr>
              <w:t>Service Level</w:t>
            </w:r>
          </w:p>
        </w:tc>
        <w:tc>
          <w:tcPr>
            <w:tcW w:w="8900" w:type="dxa"/>
          </w:tcPr>
          <w:p w14:paraId="4BDD8AD4" w14:textId="2E93E699"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eastAsia="Calibri" w:cs="Arial"/>
                <w:szCs w:val="20"/>
              </w:rPr>
              <w:t>The Contractor must resubmit the corrected documentation within five (5) business days of receiving the Department’s written notification of deficiency.</w:t>
            </w:r>
          </w:p>
        </w:tc>
      </w:tr>
      <w:tr w:rsidR="005562EB" w:rsidRPr="002C7415" w14:paraId="0CF32CEE" w14:textId="77777777" w:rsidTr="0066796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F0F2A37" w14:textId="77777777" w:rsidR="005562EB" w:rsidRPr="002C7415" w:rsidRDefault="005562EB" w:rsidP="002413AA">
            <w:pPr>
              <w:rPr>
                <w:rFonts w:cs="Arial"/>
                <w:b w:val="0"/>
                <w:bCs w:val="0"/>
                <w:szCs w:val="20"/>
              </w:rPr>
            </w:pPr>
            <w:r>
              <w:rPr>
                <w:rFonts w:cs="Arial"/>
                <w:szCs w:val="20"/>
              </w:rPr>
              <w:t>Notes</w:t>
            </w:r>
          </w:p>
        </w:tc>
        <w:tc>
          <w:tcPr>
            <w:tcW w:w="8900" w:type="dxa"/>
          </w:tcPr>
          <w:p w14:paraId="73D351B9" w14:textId="467B29FA"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required to attest that internal Quality Assurance (QA) has been conducted prior to any documentation submission. The Contractor’s pre-delivery QA checklist must document this review activity, verifying content against any applicable Deliverable Expectations Document (DED) and ensuring professional formatting and presentation.</w:t>
            </w:r>
          </w:p>
        </w:tc>
      </w:tr>
      <w:tr w:rsidR="005562EB" w:rsidRPr="002C7415" w14:paraId="1CF61913" w14:textId="77777777" w:rsidTr="00667961">
        <w:tc>
          <w:tcPr>
            <w:cnfStyle w:val="001000000000" w:firstRow="0" w:lastRow="0" w:firstColumn="1" w:lastColumn="0" w:oddVBand="0" w:evenVBand="0" w:oddHBand="0" w:evenHBand="0" w:firstRowFirstColumn="0" w:firstRowLastColumn="0" w:lastRowFirstColumn="0" w:lastRowLastColumn="0"/>
            <w:tcW w:w="1886" w:type="dxa"/>
          </w:tcPr>
          <w:p w14:paraId="680F70B6" w14:textId="77777777" w:rsidR="005562EB" w:rsidRPr="002C7415" w:rsidRDefault="005562EB" w:rsidP="002413AA">
            <w:pPr>
              <w:tabs>
                <w:tab w:val="right" w:pos="2664"/>
              </w:tabs>
              <w:rPr>
                <w:rFonts w:cs="Arial"/>
                <w:b w:val="0"/>
                <w:bCs w:val="0"/>
                <w:szCs w:val="20"/>
              </w:rPr>
            </w:pPr>
            <w:r>
              <w:rPr>
                <w:rFonts w:cs="Arial"/>
                <w:szCs w:val="20"/>
              </w:rPr>
              <w:t>Reporting Frequency</w:t>
            </w:r>
          </w:p>
        </w:tc>
        <w:tc>
          <w:tcPr>
            <w:tcW w:w="8900" w:type="dxa"/>
          </w:tcPr>
          <w:p w14:paraId="3363F68C" w14:textId="5230C471"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Per-deficiency. The Contractor must report on the status of all open and recently resolved documentation deficiencies in the Weekly and Monthly Status Reports.</w:t>
            </w:r>
          </w:p>
        </w:tc>
      </w:tr>
      <w:tr w:rsidR="005562EB" w:rsidRPr="002C7415" w14:paraId="1655B6E8" w14:textId="77777777" w:rsidTr="0066796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82CBAEE" w14:textId="77777777" w:rsidR="005562EB" w:rsidRPr="002C7415" w:rsidRDefault="005562EB" w:rsidP="002413AA">
            <w:pPr>
              <w:rPr>
                <w:rFonts w:cs="Arial"/>
                <w:szCs w:val="20"/>
              </w:rPr>
            </w:pPr>
            <w:r>
              <w:rPr>
                <w:rFonts w:cs="Arial"/>
                <w:szCs w:val="20"/>
              </w:rPr>
              <w:t>SLA Calculations</w:t>
            </w:r>
          </w:p>
        </w:tc>
        <w:tc>
          <w:tcPr>
            <w:tcW w:w="8900" w:type="dxa"/>
          </w:tcPr>
          <w:p w14:paraId="570C0BCF" w14:textId="267F9BC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on a per-deficiency basis by comparing the Deficiency Notification Receipt Date, the Resubmission Due Date, and the Actual Resubmission Date to.</w:t>
            </w:r>
          </w:p>
          <w:p w14:paraId="042DEBC1" w14:textId="088748A8"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Identify the Due Date</w:t>
            </w:r>
            <w:r>
              <w:rPr>
                <w:rFonts w:cs="Arial"/>
                <w:szCs w:val="20"/>
              </w:rPr>
              <w:t>: The due date is five (5) business days after receipt of the Department written Notification of Deficiency. The received day is Day Zero (0).</w:t>
            </w:r>
          </w:p>
          <w:p w14:paraId="70B9FFA3" w14:textId="283283CF"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Calculate Delay</w:t>
            </w:r>
            <w:r>
              <w:rPr>
                <w:rFonts w:cs="Arial"/>
                <w:szCs w:val="20"/>
              </w:rPr>
              <w:t>: If the Actual Resubmission Date is after the Resubmission Due Date, the SLA is breached. The delay is the total number of business days from the day after the Resubmission Due Date to the Actual Resubmission Date, inclusive.</w:t>
            </w:r>
          </w:p>
          <w:p w14:paraId="6E87960D" w14:textId="04F77B0A" w:rsidR="005562EB" w:rsidRDefault="005562EB" w:rsidP="00891A95">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Calculate Service Credit</w:t>
            </w:r>
            <w:r>
              <w:rPr>
                <w:rFonts w:cs="Arial"/>
                <w:szCs w:val="20"/>
              </w:rPr>
              <w:t>: The total business days of delay are multiplied by the per day service credit amount.</w:t>
            </w:r>
          </w:p>
          <w:p w14:paraId="7BF27D74" w14:textId="77777777" w:rsidR="00891A95" w:rsidRDefault="00891A95" w:rsidP="00891A95">
            <w:pPr>
              <w:cnfStyle w:val="000000010000" w:firstRow="0" w:lastRow="0" w:firstColumn="0" w:lastColumn="0" w:oddVBand="0" w:evenVBand="0" w:oddHBand="0" w:evenHBand="1" w:firstRowFirstColumn="0" w:firstRowLastColumn="0" w:lastRowFirstColumn="0" w:lastRowLastColumn="0"/>
              <w:rPr>
                <w:rFonts w:cs="Arial"/>
                <w:szCs w:val="20"/>
              </w:rPr>
            </w:pPr>
          </w:p>
          <w:p w14:paraId="209A9BF2" w14:textId="77777777" w:rsidR="00667961" w:rsidRPr="00667961" w:rsidRDefault="00667961" w:rsidP="00667961">
            <w:pPr>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t xml:space="preserve">Example: </w:t>
            </w:r>
          </w:p>
          <w:p w14:paraId="665D4916" w14:textId="237BB84E" w:rsidR="00667961" w:rsidRPr="00667961" w:rsidRDefault="00667961" w:rsidP="00667961">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Department Request Date: Friday May 10</w:t>
            </w:r>
          </w:p>
          <w:p w14:paraId="23C9B759" w14:textId="3820B7D7" w:rsidR="00667961" w:rsidRPr="00667961" w:rsidRDefault="00667961" w:rsidP="00667961">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Submission Due Date: Friday May 17</w:t>
            </w:r>
          </w:p>
          <w:p w14:paraId="0C8B8975" w14:textId="7C59D583" w:rsidR="00667961" w:rsidRPr="00667961" w:rsidRDefault="00667961" w:rsidP="00667961">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Actual Submission Date: Friday May 24</w:t>
            </w:r>
          </w:p>
          <w:p w14:paraId="602502DA" w14:textId="3A3934CF" w:rsidR="00667961" w:rsidRPr="00667961" w:rsidRDefault="00667961" w:rsidP="00667961">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submission is five (5) business days late. The service credit for each business day when the submission is missing or late is twenty-five hundred dollars ($2,500). </w:t>
            </w:r>
          </w:p>
          <w:p w14:paraId="2A90F6B8" w14:textId="00BD3584" w:rsidR="00667961" w:rsidRPr="002C7415" w:rsidRDefault="00145833" w:rsidP="00667961">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5 days x $2,500 = $12,500 service credit is applied.</w:t>
            </w:r>
          </w:p>
        </w:tc>
      </w:tr>
      <w:tr w:rsidR="005562EB" w:rsidRPr="002C7415" w14:paraId="206FF707" w14:textId="77777777" w:rsidTr="00667961">
        <w:tc>
          <w:tcPr>
            <w:cnfStyle w:val="001000000000" w:firstRow="0" w:lastRow="0" w:firstColumn="1" w:lastColumn="0" w:oddVBand="0" w:evenVBand="0" w:oddHBand="0" w:evenHBand="0" w:firstRowFirstColumn="0" w:firstRowLastColumn="0" w:lastRowFirstColumn="0" w:lastRowLastColumn="0"/>
            <w:tcW w:w="1886" w:type="dxa"/>
          </w:tcPr>
          <w:p w14:paraId="71568F63"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20C7B025"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Business Day</w:t>
            </w:r>
            <w:r>
              <w:rPr>
                <w:rFonts w:cs="Arial"/>
                <w:szCs w:val="20"/>
              </w:rPr>
              <w:t xml:space="preserve"> – All days between and including Monday through Friday, excluding New York State and federal holidays</w:t>
            </w:r>
          </w:p>
          <w:p w14:paraId="27BD3391"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Calendar Day</w:t>
            </w:r>
            <w:r>
              <w:rPr>
                <w:rFonts w:cs="Arial"/>
                <w:szCs w:val="20"/>
              </w:rPr>
              <w:t xml:space="preserve"> – Any day of the month from 12:00 a.m. through 11:59 p.m. Eastern Time, including weekends and State and federal holidays</w:t>
            </w:r>
          </w:p>
        </w:tc>
      </w:tr>
      <w:tr w:rsidR="005562EB" w:rsidRPr="002C7415" w14:paraId="257C526F" w14:textId="77777777" w:rsidTr="0066796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264879C" w14:textId="77777777" w:rsidR="005562EB" w:rsidRPr="002C7415" w:rsidRDefault="005562EB" w:rsidP="002413AA">
            <w:pPr>
              <w:rPr>
                <w:rFonts w:cs="Arial"/>
                <w:b w:val="0"/>
                <w:bCs w:val="0"/>
                <w:szCs w:val="20"/>
              </w:rPr>
            </w:pPr>
            <w:r>
              <w:rPr>
                <w:rFonts w:cs="Arial"/>
                <w:szCs w:val="20"/>
              </w:rPr>
              <w:t>Exclusions</w:t>
            </w:r>
          </w:p>
        </w:tc>
        <w:tc>
          <w:tcPr>
            <w:tcW w:w="8900" w:type="dxa"/>
          </w:tcPr>
          <w:p w14:paraId="65B32AC2" w14:textId="04D95631"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resolution timeframe may be extended by Department issued written agreement if the complexity of the required correction necessitates a longer period. The Contractor must request such an extension within two (2) business days of receiving the deficiency notice. The Contractor is responsible for justifying the exclusion by providing written evidence of the approved waiver request.</w:t>
            </w:r>
          </w:p>
        </w:tc>
      </w:tr>
      <w:tr w:rsidR="005562EB" w:rsidRPr="002C7415" w14:paraId="51C375B3" w14:textId="77777777" w:rsidTr="00667961">
        <w:tc>
          <w:tcPr>
            <w:cnfStyle w:val="001000000000" w:firstRow="0" w:lastRow="0" w:firstColumn="1" w:lastColumn="0" w:oddVBand="0" w:evenVBand="0" w:oddHBand="0" w:evenHBand="0" w:firstRowFirstColumn="0" w:firstRowLastColumn="0" w:lastRowFirstColumn="0" w:lastRowLastColumn="0"/>
            <w:tcW w:w="1886" w:type="dxa"/>
          </w:tcPr>
          <w:p w14:paraId="2D7343C4"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39FB8F12"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 deficiency log to track all documentation errors identified by the Department. For each reporting period, the Contractor must:</w:t>
            </w:r>
          </w:p>
          <w:p w14:paraId="02AC695A" w14:textId="77777777"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List all new deficiencies reported by the Department, including the notification date.</w:t>
            </w:r>
          </w:p>
          <w:p w14:paraId="2B5263EF" w14:textId="77777777"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Report the resubmission date for all corrected documents.</w:t>
            </w:r>
          </w:p>
          <w:p w14:paraId="12D0912F" w14:textId="20CC5797"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lastRenderedPageBreak/>
              <w:t>Identify any resubmissions that are out of compliance with the five (5) business days resubmission requirement and report the total accrued service credits for each.</w:t>
            </w:r>
          </w:p>
          <w:p w14:paraId="665E7BE2" w14:textId="6F338CC8"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The Contractor must report this SLA performance and any accrued service credits in the Weekly and Monthly Status Reports. </w:t>
            </w:r>
          </w:p>
        </w:tc>
      </w:tr>
      <w:tr w:rsidR="005562EB" w:rsidRPr="002C7415" w14:paraId="45C73E41" w14:textId="77777777" w:rsidTr="0066796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28743BF" w14:textId="280872C2" w:rsidR="005562EB" w:rsidRPr="002C7415" w:rsidRDefault="00567333" w:rsidP="002413AA">
            <w:pPr>
              <w:rPr>
                <w:rFonts w:cs="Arial"/>
                <w:b w:val="0"/>
                <w:bCs w:val="0"/>
                <w:szCs w:val="20"/>
              </w:rPr>
            </w:pPr>
            <w:r>
              <w:rPr>
                <w:rFonts w:cs="Arial"/>
                <w:szCs w:val="20"/>
              </w:rPr>
              <w:lastRenderedPageBreak/>
              <w:t>Converged E&amp;E System and AMS Service Credit</w:t>
            </w:r>
          </w:p>
        </w:tc>
        <w:tc>
          <w:tcPr>
            <w:tcW w:w="8900" w:type="dxa"/>
          </w:tcPr>
          <w:p w14:paraId="2A3EC98F" w14:textId="23676ED8"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Contractor failure to resubmit a corrected document within the five (5) business day resolution period will result in a service credit of two thousand five hundred dollars ($2,500) per business day, or portion thereof, of delay for each deficient document until the corrected version is delivered. Service credits accrue as of Business Day Six (6).</w:t>
            </w:r>
          </w:p>
        </w:tc>
      </w:tr>
    </w:tbl>
    <w:p w14:paraId="17567D1E" w14:textId="728D7458" w:rsidR="005562EB" w:rsidRPr="002C7415" w:rsidRDefault="005562EB" w:rsidP="00CB1E19">
      <w:pPr>
        <w:pStyle w:val="HeadingSLA"/>
      </w:pPr>
      <w:bookmarkStart w:id="24" w:name="_Toc230258203"/>
      <w:bookmarkStart w:id="25" w:name="_Toc233199129"/>
      <w:r>
        <w:t>Weekly Status Meeting Frequency (Design, Development, and Implementation and Maintenance and Operations)</w:t>
      </w:r>
      <w:bookmarkEnd w:id="24"/>
      <w:bookmarkEnd w:id="25"/>
    </w:p>
    <w:tbl>
      <w:tblPr>
        <w:tblStyle w:val="DOH-LeftHeader"/>
        <w:tblW w:w="4998" w:type="pct"/>
        <w:tblLayout w:type="fixed"/>
        <w:tblLook w:val="0480" w:firstRow="0" w:lastRow="0" w:firstColumn="1" w:lastColumn="0" w:noHBand="0" w:noVBand="1"/>
      </w:tblPr>
      <w:tblGrid>
        <w:gridCol w:w="1886"/>
        <w:gridCol w:w="8900"/>
      </w:tblGrid>
      <w:tr w:rsidR="005562EB" w:rsidRPr="002C7415" w14:paraId="1BFAA351"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5055A68A" w14:textId="77777777" w:rsidR="005562EB" w:rsidRPr="002C7415" w:rsidRDefault="005562EB" w:rsidP="002413AA">
            <w:pPr>
              <w:rPr>
                <w:rFonts w:cs="Arial"/>
                <w:b w:val="0"/>
                <w:bCs w:val="0"/>
                <w:szCs w:val="20"/>
              </w:rPr>
            </w:pPr>
            <w:r>
              <w:rPr>
                <w:rFonts w:cs="Arial"/>
                <w:szCs w:val="20"/>
              </w:rPr>
              <w:t>Purpose</w:t>
            </w:r>
          </w:p>
        </w:tc>
        <w:tc>
          <w:tcPr>
            <w:tcW w:w="8900" w:type="dxa"/>
          </w:tcPr>
          <w:p w14:paraId="00E2E869"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highlights the importance of communicating with the Department on a regular basis. It defines the minimum status meeting frequency and agenda topics. </w:t>
            </w:r>
          </w:p>
        </w:tc>
      </w:tr>
      <w:tr w:rsidR="005562EB" w:rsidRPr="002C7415" w14:paraId="11845EF2"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958237B" w14:textId="77777777" w:rsidR="005562EB" w:rsidRPr="002C7415" w:rsidRDefault="005562EB" w:rsidP="002413AA">
            <w:pPr>
              <w:rPr>
                <w:rFonts w:cs="Arial"/>
                <w:b w:val="0"/>
                <w:bCs w:val="0"/>
                <w:szCs w:val="20"/>
              </w:rPr>
            </w:pPr>
            <w:r>
              <w:rPr>
                <w:rFonts w:cs="Arial"/>
                <w:szCs w:val="20"/>
              </w:rPr>
              <w:t>Specification</w:t>
            </w:r>
          </w:p>
        </w:tc>
        <w:tc>
          <w:tcPr>
            <w:tcW w:w="8900" w:type="dxa"/>
          </w:tcPr>
          <w:p w14:paraId="45560ED8"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schedule, plan, and host a weekly DDI status meeting and a weekly M&amp;O status meeting with the Department. Weekly agenda topics include, at a minimum, project accomplishments, current and planned activities, milestone status, risks and issues, SLA compliance, service incidents and resolutions, and upcoming maintenance activities.</w:t>
            </w:r>
          </w:p>
        </w:tc>
      </w:tr>
      <w:tr w:rsidR="005562EB" w:rsidRPr="002C7415" w14:paraId="263B0829"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1E3B21AA" w14:textId="77777777" w:rsidR="005562EB" w:rsidRPr="002C7415" w:rsidRDefault="005562EB" w:rsidP="002413AA">
            <w:pPr>
              <w:rPr>
                <w:rFonts w:cs="Arial"/>
                <w:b w:val="0"/>
                <w:bCs w:val="0"/>
                <w:szCs w:val="20"/>
              </w:rPr>
            </w:pPr>
            <w:r>
              <w:rPr>
                <w:rFonts w:cs="Arial"/>
                <w:szCs w:val="20"/>
              </w:rPr>
              <w:t>Service Level</w:t>
            </w:r>
          </w:p>
        </w:tc>
        <w:tc>
          <w:tcPr>
            <w:tcW w:w="8900" w:type="dxa"/>
          </w:tcPr>
          <w:p w14:paraId="5D872FA0" w14:textId="1C9D5908" w:rsidR="005562EB" w:rsidRPr="00AB14AE" w:rsidRDefault="005562EB" w:rsidP="002413AA">
            <w:pPr>
              <w:cnfStyle w:val="000000000000" w:firstRow="0" w:lastRow="0" w:firstColumn="0" w:lastColumn="0" w:oddVBand="0" w:evenVBand="0" w:oddHBand="0" w:evenHBand="0" w:firstRowFirstColumn="0" w:firstRowLastColumn="0" w:lastRowFirstColumn="0" w:lastRowLastColumn="0"/>
            </w:pPr>
            <w:r>
              <w:t>The Contractor must have at least one (1) M&amp;O status meeting and one (1) DDI status meeting with the Department weekly. Each meeting series is scheduled separately. However, the meetings for each series must be regularly scheduled on the same day of each week.</w:t>
            </w:r>
          </w:p>
        </w:tc>
      </w:tr>
      <w:tr w:rsidR="005562EB" w:rsidRPr="002C7415" w14:paraId="40688040"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1B4CA1C" w14:textId="77777777" w:rsidR="005562EB" w:rsidRPr="002C7415" w:rsidRDefault="005562EB" w:rsidP="002413AA">
            <w:pPr>
              <w:rPr>
                <w:rFonts w:cs="Arial"/>
                <w:b w:val="0"/>
                <w:bCs w:val="0"/>
                <w:szCs w:val="20"/>
              </w:rPr>
            </w:pPr>
            <w:r>
              <w:rPr>
                <w:rFonts w:cs="Arial"/>
                <w:szCs w:val="20"/>
              </w:rPr>
              <w:t>Notes</w:t>
            </w:r>
          </w:p>
        </w:tc>
        <w:tc>
          <w:tcPr>
            <w:tcW w:w="8900" w:type="dxa"/>
          </w:tcPr>
          <w:p w14:paraId="4FBA7D5F"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send an agenda to invited participants no later than two (2) business days before the meeting and send meeting minutes one (1) business day after the meeting. The minutes need to include a summary of all discussions, new key decisions, and an updated action items list with assigned owners and due dates.</w:t>
            </w:r>
          </w:p>
        </w:tc>
      </w:tr>
      <w:tr w:rsidR="005562EB" w:rsidRPr="002C7415" w14:paraId="1277CACB"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040CEFD2"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7F58F339" w14:textId="1660E5A7"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The Contractor self-reports SLA performance results, including any accrued service credits for the reporting period, in the Weekly and Monthly M&amp;O Status Reports.</w:t>
            </w:r>
          </w:p>
        </w:tc>
      </w:tr>
      <w:tr w:rsidR="005562EB" w:rsidRPr="002C7415" w14:paraId="114F94F3"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8AB959B" w14:textId="77777777" w:rsidR="005562EB" w:rsidRPr="002C7415" w:rsidRDefault="005562EB" w:rsidP="002413AA">
            <w:pPr>
              <w:rPr>
                <w:rFonts w:cs="Arial"/>
                <w:szCs w:val="20"/>
              </w:rPr>
            </w:pPr>
            <w:r>
              <w:rPr>
                <w:rFonts w:cs="Arial"/>
                <w:szCs w:val="20"/>
              </w:rPr>
              <w:t>SLA Calculations</w:t>
            </w:r>
          </w:p>
        </w:tc>
        <w:tc>
          <w:tcPr>
            <w:tcW w:w="8900" w:type="dxa"/>
          </w:tcPr>
          <w:p w14:paraId="09971635" w14:textId="77777777" w:rsidR="005562EB"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reviewed each calendar week.</w:t>
            </w:r>
          </w:p>
          <w:p w14:paraId="043B99E4" w14:textId="07EE7FD5" w:rsidR="005562EB" w:rsidRPr="002C7415" w:rsidRDefault="5D03F6E5" w:rsidP="39907F54">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bCs/>
              </w:rPr>
              <w:t xml:space="preserve">Missed Meeting (Initial Service Credit): </w:t>
            </w:r>
            <w:r>
              <w:rPr>
                <w:rFonts w:cs="Arial"/>
              </w:rPr>
              <w:t>If the weekly M&amp;O and/or DDI Status Meeting is scheduled and not conducted for one week, the initial service credit of twenty-five hundred dollars ($2500) is applied.</w:t>
            </w:r>
          </w:p>
          <w:p w14:paraId="7D8B80DD" w14:textId="4027BAF4" w:rsidR="005562EB" w:rsidRPr="002C7415" w:rsidRDefault="3A79EB7B" w:rsidP="00891A95">
            <w:pPr>
              <w:cnfStyle w:val="000000010000" w:firstRow="0" w:lastRow="0" w:firstColumn="0" w:lastColumn="0" w:oddVBand="0" w:evenVBand="0" w:oddHBand="0" w:evenHBand="1" w:firstRowFirstColumn="0" w:firstRowLastColumn="0" w:lastRowFirstColumn="0" w:lastRowLastColumn="0"/>
              <w:rPr>
                <w:rFonts w:cs="Arial"/>
              </w:rPr>
            </w:pPr>
            <w:r>
              <w:rPr>
                <w:rFonts w:cs="Arial"/>
                <w:b/>
                <w:bCs/>
              </w:rPr>
              <w:t xml:space="preserve">Extended Missed Meetings (Additional Service Credit): </w:t>
            </w:r>
            <w:r>
              <w:rPr>
                <w:rFonts w:cs="Arial"/>
              </w:rPr>
              <w:t>If the M&amp;O and/or DDI Status Meeting is scheduled and not conducted for two (2) or more consecutive weeks, the additional service credit is five thousand dollars ($5,000) for each missed week, per meeting series, starting with Week Two (2).</w:t>
            </w:r>
          </w:p>
          <w:p w14:paraId="17A27603" w14:textId="77777777" w:rsidR="00891A95" w:rsidRPr="002C7415" w:rsidRDefault="00891A95" w:rsidP="00891A95">
            <w:pPr>
              <w:cnfStyle w:val="000000010000" w:firstRow="0" w:lastRow="0" w:firstColumn="0" w:lastColumn="0" w:oddVBand="0" w:evenVBand="0" w:oddHBand="0" w:evenHBand="1" w:firstRowFirstColumn="0" w:firstRowLastColumn="0" w:lastRowFirstColumn="0" w:lastRowLastColumn="0"/>
              <w:rPr>
                <w:rFonts w:cs="Arial"/>
              </w:rPr>
            </w:pPr>
          </w:p>
          <w:p w14:paraId="6BDB9199" w14:textId="77777777" w:rsidR="005562EB"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t>Example:</w:t>
            </w:r>
          </w:p>
          <w:p w14:paraId="616D8966" w14:textId="6D1D581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The weekly M&amp;O Status Meeting is scheduled on Mondays.</w:t>
            </w:r>
          </w:p>
          <w:p w14:paraId="423D00C5"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There are four (4) Mondays in October</w:t>
            </w:r>
          </w:p>
          <w:p w14:paraId="395362EE" w14:textId="6269DB24" w:rsidR="005562EB" w:rsidRPr="002C7415" w:rsidRDefault="005562EB" w:rsidP="39907F54">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rPr>
              <w:t>Scenario A - Met</w:t>
            </w:r>
            <w:r>
              <w:rPr>
                <w:rFonts w:cs="Arial"/>
              </w:rPr>
              <w:t>: The Contractor schedules and completes the four (4) weekly M&amp;O Status Meetings in June. The SLA is met.</w:t>
            </w:r>
          </w:p>
          <w:p w14:paraId="4F070460" w14:textId="4B11AD3C" w:rsidR="005562EB" w:rsidRPr="002C7415" w:rsidRDefault="005562EB" w:rsidP="39907F54">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rPr>
              <w:t xml:space="preserve">Scenario B – Missed Meeting </w:t>
            </w:r>
            <w:r>
              <w:rPr>
                <w:rFonts w:cs="Arial"/>
                <w:b/>
                <w:bCs/>
              </w:rPr>
              <w:t>(</w:t>
            </w:r>
            <w:r>
              <w:rPr>
                <w:rFonts w:cs="Arial"/>
                <w:b/>
              </w:rPr>
              <w:t>Initial Service Credit</w:t>
            </w:r>
            <w:r>
              <w:rPr>
                <w:rFonts w:cs="Arial"/>
                <w:b/>
                <w:bCs/>
              </w:rPr>
              <w:t>)</w:t>
            </w:r>
            <w:r>
              <w:rPr>
                <w:rFonts w:cs="Arial"/>
              </w:rPr>
              <w:t xml:space="preserve">: The weekly DDI Status Meeting is scheduled for the second Monday in September. The Contractor cancels the meeting and does not reschedule for the same week. The initial service credit of </w:t>
            </w:r>
            <w:r>
              <w:rPr>
                <w:rFonts w:cs="Arial"/>
                <w:b/>
                <w:bCs/>
              </w:rPr>
              <w:t>twenty-five hundred dollars (</w:t>
            </w:r>
            <w:r>
              <w:rPr>
                <w:rFonts w:cs="Arial"/>
              </w:rPr>
              <w:t>$2,500) is applied.</w:t>
            </w:r>
          </w:p>
          <w:p w14:paraId="3512122A" w14:textId="5FCD257D" w:rsidR="005562EB" w:rsidRPr="002C7415" w:rsidRDefault="005562EB" w:rsidP="39907F54">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rPr>
              <w:t>Scenario C – Missed Consecutive Meetings</w:t>
            </w:r>
            <w:r>
              <w:rPr>
                <w:rFonts w:cs="Arial"/>
                <w:b/>
                <w:bCs/>
              </w:rPr>
              <w:t xml:space="preserve"> (</w:t>
            </w:r>
            <w:r>
              <w:rPr>
                <w:rFonts w:cs="Arial"/>
                <w:b/>
              </w:rPr>
              <w:t>Additional Service Credit</w:t>
            </w:r>
            <w:r>
              <w:rPr>
                <w:rFonts w:cs="Arial"/>
                <w:b/>
                <w:bCs/>
              </w:rPr>
              <w:t>)</w:t>
            </w:r>
            <w:r>
              <w:rPr>
                <w:rFonts w:cs="Arial"/>
              </w:rPr>
              <w:t xml:space="preserve">: The Contractor reschedules the meeting series to begin on the first Monday in October. The original meeting series and the two (2) remaining September weekly meetings are cancelled. The additional service credit of ten thousand dollars ($10,000) (two [2] consecutive missed meetings in </w:t>
            </w:r>
            <w:r>
              <w:rPr>
                <w:rFonts w:cs="Arial"/>
              </w:rPr>
              <w:lastRenderedPageBreak/>
              <w:t>September x five thousand dollars [$5,000] for each missed weekly meeting after Week One [1]) is applied. The total service credit is twelve thousand five hundred dollars ($12,500).</w:t>
            </w:r>
          </w:p>
        </w:tc>
      </w:tr>
      <w:tr w:rsidR="005562EB" w:rsidRPr="002C7415" w14:paraId="6C18D852"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3511F0E4" w14:textId="77777777" w:rsidR="005562EB" w:rsidRPr="002C7415" w:rsidRDefault="005562EB" w:rsidP="002413AA">
            <w:pPr>
              <w:rPr>
                <w:rFonts w:cs="Arial"/>
                <w:b w:val="0"/>
                <w:bCs w:val="0"/>
                <w:szCs w:val="20"/>
              </w:rPr>
            </w:pPr>
            <w:r>
              <w:rPr>
                <w:rFonts w:cs="Arial"/>
                <w:szCs w:val="20"/>
              </w:rPr>
              <w:lastRenderedPageBreak/>
              <w:t>SLA Calculations Definitions</w:t>
            </w:r>
          </w:p>
        </w:tc>
        <w:tc>
          <w:tcPr>
            <w:tcW w:w="8900" w:type="dxa"/>
          </w:tcPr>
          <w:p w14:paraId="0C5320AA"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Calendar Week</w:t>
            </w:r>
            <w:r>
              <w:rPr>
                <w:rFonts w:cs="Arial"/>
                <w:szCs w:val="20"/>
              </w:rPr>
              <w:t>: A period of seven consecutive days, beginning on Sunday at 12:00 a.m. and ending on Saturday at 11:59 p.m. EST/EDT.</w:t>
            </w:r>
          </w:p>
        </w:tc>
      </w:tr>
      <w:tr w:rsidR="005562EB" w:rsidRPr="002C7415" w14:paraId="066C98B5"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02FB555" w14:textId="77777777" w:rsidR="005562EB" w:rsidRPr="002C7415" w:rsidRDefault="005562EB" w:rsidP="002413AA">
            <w:pPr>
              <w:rPr>
                <w:rFonts w:cs="Arial"/>
                <w:b w:val="0"/>
                <w:bCs w:val="0"/>
                <w:szCs w:val="20"/>
              </w:rPr>
            </w:pPr>
            <w:r>
              <w:rPr>
                <w:rFonts w:cs="Arial"/>
                <w:szCs w:val="20"/>
              </w:rPr>
              <w:t>Exclusions</w:t>
            </w:r>
          </w:p>
        </w:tc>
        <w:tc>
          <w:tcPr>
            <w:tcW w:w="8900" w:type="dxa"/>
          </w:tcPr>
          <w:p w14:paraId="114C34F4" w14:textId="77777777" w:rsidR="005562EB" w:rsidRDefault="005562EB" w:rsidP="002413AA">
            <w:pPr>
              <w:cnfStyle w:val="000000010000" w:firstRow="0" w:lastRow="0" w:firstColumn="0" w:lastColumn="0" w:oddVBand="0" w:evenVBand="0" w:oddHBand="0" w:evenHBand="1" w:firstRowFirstColumn="0" w:firstRowLastColumn="0" w:lastRowFirstColumn="0" w:lastRowLastColumn="0"/>
              <w:rPr>
                <w:rFonts w:eastAsia="Calibri" w:cs="Arial"/>
                <w:szCs w:val="20"/>
              </w:rPr>
            </w:pPr>
            <w:r>
              <w:rPr>
                <w:rFonts w:eastAsia="Calibri" w:cs="Arial"/>
                <w:szCs w:val="20"/>
              </w:rPr>
              <w:t>A service credit will not apply if the weekly meeting is canceled in writing by the Department or by mutual written agreement of both parties (e.g., for a week containing a major public holiday).</w:t>
            </w:r>
          </w:p>
          <w:p w14:paraId="33983B86"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eastAsia="Calibri" w:cs="Arial"/>
                <w:szCs w:val="20"/>
              </w:rPr>
            </w:pPr>
            <w:r>
              <w:rPr>
                <w:rFonts w:eastAsia="Calibri" w:cs="Arial"/>
                <w:szCs w:val="20"/>
              </w:rPr>
              <w:t>A meeting rescheduled and held within the same calendar week does not constitute a breach.</w:t>
            </w:r>
          </w:p>
          <w:p w14:paraId="72305712" w14:textId="11EC3676"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eastAsia="Calibri" w:cs="Arial"/>
                <w:szCs w:val="20"/>
              </w:rPr>
              <w:t>If the meeting date falls on a non-business day, the Contractor must schedule the meeting on the next business day following</w:t>
            </w:r>
            <w:r>
              <w:rPr>
                <w:rFonts w:cs="Arial"/>
                <w:szCs w:val="20"/>
              </w:rPr>
              <w:t xml:space="preserve"> the regular meeting day of the week, unless the Department requests a different date.</w:t>
            </w:r>
          </w:p>
          <w:p w14:paraId="4389541C" w14:textId="37128C81"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share any Department-issued waiver documentation, if requested.</w:t>
            </w:r>
          </w:p>
        </w:tc>
      </w:tr>
      <w:tr w:rsidR="005562EB" w:rsidRPr="002C7415" w14:paraId="57A8ACF3"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0F2B05C3"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0088D18D" w14:textId="63FBBA33" w:rsidR="005562EB" w:rsidRPr="002C7415" w:rsidRDefault="104FF38E" w:rsidP="39907F54">
            <w:pPr>
              <w:cnfStyle w:val="000000000000" w:firstRow="0" w:lastRow="0" w:firstColumn="0" w:lastColumn="0" w:oddVBand="0" w:evenVBand="0" w:oddHBand="0" w:evenHBand="0" w:firstRowFirstColumn="0" w:firstRowLastColumn="0" w:lastRowFirstColumn="0" w:lastRowLastColumn="0"/>
              <w:rPr>
                <w:rFonts w:cs="Arial"/>
              </w:rPr>
            </w:pPr>
            <w:r>
              <w:rPr>
                <w:rFonts w:cs="Arial"/>
              </w:rPr>
              <w:t>This SLA is evaluated for compliance weekly. Review documentation includes meeting artifacts showing that the meeting occurred (e.g., calendar invitations, attendance records, distributed agendas, and meeting minutes).</w:t>
            </w:r>
          </w:p>
          <w:p w14:paraId="1BDBBB2F" w14:textId="1FA9AC4A"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The Contractor self-reports this SLA performance in the Weekly and Monthly status reports by reporting any missed meetings and total applicable service credits for the reporting period. </w:t>
            </w:r>
          </w:p>
        </w:tc>
      </w:tr>
      <w:tr w:rsidR="005562EB" w:rsidRPr="002C7415" w14:paraId="4A30B480"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CFFD86D" w14:textId="294850E0"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001A5405" w14:textId="1FB0FBAD" w:rsidR="005562EB" w:rsidRPr="002C7415" w:rsidRDefault="104FF38E"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rPr>
              <w:t xml:space="preserve">Late or Missed Meeting </w:t>
            </w:r>
            <w:r>
              <w:rPr>
                <w:rFonts w:cs="Arial"/>
                <w:b/>
                <w:bCs/>
              </w:rPr>
              <w:t>(</w:t>
            </w:r>
            <w:r>
              <w:rPr>
                <w:rFonts w:cs="Arial"/>
                <w:b/>
              </w:rPr>
              <w:t>Initial Service Credit</w:t>
            </w:r>
            <w:r>
              <w:rPr>
                <w:rFonts w:cs="Arial"/>
                <w:b/>
                <w:bCs/>
              </w:rPr>
              <w:t xml:space="preserve">): </w:t>
            </w:r>
            <w:r>
              <w:rPr>
                <w:rFonts w:cs="Arial"/>
                <w:szCs w:val="20"/>
              </w:rPr>
              <w:t>The Contractor will be assessed a service credit of two thousand five hundred dollars ($2,500) for the first calendar week when the required M&amp;O and/or DDI Status Meeting does not occur.</w:t>
            </w:r>
          </w:p>
          <w:p w14:paraId="1B69F034" w14:textId="1180A4F0" w:rsidR="005562EB" w:rsidRPr="002C7415" w:rsidRDefault="02252B6E" w:rsidP="00467E19">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rPr>
              <w:t>Consecutive</w:t>
            </w:r>
            <w:r>
              <w:rPr>
                <w:rFonts w:cs="Arial"/>
                <w:b/>
              </w:rPr>
              <w:t xml:space="preserve"> Missed Meetings </w:t>
            </w:r>
            <w:r>
              <w:rPr>
                <w:rFonts w:cs="Arial"/>
                <w:b/>
                <w:bCs/>
              </w:rPr>
              <w:t>(</w:t>
            </w:r>
            <w:r>
              <w:rPr>
                <w:rFonts w:cs="Arial"/>
                <w:b/>
              </w:rPr>
              <w:t>Additional Service Credit</w:t>
            </w:r>
            <w:r>
              <w:rPr>
                <w:rFonts w:cs="Arial"/>
                <w:b/>
                <w:bCs/>
              </w:rPr>
              <w:t xml:space="preserve">): </w:t>
            </w:r>
            <w:r>
              <w:rPr>
                <w:rFonts w:cs="Arial"/>
                <w:szCs w:val="20"/>
              </w:rPr>
              <w:t>If two (2) or more consecutive M&amp;O and/or DDI weekly meetings are missed, an additional service credit of five thousand dollars ($5,000) will apply for the second missed week and for each consecutive week thereafter, for each meeting series, in addition to the initial SLA service credit, until the meeting is scheduled and completed.</w:t>
            </w:r>
          </w:p>
        </w:tc>
      </w:tr>
    </w:tbl>
    <w:p w14:paraId="4989773E" w14:textId="38FDC35B" w:rsidR="005562EB" w:rsidRPr="002C7415" w:rsidRDefault="005562EB" w:rsidP="00CB1E19">
      <w:pPr>
        <w:pStyle w:val="HeadingSLA"/>
      </w:pPr>
      <w:bookmarkStart w:id="26" w:name="_Toc230258204"/>
      <w:bookmarkStart w:id="27" w:name="_Toc233199130"/>
      <w:r>
        <w:t>Status Meeting Agenda Timeliness and Currency (Design, Development, and Implementation and Maintenance and Operations)</w:t>
      </w:r>
      <w:bookmarkEnd w:id="26"/>
      <w:bookmarkEnd w:id="27"/>
    </w:p>
    <w:tbl>
      <w:tblPr>
        <w:tblStyle w:val="DOH-LeftHeader"/>
        <w:tblW w:w="4998" w:type="pct"/>
        <w:tblLayout w:type="fixed"/>
        <w:tblLook w:val="0480" w:firstRow="0" w:lastRow="0" w:firstColumn="1" w:lastColumn="0" w:noHBand="0" w:noVBand="1"/>
      </w:tblPr>
      <w:tblGrid>
        <w:gridCol w:w="1886"/>
        <w:gridCol w:w="8900"/>
      </w:tblGrid>
      <w:tr w:rsidR="005562EB" w:rsidRPr="002C7415" w14:paraId="24240D3B"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0C1811EF" w14:textId="77777777" w:rsidR="005562EB" w:rsidRPr="002C7415" w:rsidRDefault="005562EB" w:rsidP="002413AA">
            <w:pPr>
              <w:rPr>
                <w:rFonts w:cs="Arial"/>
                <w:b w:val="0"/>
                <w:bCs w:val="0"/>
                <w:szCs w:val="20"/>
              </w:rPr>
            </w:pPr>
            <w:r>
              <w:rPr>
                <w:rFonts w:cs="Arial"/>
                <w:szCs w:val="20"/>
              </w:rPr>
              <w:t>Purpose</w:t>
            </w:r>
          </w:p>
        </w:tc>
        <w:tc>
          <w:tcPr>
            <w:tcW w:w="8900" w:type="dxa"/>
          </w:tcPr>
          <w:p w14:paraId="1274C130" w14:textId="5AFB8513" w:rsidR="005562EB" w:rsidRPr="002C7415" w:rsidRDefault="054489FE">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This SLA supports the Contractor’s responsibility to host planned and efficient status meeting discussions. Preparing and distributing the status meeting agenda prior to the scheduled event allows Department attendees to prepare, review supporting materials, and formulate questions in advance, thereby maximizing the value of the meeting. </w:t>
            </w:r>
          </w:p>
        </w:tc>
      </w:tr>
      <w:tr w:rsidR="005562EB" w:rsidRPr="002C7415" w14:paraId="2A4163CA"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61C4C28" w14:textId="77777777" w:rsidR="005562EB" w:rsidRPr="002C7415" w:rsidRDefault="005562EB" w:rsidP="002413AA">
            <w:pPr>
              <w:rPr>
                <w:rFonts w:cs="Arial"/>
                <w:b w:val="0"/>
                <w:bCs w:val="0"/>
                <w:szCs w:val="20"/>
              </w:rPr>
            </w:pPr>
            <w:r>
              <w:rPr>
                <w:rFonts w:cs="Arial"/>
                <w:szCs w:val="20"/>
              </w:rPr>
              <w:t>Specification</w:t>
            </w:r>
          </w:p>
        </w:tc>
        <w:tc>
          <w:tcPr>
            <w:tcW w:w="8900" w:type="dxa"/>
          </w:tcPr>
          <w:p w14:paraId="56A24517" w14:textId="5653633D"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For each scheduled weekly status meeting (M&amp;O, DDI), the Contractor must prepare and distribute an agenda to all meeting invitees that is delivered prior to the meeting and focused on current project activity.</w:t>
            </w:r>
          </w:p>
        </w:tc>
      </w:tr>
      <w:tr w:rsidR="005562EB" w:rsidRPr="002C7415" w14:paraId="22BA8AFE"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299E0D75" w14:textId="77777777" w:rsidR="005562EB" w:rsidRPr="002C7415" w:rsidRDefault="005562EB" w:rsidP="002413AA">
            <w:pPr>
              <w:rPr>
                <w:rFonts w:cs="Arial"/>
                <w:b w:val="0"/>
                <w:bCs w:val="0"/>
                <w:szCs w:val="20"/>
              </w:rPr>
            </w:pPr>
            <w:r>
              <w:rPr>
                <w:rFonts w:cs="Arial"/>
                <w:szCs w:val="20"/>
              </w:rPr>
              <w:t>Service Level</w:t>
            </w:r>
          </w:p>
        </w:tc>
        <w:tc>
          <w:tcPr>
            <w:tcW w:w="8900" w:type="dxa"/>
          </w:tcPr>
          <w:p w14:paraId="2F770983"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Timeliness</w:t>
            </w:r>
            <w:r>
              <w:rPr>
                <w:rFonts w:cs="Arial"/>
                <w:szCs w:val="20"/>
              </w:rPr>
              <w:t>: The meeting agenda must be distributed at least two (2) business days prior to the scheduled meeting.</w:t>
            </w:r>
          </w:p>
          <w:p w14:paraId="04B4AF6D"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Currency</w:t>
            </w:r>
            <w:r>
              <w:rPr>
                <w:rFonts w:cs="Arial"/>
                <w:szCs w:val="20"/>
              </w:rPr>
              <w:t>: All data and status information presented in the agenda must be no more than five (5) business days old at the time of the meeting.</w:t>
            </w:r>
          </w:p>
        </w:tc>
      </w:tr>
      <w:tr w:rsidR="005562EB" w:rsidRPr="002C7415" w14:paraId="6572B1BD"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972F40F" w14:textId="77777777" w:rsidR="005562EB" w:rsidRPr="002C7415" w:rsidRDefault="005562EB" w:rsidP="002413AA">
            <w:pPr>
              <w:rPr>
                <w:rFonts w:cs="Arial"/>
                <w:b w:val="0"/>
                <w:bCs w:val="0"/>
                <w:szCs w:val="20"/>
              </w:rPr>
            </w:pPr>
            <w:r>
              <w:rPr>
                <w:rFonts w:cs="Arial"/>
                <w:szCs w:val="20"/>
              </w:rPr>
              <w:t>Notes</w:t>
            </w:r>
          </w:p>
        </w:tc>
        <w:tc>
          <w:tcPr>
            <w:tcW w:w="8900" w:type="dxa"/>
          </w:tcPr>
          <w:p w14:paraId="7A09CFB8" w14:textId="5812FF0A"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responsible for preparing and distributing the meeting agenda, linked and attached to an MS Outlook meeting invitation, to support a common understanding of the meeting purpose and expected discussion topics for all attendees.</w:t>
            </w:r>
          </w:p>
        </w:tc>
      </w:tr>
      <w:tr w:rsidR="005562EB" w:rsidRPr="002C7415" w14:paraId="4A3F9309"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7C198F13"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7B92CFEC" w14:textId="6BCF0157" w:rsidR="005562EB" w:rsidRPr="002C7415" w:rsidRDefault="104FF38E" w:rsidP="7008D97B">
            <w:pPr>
              <w:cnfStyle w:val="000000000000" w:firstRow="0" w:lastRow="0" w:firstColumn="0" w:lastColumn="0" w:oddVBand="0" w:evenVBand="0" w:oddHBand="0" w:evenHBand="0" w:firstRowFirstColumn="0" w:firstRowLastColumn="0" w:lastRowFirstColumn="0" w:lastRowLastColumn="0"/>
              <w:rPr>
                <w:rFonts w:cs="Arial"/>
              </w:rPr>
            </w:pPr>
            <w:r>
              <w:rPr>
                <w:rFonts w:cs="Arial"/>
              </w:rPr>
              <w:t>Weekly. The Contractor must self-report compliance with this SLA. SLA performance and accrued service credits are reported in the Weekly and Monthly M&amp;O and DDI Status Reports.</w:t>
            </w:r>
          </w:p>
        </w:tc>
      </w:tr>
      <w:tr w:rsidR="005562EB" w:rsidRPr="002C7415" w14:paraId="193F8531"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3F89551" w14:textId="77777777" w:rsidR="005562EB" w:rsidRPr="002C7415" w:rsidRDefault="005562EB" w:rsidP="002413AA">
            <w:pPr>
              <w:rPr>
                <w:rFonts w:cs="Arial"/>
                <w:szCs w:val="20"/>
              </w:rPr>
            </w:pPr>
            <w:r>
              <w:rPr>
                <w:rFonts w:cs="Arial"/>
                <w:szCs w:val="20"/>
              </w:rPr>
              <w:t>SLA Calculations</w:t>
            </w:r>
          </w:p>
        </w:tc>
        <w:tc>
          <w:tcPr>
            <w:tcW w:w="8900" w:type="dxa"/>
          </w:tcPr>
          <w:p w14:paraId="7284FE1E"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for each scheduled weekly DDI and M&amp;O status meeting. There are two (2) potential failure conditions and one (1) escalation condition.</w:t>
            </w:r>
          </w:p>
          <w:p w14:paraId="7315BFDA" w14:textId="19D9DADE" w:rsidR="005562EB" w:rsidRDefault="104FF38E" w:rsidP="7008D97B">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rPr>
              <w:t>Timeliness</w:t>
            </w:r>
            <w:r>
              <w:rPr>
                <w:rFonts w:cs="Arial"/>
              </w:rPr>
              <w:t>: If the agenda is distributed less than two (2) business days before the meeting, the SLA is breached, and the initial SLA service credit of one thousand dollars ($1,000) is applied.</w:t>
            </w:r>
          </w:p>
          <w:p w14:paraId="246E113F" w14:textId="1883FD6B" w:rsidR="005562EB" w:rsidRDefault="104FF38E" w:rsidP="7008D97B">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rPr>
              <w:lastRenderedPageBreak/>
              <w:t>Currency</w:t>
            </w:r>
            <w:r>
              <w:rPr>
                <w:rFonts w:cs="Arial"/>
              </w:rPr>
              <w:t>: If the agenda’s content is more than five (5) business days old, the SLA is breached, and the initial SLA service credit of one thousand dollars ($1,000) is applied.</w:t>
            </w:r>
          </w:p>
          <w:p w14:paraId="2D986BE3" w14:textId="32DFE1C9" w:rsidR="005562EB" w:rsidRPr="002C7415" w:rsidRDefault="104FF38E" w:rsidP="7008D97B">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rPr>
              <w:t>Escalation for Tardiness</w:t>
            </w:r>
            <w:r>
              <w:rPr>
                <w:rFonts w:cs="Arial"/>
              </w:rPr>
              <w:t>: If the agenda is distributed less than one (1) business day before the meeting, the additional service credit of one thousand dollars ($1,000) is applied.</w:t>
            </w:r>
          </w:p>
          <w:p w14:paraId="4B6FC0AD" w14:textId="3D5AB4CB" w:rsidR="005562EB" w:rsidRPr="002C7415" w:rsidRDefault="104FF38E" w:rsidP="7008D97B">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rPr>
              <w:t>Note</w:t>
            </w:r>
            <w:r>
              <w:rPr>
                <w:rFonts w:cs="Arial"/>
              </w:rPr>
              <w:t>: A single meeting can incur a service credit for Breach of Timeliness, Breach of Currency, and Escalation for Tardiness, if all conditions are met, for a total service credit of three thousand dollars ($3,000).</w:t>
            </w:r>
          </w:p>
        </w:tc>
      </w:tr>
      <w:tr w:rsidR="005562EB" w:rsidRPr="002C7415" w14:paraId="76BE18FB"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34E56232" w14:textId="77777777" w:rsidR="005562EB" w:rsidRPr="002C7415" w:rsidRDefault="005562EB" w:rsidP="002413AA">
            <w:pPr>
              <w:rPr>
                <w:rFonts w:cs="Arial"/>
                <w:b w:val="0"/>
                <w:bCs w:val="0"/>
                <w:szCs w:val="20"/>
              </w:rPr>
            </w:pPr>
            <w:r>
              <w:rPr>
                <w:rFonts w:cs="Arial"/>
                <w:szCs w:val="20"/>
              </w:rPr>
              <w:lastRenderedPageBreak/>
              <w:t>SLA Calculations Definitions</w:t>
            </w:r>
          </w:p>
        </w:tc>
        <w:tc>
          <w:tcPr>
            <w:tcW w:w="8900" w:type="dxa"/>
          </w:tcPr>
          <w:p w14:paraId="5EF4F73F"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Business Day</w:t>
            </w:r>
            <w:r>
              <w:rPr>
                <w:rFonts w:cs="Arial"/>
                <w:szCs w:val="20"/>
              </w:rPr>
              <w:t>: Any day between and including Monday through Friday, excluding New York State and federal holidays.</w:t>
            </w:r>
          </w:p>
        </w:tc>
      </w:tr>
      <w:tr w:rsidR="005562EB" w:rsidRPr="002C7415" w14:paraId="5C4A0C4A"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5D14101" w14:textId="77777777" w:rsidR="005562EB" w:rsidRPr="002C7415" w:rsidRDefault="005562EB" w:rsidP="002413AA">
            <w:pPr>
              <w:rPr>
                <w:rFonts w:cs="Arial"/>
                <w:b w:val="0"/>
                <w:bCs w:val="0"/>
                <w:szCs w:val="20"/>
              </w:rPr>
            </w:pPr>
            <w:r>
              <w:rPr>
                <w:rFonts w:cs="Arial"/>
                <w:szCs w:val="20"/>
              </w:rPr>
              <w:t>Exclusions</w:t>
            </w:r>
          </w:p>
        </w:tc>
        <w:tc>
          <w:tcPr>
            <w:tcW w:w="8900" w:type="dxa"/>
          </w:tcPr>
          <w:p w14:paraId="77B7ABE3" w14:textId="4616EBE4" w:rsidR="005562EB" w:rsidRPr="002C7415" w:rsidRDefault="104FF38E" w:rsidP="7008D97B">
            <w:pPr>
              <w:cnfStyle w:val="000000010000" w:firstRow="0" w:lastRow="0" w:firstColumn="0" w:lastColumn="0" w:oddVBand="0" w:evenVBand="0" w:oddHBand="0" w:evenHBand="1" w:firstRowFirstColumn="0" w:firstRowLastColumn="0" w:lastRowFirstColumn="0" w:lastRowLastColumn="0"/>
              <w:rPr>
                <w:rFonts w:cs="Arial"/>
              </w:rPr>
            </w:pPr>
            <w:r>
              <w:rPr>
                <w:rFonts w:cs="Arial"/>
              </w:rPr>
              <w:t>A service credit will not apply if the meeting schedule is shifted by the Department in writing with less than two business days’ notice, preventing the Contractor from meeting the agenda distribution timeline. The Contractor is responsible for providing documentation to support evidence of this exclusion.</w:t>
            </w:r>
          </w:p>
        </w:tc>
      </w:tr>
      <w:tr w:rsidR="005562EB" w:rsidRPr="002C7415" w14:paraId="7EFE86A8"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1FC65138"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62B33091" w14:textId="670AD914" w:rsidR="005562EB" w:rsidRPr="002C7415" w:rsidRDefault="104FF38E" w:rsidP="1AFB8B60">
            <w:pPr>
              <w:cnfStyle w:val="000000000000" w:firstRow="0" w:lastRow="0" w:firstColumn="0" w:lastColumn="0" w:oddVBand="0" w:evenVBand="0" w:oddHBand="0" w:evenHBand="0" w:firstRowFirstColumn="0" w:firstRowLastColumn="0" w:lastRowFirstColumn="0" w:lastRowLastColumn="0"/>
            </w:pPr>
            <w:r>
              <w:rPr>
                <w:rFonts w:cs="Arial"/>
              </w:rPr>
              <w:t xml:space="preserve">For each of the two weekly status meetings (M&amp;O and DDI), the Contractor must maintain supporting documentation </w:t>
            </w:r>
            <w:r>
              <w:t>showing the agenda distribution date and time (e.g., email sent logs, meeting tool logs). The agenda content is also reviewed to determine if any data or status information is more than five (5) business days old.</w:t>
            </w:r>
          </w:p>
          <w:p w14:paraId="3369DAE0" w14:textId="668269E5" w:rsidR="005562EB" w:rsidRPr="002C7415" w:rsidRDefault="6AD8866F" w:rsidP="00226B06">
            <w:pPr>
              <w:cnfStyle w:val="000000000000" w:firstRow="0" w:lastRow="0" w:firstColumn="0" w:lastColumn="0" w:oddVBand="0" w:evenVBand="0" w:oddHBand="0" w:evenHBand="0" w:firstRowFirstColumn="0" w:firstRowLastColumn="0" w:lastRowFirstColumn="0" w:lastRowLastColumn="0"/>
            </w:pPr>
            <w:r>
              <w:t>Compliance results (Timeliness, Currency, or Escalation) are included in the Weekly M&amp;O and DDI Status Reports with any accrued service credits for the reporting period.</w:t>
            </w:r>
          </w:p>
        </w:tc>
      </w:tr>
      <w:tr w:rsidR="005562EB" w:rsidRPr="002C7415" w14:paraId="48CEFCF8"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580DF95" w14:textId="7F735738"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3C0E170B" w14:textId="6FC09F28"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Service credits for this SLA are applied on a per-meeting basis as follows:</w:t>
            </w:r>
          </w:p>
          <w:p w14:paraId="0396D884" w14:textId="6628B7FD" w:rsidR="005562EB"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Initial Service Credit:</w:t>
            </w:r>
          </w:p>
          <w:p w14:paraId="4CFCF96C" w14:textId="06E5FFD9" w:rsidR="005562EB" w:rsidRPr="002C7415" w:rsidRDefault="1B6A6F96" w:rsidP="005562EB">
            <w:pPr>
              <w:pStyle w:val="TableBullet"/>
              <w:cnfStyle w:val="000000010000" w:firstRow="0" w:lastRow="0" w:firstColumn="0" w:lastColumn="0" w:oddVBand="0" w:evenVBand="0" w:oddHBand="0" w:evenHBand="1" w:firstRowFirstColumn="0" w:firstRowLastColumn="0" w:lastRowFirstColumn="0" w:lastRowLastColumn="0"/>
            </w:pPr>
            <w:r>
              <w:rPr>
                <w:b/>
                <w:bCs/>
              </w:rPr>
              <w:t>Timeliness</w:t>
            </w:r>
            <w:r>
              <w:t>: A service credit of one thousand dollars ($1,000) will be applied if the agenda is distributed less than two (2) business days prior to the meeting.</w:t>
            </w:r>
          </w:p>
          <w:p w14:paraId="1FF98A4A" w14:textId="22447BF6" w:rsidR="005562EB" w:rsidRPr="002C7415" w:rsidRDefault="5D54A95E" w:rsidP="005562EB">
            <w:pPr>
              <w:pStyle w:val="TableBullet"/>
              <w:cnfStyle w:val="000000010000" w:firstRow="0" w:lastRow="0" w:firstColumn="0" w:lastColumn="0" w:oddVBand="0" w:evenVBand="0" w:oddHBand="0" w:evenHBand="1" w:firstRowFirstColumn="0" w:firstRowLastColumn="0" w:lastRowFirstColumn="0" w:lastRowLastColumn="0"/>
            </w:pPr>
            <w:r>
              <w:rPr>
                <w:b/>
                <w:bCs/>
              </w:rPr>
              <w:t>Currency:</w:t>
            </w:r>
            <w:r>
              <w:t xml:space="preserve"> A service credit of one thousand dollars ($1,000) will be applied if the agenda has stale content more than five (5) business days old.</w:t>
            </w:r>
          </w:p>
          <w:p w14:paraId="433AFB7F" w14:textId="3B7242CA" w:rsidR="005562EB" w:rsidRPr="002C7415" w:rsidRDefault="00467E19"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Additional Service Credit</w:t>
            </w:r>
            <w:r>
              <w:rPr>
                <w:rFonts w:cs="Arial"/>
                <w:szCs w:val="20"/>
              </w:rPr>
              <w:t>: An additional service credit of one thousand dollars ($1,000) will be applied as an escalation penalty if the agenda is distributed less than one (1) business day before the meeting.</w:t>
            </w:r>
          </w:p>
        </w:tc>
      </w:tr>
    </w:tbl>
    <w:p w14:paraId="47CB9B06" w14:textId="1F44F533" w:rsidR="005562EB" w:rsidRPr="002C7415" w:rsidRDefault="005562EB" w:rsidP="00CB1E19">
      <w:pPr>
        <w:pStyle w:val="HeadingSLA"/>
      </w:pPr>
      <w:bookmarkStart w:id="28" w:name="_Toc230258205"/>
      <w:bookmarkStart w:id="29" w:name="_Toc233199131"/>
      <w:r>
        <w:t>Status Meeting Minutes Timeliness (Design, Development, and Implementation and Maintenance and Operations)</w:t>
      </w:r>
      <w:bookmarkEnd w:id="28"/>
      <w:bookmarkEnd w:id="29"/>
    </w:p>
    <w:tbl>
      <w:tblPr>
        <w:tblStyle w:val="DOH-LeftHeader"/>
        <w:tblW w:w="4998" w:type="pct"/>
        <w:tblLayout w:type="fixed"/>
        <w:tblLook w:val="0480" w:firstRow="0" w:lastRow="0" w:firstColumn="1" w:lastColumn="0" w:noHBand="0" w:noVBand="1"/>
      </w:tblPr>
      <w:tblGrid>
        <w:gridCol w:w="1886"/>
        <w:gridCol w:w="8900"/>
      </w:tblGrid>
      <w:tr w:rsidR="005562EB" w:rsidRPr="002C7415" w14:paraId="2E90BABD" w14:textId="77777777" w:rsidTr="5F8992F6">
        <w:tc>
          <w:tcPr>
            <w:cnfStyle w:val="001000000000" w:firstRow="0" w:lastRow="0" w:firstColumn="1" w:lastColumn="0" w:oddVBand="0" w:evenVBand="0" w:oddHBand="0" w:evenHBand="0" w:firstRowFirstColumn="0" w:firstRowLastColumn="0" w:lastRowFirstColumn="0" w:lastRowLastColumn="0"/>
            <w:tcW w:w="1886" w:type="dxa"/>
          </w:tcPr>
          <w:p w14:paraId="329DB5A2" w14:textId="77777777" w:rsidR="005562EB" w:rsidRPr="002C7415" w:rsidRDefault="005562EB" w:rsidP="002413AA">
            <w:pPr>
              <w:rPr>
                <w:rFonts w:cs="Arial"/>
                <w:b w:val="0"/>
                <w:bCs w:val="0"/>
                <w:szCs w:val="20"/>
              </w:rPr>
            </w:pPr>
            <w:r>
              <w:rPr>
                <w:rFonts w:cs="Arial"/>
                <w:szCs w:val="20"/>
              </w:rPr>
              <w:t>Purpose</w:t>
            </w:r>
          </w:p>
        </w:tc>
        <w:tc>
          <w:tcPr>
            <w:tcW w:w="8900" w:type="dxa"/>
          </w:tcPr>
          <w:p w14:paraId="674DCBCF" w14:textId="4AC5067B" w:rsidR="005562EB" w:rsidRPr="002C7415" w:rsidRDefault="2AB39908" w:rsidP="1AFB8B60">
            <w:pPr>
              <w:cnfStyle w:val="000000000000" w:firstRow="0" w:lastRow="0" w:firstColumn="0" w:lastColumn="0" w:oddVBand="0" w:evenVBand="0" w:oddHBand="0" w:evenHBand="0" w:firstRowFirstColumn="0" w:firstRowLastColumn="0" w:lastRowFirstColumn="0" w:lastRowLastColumn="0"/>
              <w:rPr>
                <w:rFonts w:cs="Arial"/>
              </w:rPr>
            </w:pPr>
            <w:r>
              <w:rPr>
                <w:rFonts w:cs="Arial"/>
              </w:rPr>
              <w:t>This SLA supports the Contractor’s responsibility to communicate Status Meeting results quickly after the meeting. Meeting minutes serve as the official record of a meeting for all stakeholders. Their timely distribution is critical for ensuring that key decisions, risks, and action items are communicated and tracked effectively, thereby maintaining project momentum and accountability.</w:t>
            </w:r>
          </w:p>
        </w:tc>
      </w:tr>
      <w:tr w:rsidR="005562EB" w:rsidRPr="002C7415" w14:paraId="63E21F74" w14:textId="77777777" w:rsidTr="5F8992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158A5C7" w14:textId="77777777" w:rsidR="005562EB" w:rsidRPr="002C7415" w:rsidRDefault="005562EB" w:rsidP="002413AA">
            <w:pPr>
              <w:rPr>
                <w:rFonts w:cs="Arial"/>
                <w:b w:val="0"/>
                <w:bCs w:val="0"/>
                <w:szCs w:val="20"/>
              </w:rPr>
            </w:pPr>
            <w:r>
              <w:rPr>
                <w:rFonts w:cs="Arial"/>
                <w:szCs w:val="20"/>
              </w:rPr>
              <w:t>Specification</w:t>
            </w:r>
          </w:p>
        </w:tc>
        <w:tc>
          <w:tcPr>
            <w:tcW w:w="8900" w:type="dxa"/>
          </w:tcPr>
          <w:p w14:paraId="40DC70DA"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Following each weekly status meeting (DDI and M&amp;O), the Contractor must produce and distribute official meeting minutes. The minutes must, at a minimum, document all key discussions, decisions made, and new or updated risks, issues, and action items, ensuring the latter are tracked in the appropriate project logs. </w:t>
            </w:r>
          </w:p>
        </w:tc>
      </w:tr>
      <w:tr w:rsidR="005562EB" w:rsidRPr="002C7415" w14:paraId="57AD5BCD" w14:textId="77777777" w:rsidTr="5F8992F6">
        <w:tc>
          <w:tcPr>
            <w:cnfStyle w:val="001000000000" w:firstRow="0" w:lastRow="0" w:firstColumn="1" w:lastColumn="0" w:oddVBand="0" w:evenVBand="0" w:oddHBand="0" w:evenHBand="0" w:firstRowFirstColumn="0" w:firstRowLastColumn="0" w:lastRowFirstColumn="0" w:lastRowLastColumn="0"/>
            <w:tcW w:w="1886" w:type="dxa"/>
          </w:tcPr>
          <w:p w14:paraId="74DD9CA6" w14:textId="77777777" w:rsidR="005562EB" w:rsidRPr="002C7415" w:rsidRDefault="005562EB" w:rsidP="002413AA">
            <w:pPr>
              <w:rPr>
                <w:rFonts w:cs="Arial"/>
                <w:b w:val="0"/>
                <w:bCs w:val="0"/>
                <w:szCs w:val="20"/>
              </w:rPr>
            </w:pPr>
            <w:r>
              <w:rPr>
                <w:rFonts w:cs="Arial"/>
                <w:szCs w:val="20"/>
              </w:rPr>
              <w:t>Service Level</w:t>
            </w:r>
          </w:p>
        </w:tc>
        <w:tc>
          <w:tcPr>
            <w:tcW w:w="8900" w:type="dxa"/>
          </w:tcPr>
          <w:p w14:paraId="74CF81A4"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Contractor must distribute the meeting minutes to all meeting invitees within one (1) business day following the conclusion of the meeting.</w:t>
            </w:r>
          </w:p>
        </w:tc>
      </w:tr>
      <w:tr w:rsidR="005562EB" w:rsidRPr="002C7415" w14:paraId="345360A0" w14:textId="77777777" w:rsidTr="5F8992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0A79E9E" w14:textId="77777777" w:rsidR="005562EB" w:rsidRPr="002C7415" w:rsidRDefault="005562EB" w:rsidP="002413AA">
            <w:pPr>
              <w:rPr>
                <w:rFonts w:cs="Arial"/>
                <w:b w:val="0"/>
                <w:bCs w:val="0"/>
                <w:szCs w:val="20"/>
              </w:rPr>
            </w:pPr>
            <w:r>
              <w:rPr>
                <w:rFonts w:cs="Arial"/>
                <w:szCs w:val="20"/>
              </w:rPr>
              <w:t>Notes</w:t>
            </w:r>
          </w:p>
        </w:tc>
        <w:tc>
          <w:tcPr>
            <w:tcW w:w="8900" w:type="dxa"/>
          </w:tcPr>
          <w:p w14:paraId="297CD064" w14:textId="3EF02127" w:rsidR="005562EB" w:rsidRPr="002C7415" w:rsidRDefault="005562EB" w:rsidP="1AFB8B6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rPr>
              <w:t>The Contractor must upload the final meeting minutes to the designated Department owned SharePoint repository. Distribution must be performed via an email containing a direct link to the document in the repository.</w:t>
            </w:r>
          </w:p>
        </w:tc>
      </w:tr>
      <w:tr w:rsidR="005562EB" w:rsidRPr="002C7415" w14:paraId="4901A383" w14:textId="77777777" w:rsidTr="5F8992F6">
        <w:tc>
          <w:tcPr>
            <w:cnfStyle w:val="001000000000" w:firstRow="0" w:lastRow="0" w:firstColumn="1" w:lastColumn="0" w:oddVBand="0" w:evenVBand="0" w:oddHBand="0" w:evenHBand="0" w:firstRowFirstColumn="0" w:firstRowLastColumn="0" w:lastRowFirstColumn="0" w:lastRowLastColumn="0"/>
            <w:tcW w:w="1886" w:type="dxa"/>
          </w:tcPr>
          <w:p w14:paraId="7DAE9ADC"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2E77E7BA" w14:textId="77777777"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The Contractor must report compliance with this SLA in the Weekly and Monthly Status Reports.</w:t>
            </w:r>
          </w:p>
        </w:tc>
      </w:tr>
      <w:tr w:rsidR="005562EB" w:rsidRPr="002C7415" w14:paraId="742564A5" w14:textId="77777777" w:rsidTr="5F8992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EEAA35E" w14:textId="77777777" w:rsidR="005562EB" w:rsidRPr="002C7415" w:rsidRDefault="005562EB" w:rsidP="002413AA">
            <w:pPr>
              <w:rPr>
                <w:rFonts w:cs="Arial"/>
                <w:szCs w:val="20"/>
              </w:rPr>
            </w:pPr>
            <w:r>
              <w:rPr>
                <w:rFonts w:cs="Arial"/>
                <w:szCs w:val="20"/>
              </w:rPr>
              <w:lastRenderedPageBreak/>
              <w:t>SLA Calculations</w:t>
            </w:r>
          </w:p>
        </w:tc>
        <w:tc>
          <w:tcPr>
            <w:tcW w:w="8900" w:type="dxa"/>
          </w:tcPr>
          <w:p w14:paraId="6A8A31A0" w14:textId="4094EF17" w:rsidR="005562EB" w:rsidRPr="002C7415" w:rsidRDefault="005562EB" w:rsidP="1AFB8B6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rPr>
              <w:t>Compliance is measured for each weekly status meeting (DDI and M&amp;O). A service credit is applied if the minutes are distributed more than one (1) business day following the meeting. An additional penalty applies for further delays.</w:t>
            </w:r>
          </w:p>
          <w:p w14:paraId="529EB738" w14:textId="4CD702B4" w:rsidR="005562EB" w:rsidRPr="002C7415" w:rsidRDefault="68BC76FB" w:rsidP="1AFB8B6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bCs/>
              </w:rPr>
              <w:t>Determine Lateness</w:t>
            </w:r>
            <w:r>
              <w:rPr>
                <w:rFonts w:cs="Arial"/>
              </w:rPr>
              <w:t>: Calculate the number of business days between the meeting date and the minutes distribution date.</w:t>
            </w:r>
          </w:p>
          <w:p w14:paraId="2DE7AEFE" w14:textId="473A2461" w:rsidR="005562EB" w:rsidRPr="002C7415" w:rsidRDefault="005562EB" w:rsidP="1AFB8B6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bCs/>
              </w:rPr>
              <w:t>Late Distribution (Initial service credit)</w:t>
            </w:r>
            <w:r>
              <w:rPr>
                <w:rFonts w:cs="Arial"/>
              </w:rPr>
              <w:t>: If the result is greater than one (1) business day, the SLA is breached, and the initial service credit of fifteen hundred dollars ($1,500) is applied.</w:t>
            </w:r>
          </w:p>
          <w:p w14:paraId="2C312356" w14:textId="624B89FD" w:rsidR="005562EB" w:rsidRPr="002C7415" w:rsidRDefault="005562EB" w:rsidP="1AFB8B6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b/>
                <w:bCs/>
              </w:rPr>
              <w:t>Extended Lateness (Additional service credit):</w:t>
            </w:r>
            <w:r>
              <w:rPr>
                <w:rFonts w:cs="Arial"/>
              </w:rPr>
              <w:t xml:space="preserve"> If the result is greater than five (5) business days, an additional service credit of one thousand dollars ($1,000) is applied for each business day of delay beyond the five (5)-day period (starting with business day six [6]).</w:t>
            </w:r>
          </w:p>
        </w:tc>
      </w:tr>
      <w:tr w:rsidR="005562EB" w:rsidRPr="002C7415" w14:paraId="5F7F5E3D" w14:textId="77777777" w:rsidTr="5F8992F6">
        <w:tc>
          <w:tcPr>
            <w:cnfStyle w:val="001000000000" w:firstRow="0" w:lastRow="0" w:firstColumn="1" w:lastColumn="0" w:oddVBand="0" w:evenVBand="0" w:oddHBand="0" w:evenHBand="0" w:firstRowFirstColumn="0" w:firstRowLastColumn="0" w:lastRowFirstColumn="0" w:lastRowLastColumn="0"/>
            <w:tcW w:w="1886" w:type="dxa"/>
          </w:tcPr>
          <w:p w14:paraId="5992F5F1"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75F1FCE2"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Business Day</w:t>
            </w:r>
            <w:r>
              <w:rPr>
                <w:rFonts w:cs="Arial"/>
                <w:szCs w:val="20"/>
              </w:rPr>
              <w:t>: Any day between and including Monday through Friday, excluding New York State and federal holidays.</w:t>
            </w:r>
          </w:p>
        </w:tc>
      </w:tr>
      <w:tr w:rsidR="005562EB" w:rsidRPr="002C7415" w14:paraId="4E8FA242" w14:textId="77777777" w:rsidTr="5F8992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44F38FB" w14:textId="77777777" w:rsidR="005562EB" w:rsidRPr="002C7415" w:rsidRDefault="005562EB" w:rsidP="002413AA">
            <w:pPr>
              <w:rPr>
                <w:rFonts w:cs="Arial"/>
                <w:b w:val="0"/>
                <w:bCs w:val="0"/>
                <w:szCs w:val="20"/>
              </w:rPr>
            </w:pPr>
            <w:r>
              <w:rPr>
                <w:rFonts w:cs="Arial"/>
                <w:szCs w:val="20"/>
              </w:rPr>
              <w:t>Exclusions</w:t>
            </w:r>
          </w:p>
        </w:tc>
        <w:tc>
          <w:tcPr>
            <w:tcW w:w="8900" w:type="dxa"/>
          </w:tcPr>
          <w:p w14:paraId="5E49C176" w14:textId="2C78232D" w:rsidR="005562EB" w:rsidRPr="002C7415" w:rsidRDefault="005562EB" w:rsidP="1AFB8B60">
            <w:pPr>
              <w:cnfStyle w:val="000000010000" w:firstRow="0" w:lastRow="0" w:firstColumn="0" w:lastColumn="0" w:oddVBand="0" w:evenVBand="0" w:oddHBand="0" w:evenHBand="1" w:firstRowFirstColumn="0" w:firstRowLastColumn="0" w:lastRowFirstColumn="0" w:lastRowLastColumn="0"/>
              <w:rPr>
                <w:rFonts w:cs="Arial"/>
              </w:rPr>
            </w:pPr>
            <w:r>
              <w:rPr>
                <w:rFonts w:cs="Arial"/>
              </w:rPr>
              <w:t>A service credit will not apply if the Department requests a substantive review period or extensive revision that requires more than one (1) business day to complete. The Contractor must obtain this direction in writing and provide proof to claim the exclusion.</w:t>
            </w:r>
          </w:p>
        </w:tc>
      </w:tr>
      <w:tr w:rsidR="005562EB" w:rsidRPr="002C7415" w14:paraId="355E79E9" w14:textId="77777777" w:rsidTr="5F8992F6">
        <w:tc>
          <w:tcPr>
            <w:cnfStyle w:val="001000000000" w:firstRow="0" w:lastRow="0" w:firstColumn="1" w:lastColumn="0" w:oddVBand="0" w:evenVBand="0" w:oddHBand="0" w:evenHBand="0" w:firstRowFirstColumn="0" w:firstRowLastColumn="0" w:lastRowFirstColumn="0" w:lastRowLastColumn="0"/>
            <w:tcW w:w="1886" w:type="dxa"/>
          </w:tcPr>
          <w:p w14:paraId="7750A85F"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6C584204"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is responsible for monitoring and reporting compliance with this SLA. For each reporting period, the Contractor must:</w:t>
            </w:r>
          </w:p>
          <w:p w14:paraId="10E976E3" w14:textId="6AB5B6C5"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Maintain artifacts proving the distribution date and time of all DDI and M&amp;O meeting minutes (e.g., email sent logs, SharePoint version history).</w:t>
            </w:r>
          </w:p>
          <w:p w14:paraId="62854608" w14:textId="60CAB691"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Report any breaches and accrued service credits for each set of meeting minutes delayed more than five (5) business days.</w:t>
            </w:r>
          </w:p>
          <w:p w14:paraId="17F88DA4" w14:textId="590ADA94" w:rsidR="005562EB" w:rsidRPr="002C7415" w:rsidRDefault="0AFB8910" w:rsidP="00226B06">
            <w:pPr>
              <w:cnfStyle w:val="000000000000" w:firstRow="0" w:lastRow="0" w:firstColumn="0" w:lastColumn="0" w:oddVBand="0" w:evenVBand="0" w:oddHBand="0" w:evenHBand="0" w:firstRowFirstColumn="0" w:firstRowLastColumn="0" w:lastRowFirstColumn="0" w:lastRowLastColumn="0"/>
            </w:pPr>
            <w:r>
              <w:t>SLA results are reported in the DDI and M&amp;O Weekly Status Reports and Monthly Status Reports.</w:t>
            </w:r>
          </w:p>
        </w:tc>
      </w:tr>
      <w:tr w:rsidR="005562EB" w:rsidRPr="002C7415" w14:paraId="12AB1B62" w14:textId="77777777" w:rsidTr="5F8992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477B55E" w14:textId="2CA5153B"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7F7582D4"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Service credits for this SLA are applied as follows:</w:t>
            </w:r>
          </w:p>
          <w:p w14:paraId="5A28FB3F" w14:textId="1441821A" w:rsidR="005562EB" w:rsidRPr="002C7415" w:rsidRDefault="005562EB" w:rsidP="1AFB8B60">
            <w:pPr>
              <w:cnfStyle w:val="000000010000" w:firstRow="0" w:lastRow="0" w:firstColumn="0" w:lastColumn="0" w:oddVBand="0" w:evenVBand="0" w:oddHBand="0" w:evenHBand="1" w:firstRowFirstColumn="0" w:firstRowLastColumn="0" w:lastRowFirstColumn="0" w:lastRowLastColumn="0"/>
              <w:rPr>
                <w:rFonts w:cs="Arial"/>
              </w:rPr>
            </w:pPr>
            <w:r>
              <w:rPr>
                <w:rFonts w:cs="Arial"/>
                <w:b/>
                <w:bCs/>
              </w:rPr>
              <w:t>Late Distribution (Initial Service Credit):</w:t>
            </w:r>
            <w:r>
              <w:rPr>
                <w:rFonts w:cs="Arial"/>
              </w:rPr>
              <w:t xml:space="preserve"> Failure to distribute meeting minutes within one (1) business day after each status meeting completion will result in an initial service credit of one thousand five hundred dollars ($1,500) per instance.</w:t>
            </w:r>
          </w:p>
          <w:p w14:paraId="713B8004" w14:textId="43D82BB5" w:rsidR="005562EB" w:rsidRPr="002C7415" w:rsidRDefault="005562EB" w:rsidP="1AFB8B60">
            <w:pPr>
              <w:cnfStyle w:val="000000010000" w:firstRow="0" w:lastRow="0" w:firstColumn="0" w:lastColumn="0" w:oddVBand="0" w:evenVBand="0" w:oddHBand="0" w:evenHBand="1" w:firstRowFirstColumn="0" w:firstRowLastColumn="0" w:lastRowFirstColumn="0" w:lastRowLastColumn="0"/>
              <w:rPr>
                <w:rFonts w:cs="Arial"/>
              </w:rPr>
            </w:pPr>
            <w:r>
              <w:rPr>
                <w:rFonts w:cs="Arial"/>
                <w:b/>
                <w:bCs/>
              </w:rPr>
              <w:t>Severely Late Distribution (Additional Service Credit)</w:t>
            </w:r>
            <w:r>
              <w:rPr>
                <w:rFonts w:cs="Arial"/>
              </w:rPr>
              <w:t>: If the minutes for an individual status meeting are more than five (5) business days late, an additional service credit of one thousand dollars ($1,000) per business day beyond five (5) business days, per instance, will apply for each day of delay thereafter until the minutes are distributed.</w:t>
            </w:r>
          </w:p>
        </w:tc>
      </w:tr>
    </w:tbl>
    <w:p w14:paraId="494630E1" w14:textId="0081A586" w:rsidR="005562EB" w:rsidRPr="002C7415" w:rsidRDefault="005562EB" w:rsidP="00CB1E19">
      <w:pPr>
        <w:pStyle w:val="HeadingSLA"/>
      </w:pPr>
      <w:bookmarkStart w:id="30" w:name="_Toc230258206"/>
      <w:bookmarkStart w:id="31" w:name="_Toc233199132"/>
      <w:r>
        <w:t>Integrated Master Schedule: Timely Weekly Update and Distribution</w:t>
      </w:r>
      <w:bookmarkEnd w:id="30"/>
      <w:bookmarkEnd w:id="31"/>
    </w:p>
    <w:tbl>
      <w:tblPr>
        <w:tblStyle w:val="DOH-LeftHeader"/>
        <w:tblW w:w="4998" w:type="pct"/>
        <w:tblLayout w:type="fixed"/>
        <w:tblLook w:val="0480" w:firstRow="0" w:lastRow="0" w:firstColumn="1" w:lastColumn="0" w:noHBand="0" w:noVBand="1"/>
      </w:tblPr>
      <w:tblGrid>
        <w:gridCol w:w="1886"/>
        <w:gridCol w:w="8900"/>
      </w:tblGrid>
      <w:tr w:rsidR="005562EB" w:rsidRPr="002C7415" w14:paraId="15D8813E"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13316605" w14:textId="77777777" w:rsidR="005562EB" w:rsidRPr="002C7415" w:rsidRDefault="005562EB" w:rsidP="002413AA">
            <w:pPr>
              <w:rPr>
                <w:rFonts w:cs="Arial"/>
                <w:b w:val="0"/>
                <w:bCs w:val="0"/>
                <w:szCs w:val="20"/>
              </w:rPr>
            </w:pPr>
            <w:r>
              <w:rPr>
                <w:rFonts w:cs="Arial"/>
                <w:szCs w:val="20"/>
              </w:rPr>
              <w:t>Purpose</w:t>
            </w:r>
          </w:p>
        </w:tc>
        <w:tc>
          <w:tcPr>
            <w:tcW w:w="8900" w:type="dxa"/>
          </w:tcPr>
          <w:p w14:paraId="69239A04" w14:textId="2F0F3670" w:rsidR="005562EB" w:rsidRPr="002C7415" w:rsidRDefault="72FC99D8" w:rsidP="1AFB8B60">
            <w:pPr>
              <w:cnfStyle w:val="000000000000" w:firstRow="0" w:lastRow="0" w:firstColumn="0" w:lastColumn="0" w:oddVBand="0" w:evenVBand="0" w:oddHBand="0" w:evenHBand="0" w:firstRowFirstColumn="0" w:firstRowLastColumn="0" w:lastRowFirstColumn="0" w:lastRowLastColumn="0"/>
              <w:rPr>
                <w:rFonts w:cs="Arial"/>
              </w:rPr>
            </w:pPr>
            <w:r>
              <w:rPr>
                <w:rFonts w:cs="Arial"/>
              </w:rPr>
              <w:t>This SLA reinforces the Contractor’s obligation to distribute an updated project schedule weekly. The Integrated Master Schedule (IMS) is a critical management tool used to track project tasks, predecessors, dependencies, and resource assignments across all entities (Contractor, Department, other vendors as applicable). Maintaining a single, integrated schedule ensures all involved parties have immediate visibility into milestone sequencing, critical path impacts, and the upstream/downstream activities of other vendors.</w:t>
            </w:r>
          </w:p>
        </w:tc>
      </w:tr>
      <w:tr w:rsidR="005562EB" w:rsidRPr="002C7415" w14:paraId="05F9FAA4"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DE2EFAE" w14:textId="77777777" w:rsidR="005562EB" w:rsidRPr="002C7415" w:rsidRDefault="005562EB" w:rsidP="002413AA">
            <w:pPr>
              <w:rPr>
                <w:rFonts w:cs="Arial"/>
                <w:b w:val="0"/>
                <w:bCs w:val="0"/>
                <w:szCs w:val="20"/>
              </w:rPr>
            </w:pPr>
            <w:r>
              <w:rPr>
                <w:rFonts w:cs="Arial"/>
                <w:szCs w:val="20"/>
              </w:rPr>
              <w:t>Specification</w:t>
            </w:r>
          </w:p>
        </w:tc>
        <w:tc>
          <w:tcPr>
            <w:tcW w:w="8900" w:type="dxa"/>
          </w:tcPr>
          <w:p w14:paraId="7611BCFA" w14:textId="55ED1502" w:rsidR="005562EB"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maintain an IMS that tracks all DDI, M&amp;O, program management activities, and project change requests (PCRs).</w:t>
            </w:r>
          </w:p>
          <w:p w14:paraId="218BA9B3"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provide an updated IMS on a weekly basis to Department stakeholders, reflecting the most current status of project activities.</w:t>
            </w:r>
          </w:p>
        </w:tc>
      </w:tr>
      <w:tr w:rsidR="005562EB" w:rsidRPr="002C7415" w14:paraId="7595E613"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62112B69" w14:textId="77777777" w:rsidR="005562EB" w:rsidRPr="002C7415" w:rsidRDefault="005562EB" w:rsidP="002413AA">
            <w:pPr>
              <w:rPr>
                <w:rFonts w:cs="Arial"/>
                <w:b w:val="0"/>
                <w:bCs w:val="0"/>
                <w:szCs w:val="20"/>
              </w:rPr>
            </w:pPr>
            <w:r>
              <w:rPr>
                <w:rFonts w:cs="Arial"/>
                <w:szCs w:val="20"/>
              </w:rPr>
              <w:t>Service Level</w:t>
            </w:r>
          </w:p>
        </w:tc>
        <w:tc>
          <w:tcPr>
            <w:tcW w:w="8900" w:type="dxa"/>
          </w:tcPr>
          <w:p w14:paraId="47BB4013" w14:textId="30E91C69" w:rsidR="005562EB" w:rsidRPr="002C7415" w:rsidRDefault="005562EB" w:rsidP="1AFB8B6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The Contractor must distribute the complete updated IMS to all Department stakeholders once per week on the mutually agreed-upon business day of the week (e.g., every Monday). If the distribution date occurs on a non-business day, the submission due date shifts to the next business day.</w:t>
            </w:r>
          </w:p>
        </w:tc>
      </w:tr>
      <w:tr w:rsidR="005562EB" w:rsidRPr="002C7415" w14:paraId="14FB56EB"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2A86A8E" w14:textId="77777777" w:rsidR="005562EB" w:rsidRPr="002C7415" w:rsidRDefault="005562EB" w:rsidP="002413AA">
            <w:pPr>
              <w:rPr>
                <w:rFonts w:cs="Arial"/>
                <w:b w:val="0"/>
                <w:bCs w:val="0"/>
                <w:szCs w:val="20"/>
              </w:rPr>
            </w:pPr>
            <w:r>
              <w:rPr>
                <w:rFonts w:cs="Arial"/>
                <w:szCs w:val="20"/>
              </w:rPr>
              <w:t>Notes</w:t>
            </w:r>
          </w:p>
        </w:tc>
        <w:tc>
          <w:tcPr>
            <w:tcW w:w="8900" w:type="dxa"/>
          </w:tcPr>
          <w:p w14:paraId="620C829B" w14:textId="542C4409" w:rsidR="005562EB" w:rsidRPr="002C7415" w:rsidRDefault="005562EB" w:rsidP="1AFB8B6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rPr>
            </w:pPr>
            <w:r>
              <w:rPr>
                <w:rFonts w:cs="Arial"/>
              </w:rPr>
              <w:t xml:space="preserve">The IMS provides a structure for managing all project activities, deliverables, resources, and timelines. The initial IMS must be submitted to the Department within thirty (30) calendar days of </w:t>
            </w:r>
            <w:r>
              <w:rPr>
                <w:rFonts w:cs="Arial"/>
              </w:rPr>
              <w:lastRenderedPageBreak/>
              <w:t>the Contract start date. The weekly IMS deliverable is submitted using MS Project, Excel, and PDF formats, and accompanies the weekly status report submission.</w:t>
            </w:r>
          </w:p>
        </w:tc>
      </w:tr>
      <w:tr w:rsidR="005562EB" w:rsidRPr="002C7415" w14:paraId="4D32D3E5"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09422A59" w14:textId="77777777" w:rsidR="005562EB" w:rsidRPr="002C7415" w:rsidRDefault="005562EB" w:rsidP="002413AA">
            <w:pPr>
              <w:rPr>
                <w:rFonts w:cs="Arial"/>
                <w:b w:val="0"/>
                <w:bCs w:val="0"/>
                <w:szCs w:val="20"/>
              </w:rPr>
            </w:pPr>
            <w:r>
              <w:rPr>
                <w:rFonts w:cs="Arial"/>
                <w:szCs w:val="20"/>
              </w:rPr>
              <w:lastRenderedPageBreak/>
              <w:t>Reporting Frequency</w:t>
            </w:r>
          </w:p>
        </w:tc>
        <w:tc>
          <w:tcPr>
            <w:tcW w:w="8900" w:type="dxa"/>
          </w:tcPr>
          <w:p w14:paraId="47561A11" w14:textId="14ED1AFD" w:rsidR="005562EB" w:rsidRPr="002C7415" w:rsidRDefault="3CFA0FB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rPr>
              <w:t xml:space="preserve">Weekly. Following the initial submission, the IMS update is due weekly. </w:t>
            </w:r>
            <w:r>
              <w:rPr>
                <w:rFonts w:cs="Arial"/>
                <w:szCs w:val="20"/>
              </w:rPr>
              <w:t>This SLA is monitored for the duration of the Contract.</w:t>
            </w:r>
          </w:p>
        </w:tc>
      </w:tr>
      <w:tr w:rsidR="005562EB" w:rsidRPr="002C7415" w14:paraId="7DEC1823"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1F7CA3D" w14:textId="77777777" w:rsidR="005562EB" w:rsidRPr="002C7415" w:rsidRDefault="005562EB" w:rsidP="002413AA">
            <w:pPr>
              <w:rPr>
                <w:rFonts w:cs="Arial"/>
                <w:szCs w:val="20"/>
              </w:rPr>
            </w:pPr>
            <w:r>
              <w:rPr>
                <w:rFonts w:cs="Arial"/>
                <w:szCs w:val="20"/>
              </w:rPr>
              <w:t>SLA Calculations</w:t>
            </w:r>
          </w:p>
        </w:tc>
        <w:tc>
          <w:tcPr>
            <w:tcW w:w="8900" w:type="dxa"/>
          </w:tcPr>
          <w:p w14:paraId="0A165C08" w14:textId="77777777" w:rsidR="005562EB"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with the timely submission of the updated IMS is evaluated weekly.</w:t>
            </w:r>
          </w:p>
          <w:p w14:paraId="16D55887" w14:textId="3B5B1789" w:rsidR="005562EB" w:rsidRPr="002C7415" w:rsidRDefault="005562EB" w:rsidP="1AFB8B60">
            <w:pPr>
              <w:cnfStyle w:val="000000010000" w:firstRow="0" w:lastRow="0" w:firstColumn="0" w:lastColumn="0" w:oddVBand="0" w:evenVBand="0" w:oddHBand="0" w:evenHBand="1" w:firstRowFirstColumn="0" w:firstRowLastColumn="0" w:lastRowFirstColumn="0" w:lastRowLastColumn="0"/>
              <w:rPr>
                <w:rFonts w:cs="Arial"/>
              </w:rPr>
            </w:pPr>
            <w:r>
              <w:rPr>
                <w:rFonts w:cs="Arial"/>
                <w:b/>
                <w:bCs/>
              </w:rPr>
              <w:t>Identify Due Date</w:t>
            </w:r>
            <w:r>
              <w:rPr>
                <w:rFonts w:cs="Arial"/>
              </w:rPr>
              <w:t>: Confirm the mutually agreed-upon weekday for IMS submission. Calculate the number of business days between the Submission Due Date and the Actual Submission Date.</w:t>
            </w:r>
          </w:p>
          <w:p w14:paraId="11B200AC" w14:textId="4AE74047" w:rsidR="005562EB" w:rsidRPr="002C7415" w:rsidRDefault="005562EB" w:rsidP="1AFB8B60">
            <w:pPr>
              <w:cnfStyle w:val="000000010000" w:firstRow="0" w:lastRow="0" w:firstColumn="0" w:lastColumn="0" w:oddVBand="0" w:evenVBand="0" w:oddHBand="0" w:evenHBand="1" w:firstRowFirstColumn="0" w:firstRowLastColumn="0" w:lastRowFirstColumn="0" w:lastRowLastColumn="0"/>
              <w:rPr>
                <w:rFonts w:cs="Arial"/>
              </w:rPr>
            </w:pPr>
            <w:r>
              <w:rPr>
                <w:rFonts w:cs="Arial"/>
                <w:b/>
                <w:bCs/>
              </w:rPr>
              <w:t>Evaluate for Missed/Late Submission</w:t>
            </w:r>
            <w:r>
              <w:rPr>
                <w:rFonts w:cs="Arial"/>
              </w:rPr>
              <w:t>: If the updated IMS was submitted on or before the agreed-upon weekday, the SLA is met. If not, the SLA is breached, and the initial service credit of twenty-five hundred dollars ($2,500) is applied.</w:t>
            </w:r>
          </w:p>
          <w:p w14:paraId="74D080DA" w14:textId="413AF1AC" w:rsidR="005562EB" w:rsidRPr="002C7415" w:rsidRDefault="005562EB" w:rsidP="1AFB8B60">
            <w:pPr>
              <w:cnfStyle w:val="000000010000" w:firstRow="0" w:lastRow="0" w:firstColumn="0" w:lastColumn="0" w:oddVBand="0" w:evenVBand="0" w:oddHBand="0" w:evenHBand="1" w:firstRowFirstColumn="0" w:firstRowLastColumn="0" w:lastRowFirstColumn="0" w:lastRowLastColumn="0"/>
              <w:rPr>
                <w:rFonts w:cs="Arial"/>
              </w:rPr>
            </w:pPr>
            <w:r>
              <w:rPr>
                <w:rFonts w:cs="Arial"/>
                <w:b/>
                <w:bCs/>
              </w:rPr>
              <w:t>Evaluate for Extended Lateness:</w:t>
            </w:r>
            <w:r>
              <w:rPr>
                <w:rFonts w:cs="Arial"/>
              </w:rPr>
              <w:t xml:space="preserve"> If the IMS submission delay exceeds five (5) business days, calculate the number of days starting from the sixth (6</w:t>
            </w:r>
            <w:r>
              <w:t>th</w:t>
            </w:r>
            <w:r>
              <w:rPr>
                <w:rFonts w:cs="Arial"/>
              </w:rPr>
              <w:t xml:space="preserve">) business day of delinquency until the IMS is submitted. Multiply this number by the additional Service Credit amount of $1,000 per business day (starting with business day six [6]). </w:t>
            </w:r>
          </w:p>
        </w:tc>
      </w:tr>
      <w:tr w:rsidR="005562EB" w:rsidRPr="002C7415" w14:paraId="67B6F422"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6566FB1C"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5A0F207A" w14:textId="6ABB67ED" w:rsidR="005562EB" w:rsidRPr="002C7415" w:rsidRDefault="005562EB" w:rsidP="1AFB8B60">
            <w:pPr>
              <w:cnfStyle w:val="000000000000" w:firstRow="0" w:lastRow="0" w:firstColumn="0" w:lastColumn="0" w:oddVBand="0" w:evenVBand="0" w:oddHBand="0" w:evenHBand="0" w:firstRowFirstColumn="0" w:firstRowLastColumn="0" w:lastRowFirstColumn="0" w:lastRowLastColumn="0"/>
              <w:rPr>
                <w:rFonts w:cs="Arial"/>
              </w:rPr>
            </w:pPr>
            <w:r>
              <w:rPr>
                <w:rFonts w:cs="Arial"/>
                <w:b/>
                <w:bCs/>
              </w:rPr>
              <w:t>Business Day</w:t>
            </w:r>
            <w:r>
              <w:rPr>
                <w:rFonts w:cs="Arial"/>
              </w:rPr>
              <w:t>: Any day between and including Monday through Friday, excluding New York State and federal holidays.</w:t>
            </w:r>
          </w:p>
          <w:p w14:paraId="3ABC5FE0" w14:textId="45D973DC" w:rsidR="005562EB" w:rsidRPr="002C7415" w:rsidRDefault="27CF8ACB" w:rsidP="1AFB8B60">
            <w:pPr>
              <w:cnfStyle w:val="000000000000" w:firstRow="0" w:lastRow="0" w:firstColumn="0" w:lastColumn="0" w:oddVBand="0" w:evenVBand="0" w:oddHBand="0" w:evenHBand="0" w:firstRowFirstColumn="0" w:firstRowLastColumn="0" w:lastRowFirstColumn="0" w:lastRowLastColumn="0"/>
              <w:rPr>
                <w:rFonts w:cs="Arial"/>
              </w:rPr>
            </w:pPr>
            <w:r>
              <w:rPr>
                <w:rFonts w:cs="Arial"/>
                <w:b/>
                <w:bCs/>
              </w:rPr>
              <w:t>Document Edit History</w:t>
            </w:r>
            <w:r>
              <w:rPr>
                <w:rFonts w:cs="Arial"/>
              </w:rPr>
              <w:t xml:space="preserve">: A change log maintained within a document that tracks document version, submission date, author, and description of change.  </w:t>
            </w:r>
          </w:p>
        </w:tc>
      </w:tr>
      <w:tr w:rsidR="005562EB" w:rsidRPr="002C7415" w14:paraId="36BC9AB2"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0C09B6F" w14:textId="77777777" w:rsidR="005562EB" w:rsidRPr="002C7415" w:rsidRDefault="005562EB" w:rsidP="002413AA">
            <w:pPr>
              <w:rPr>
                <w:rFonts w:cs="Arial"/>
                <w:b w:val="0"/>
                <w:bCs w:val="0"/>
                <w:szCs w:val="20"/>
              </w:rPr>
            </w:pPr>
            <w:r>
              <w:rPr>
                <w:rFonts w:cs="Arial"/>
                <w:szCs w:val="20"/>
              </w:rPr>
              <w:t>Exclusions</w:t>
            </w:r>
          </w:p>
        </w:tc>
        <w:tc>
          <w:tcPr>
            <w:tcW w:w="8900" w:type="dxa"/>
          </w:tcPr>
          <w:p w14:paraId="2817DE6C" w14:textId="66E3C25B"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delays caused by other vendors’ failure to provide requested input. The Contractor is responsible for providing written evidence of the vendor delay in responding to a timely request for the information.</w:t>
            </w:r>
          </w:p>
        </w:tc>
      </w:tr>
      <w:tr w:rsidR="005562EB" w:rsidRPr="002C7415" w14:paraId="003747E6"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7C8760BF"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70978787" w14:textId="4ED947AF" w:rsidR="005562EB" w:rsidRPr="002C7415" w:rsidRDefault="005562EB" w:rsidP="1AFB8B60">
            <w:pPr>
              <w:cnfStyle w:val="000000000000" w:firstRow="0" w:lastRow="0" w:firstColumn="0" w:lastColumn="0" w:oddVBand="0" w:evenVBand="0" w:oddHBand="0" w:evenHBand="0" w:firstRowFirstColumn="0" w:firstRowLastColumn="0" w:lastRowFirstColumn="0" w:lastRowLastColumn="0"/>
              <w:rPr>
                <w:rFonts w:cs="Arial"/>
              </w:rPr>
            </w:pPr>
            <w:r>
              <w:rPr>
                <w:rFonts w:cs="Arial"/>
              </w:rPr>
              <w:t>The Contractor uses established project artifacts (e.g., MS Project files, Deliverables Management tool, transmittal logs/emails, IMS Document Edit History, SharePoint version history) to verify IMS submission dates. The Contractor calculates any applicable service credits and self-reports SLA compliance in the Weekly and Monthly Status Reports.</w:t>
            </w:r>
          </w:p>
        </w:tc>
      </w:tr>
      <w:tr w:rsidR="005562EB" w:rsidRPr="002C7415" w14:paraId="715EBAB2"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3CDEDC9" w14:textId="0D563C9D"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6E2830CE" w14:textId="00F385B4" w:rsidR="005562EB" w:rsidRPr="002C7415" w:rsidRDefault="005562EB" w:rsidP="1AFB8B60">
            <w:pPr>
              <w:cnfStyle w:val="000000010000" w:firstRow="0" w:lastRow="0" w:firstColumn="0" w:lastColumn="0" w:oddVBand="0" w:evenVBand="0" w:oddHBand="0" w:evenHBand="1" w:firstRowFirstColumn="0" w:firstRowLastColumn="0" w:lastRowFirstColumn="0" w:lastRowLastColumn="0"/>
              <w:rPr>
                <w:rFonts w:cs="Arial"/>
              </w:rPr>
            </w:pPr>
            <w:r>
              <w:rPr>
                <w:rFonts w:cs="Arial"/>
                <w:b/>
                <w:bCs/>
              </w:rPr>
              <w:t>Late Submission (Initial Service Credit):</w:t>
            </w:r>
            <w:r>
              <w:rPr>
                <w:rFonts w:cs="Arial"/>
              </w:rPr>
              <w:t xml:space="preserve"> Contractor failure to update and distribute the IMS once per calendar week will result in a service credit of two thousand five hundred dollars ($2,500) for each scheduled weekly update that is not completed and distributed by the agreed-upon day of the week.</w:t>
            </w:r>
          </w:p>
          <w:p w14:paraId="16E52F92" w14:textId="61509E3B" w:rsidR="005562EB" w:rsidRPr="002C7415" w:rsidRDefault="005562EB" w:rsidP="1AFB8B60">
            <w:pPr>
              <w:cnfStyle w:val="000000010000" w:firstRow="0" w:lastRow="0" w:firstColumn="0" w:lastColumn="0" w:oddVBand="0" w:evenVBand="0" w:oddHBand="0" w:evenHBand="1" w:firstRowFirstColumn="0" w:firstRowLastColumn="0" w:lastRowFirstColumn="0" w:lastRowLastColumn="0"/>
              <w:rPr>
                <w:rFonts w:cs="Arial"/>
              </w:rPr>
            </w:pPr>
            <w:r>
              <w:rPr>
                <w:rFonts w:cs="Arial"/>
                <w:b/>
                <w:bCs/>
              </w:rPr>
              <w:t>Extended Delayed Submission (Additional Service Credit)</w:t>
            </w:r>
            <w:r>
              <w:rPr>
                <w:rFonts w:cs="Arial"/>
              </w:rPr>
              <w:t xml:space="preserve">: If any weekly IMS update is more than five (5) business days late, an additional service credit of one thousand dollars ($1,000) per business day, or portion thereof, will apply until the updated IMS is distributed. The additional service credit is assessed starting with business day six (6). </w:t>
            </w:r>
          </w:p>
        </w:tc>
      </w:tr>
    </w:tbl>
    <w:p w14:paraId="5A2D2384" w14:textId="472C9429" w:rsidR="005562EB" w:rsidRPr="002C7415" w:rsidRDefault="005562EB" w:rsidP="00CB1E19">
      <w:pPr>
        <w:pStyle w:val="HeadingSLA"/>
      </w:pPr>
      <w:bookmarkStart w:id="32" w:name="_Toc230258207"/>
      <w:bookmarkStart w:id="33" w:name="_Toc233199133"/>
      <w:r>
        <w:t>Integrated Master Schedule Timely Updates</w:t>
      </w:r>
      <w:bookmarkEnd w:id="32"/>
      <w:bookmarkEnd w:id="33"/>
    </w:p>
    <w:tbl>
      <w:tblPr>
        <w:tblStyle w:val="DOH-LeftHeader"/>
        <w:tblW w:w="4998" w:type="pct"/>
        <w:tblLayout w:type="fixed"/>
        <w:tblLook w:val="0480" w:firstRow="0" w:lastRow="0" w:firstColumn="1" w:lastColumn="0" w:noHBand="0" w:noVBand="1"/>
      </w:tblPr>
      <w:tblGrid>
        <w:gridCol w:w="1886"/>
        <w:gridCol w:w="8900"/>
      </w:tblGrid>
      <w:tr w:rsidR="005562EB" w:rsidRPr="002C7415" w14:paraId="4877ECED" w14:textId="77777777" w:rsidTr="00FC2C03">
        <w:tc>
          <w:tcPr>
            <w:cnfStyle w:val="001000000000" w:firstRow="0" w:lastRow="0" w:firstColumn="1" w:lastColumn="0" w:oddVBand="0" w:evenVBand="0" w:oddHBand="0" w:evenHBand="0" w:firstRowFirstColumn="0" w:firstRowLastColumn="0" w:lastRowFirstColumn="0" w:lastRowLastColumn="0"/>
            <w:tcW w:w="1886" w:type="dxa"/>
          </w:tcPr>
          <w:p w14:paraId="23DCCB25" w14:textId="77777777" w:rsidR="005562EB" w:rsidRPr="002C7415" w:rsidRDefault="005562EB" w:rsidP="002413AA">
            <w:pPr>
              <w:rPr>
                <w:rFonts w:cs="Arial"/>
                <w:b w:val="0"/>
                <w:bCs w:val="0"/>
                <w:szCs w:val="20"/>
              </w:rPr>
            </w:pPr>
            <w:r>
              <w:rPr>
                <w:rFonts w:cs="Arial"/>
                <w:szCs w:val="20"/>
              </w:rPr>
              <w:t>Purpose</w:t>
            </w:r>
          </w:p>
        </w:tc>
        <w:tc>
          <w:tcPr>
            <w:tcW w:w="8900" w:type="dxa"/>
          </w:tcPr>
          <w:p w14:paraId="686A136B"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is about identifying changes to the schedule and implementing the change quickly following Department approval. The IMS is an essential project tool that includes all DDI and M&amp;O tasks, dependencies, deliverables and assigned resources. Changes to any of these components may impact other vendors and other workstreams through unintended consequences. The Department reviews Contractor proposed changes in advance to confirm the change is necessary, the change details are accurate, and the change impact is clearly described. </w:t>
            </w:r>
          </w:p>
        </w:tc>
      </w:tr>
      <w:tr w:rsidR="005562EB" w:rsidRPr="002C7415" w14:paraId="2D379B75" w14:textId="77777777" w:rsidTr="00FC2C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BC92002" w14:textId="77777777" w:rsidR="005562EB" w:rsidRPr="002C7415" w:rsidRDefault="005562EB" w:rsidP="002413AA">
            <w:pPr>
              <w:rPr>
                <w:rFonts w:cs="Arial"/>
                <w:b w:val="0"/>
                <w:bCs w:val="0"/>
                <w:szCs w:val="20"/>
              </w:rPr>
            </w:pPr>
            <w:r>
              <w:rPr>
                <w:rFonts w:cs="Arial"/>
                <w:szCs w:val="20"/>
              </w:rPr>
              <w:t>Specification</w:t>
            </w:r>
          </w:p>
        </w:tc>
        <w:tc>
          <w:tcPr>
            <w:tcW w:w="8900" w:type="dxa"/>
          </w:tcPr>
          <w:p w14:paraId="2DDDB363" w14:textId="28441DC2"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continually review the IMS for necessary changes to tasks, timelines, and milestones and submit any proposed changes to the Department for advance review and approval. Upon receiving Department approval, the Contractor must update the IMS and include a corresponding Document Edit History within the IMS that documents the date and description of each change.</w:t>
            </w:r>
          </w:p>
        </w:tc>
      </w:tr>
      <w:tr w:rsidR="005562EB" w:rsidRPr="002C7415" w14:paraId="5F10639D" w14:textId="77777777" w:rsidTr="00FC2C03">
        <w:tc>
          <w:tcPr>
            <w:cnfStyle w:val="001000000000" w:firstRow="0" w:lastRow="0" w:firstColumn="1" w:lastColumn="0" w:oddVBand="0" w:evenVBand="0" w:oddHBand="0" w:evenHBand="0" w:firstRowFirstColumn="0" w:firstRowLastColumn="0" w:lastRowFirstColumn="0" w:lastRowLastColumn="0"/>
            <w:tcW w:w="1886" w:type="dxa"/>
          </w:tcPr>
          <w:p w14:paraId="49539DB6" w14:textId="77777777" w:rsidR="005562EB" w:rsidRPr="002C7415" w:rsidRDefault="005562EB" w:rsidP="002413AA">
            <w:pPr>
              <w:rPr>
                <w:rFonts w:cs="Arial"/>
                <w:b w:val="0"/>
                <w:bCs w:val="0"/>
                <w:szCs w:val="20"/>
              </w:rPr>
            </w:pPr>
            <w:r>
              <w:rPr>
                <w:rFonts w:cs="Arial"/>
                <w:szCs w:val="20"/>
              </w:rPr>
              <w:t>Service Level</w:t>
            </w:r>
          </w:p>
        </w:tc>
        <w:tc>
          <w:tcPr>
            <w:tcW w:w="8900" w:type="dxa"/>
          </w:tcPr>
          <w:p w14:paraId="27D63087" w14:textId="583674DD"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Upon receiving Department approval for an IMS change, the Contractor must fully incorporate the authorized change into the IMS (and document it in the Document Edit History) prior to the next scheduled weekly IMS submission.</w:t>
            </w:r>
          </w:p>
        </w:tc>
      </w:tr>
      <w:tr w:rsidR="005562EB" w:rsidRPr="002C7415" w14:paraId="7F3B49FB" w14:textId="77777777" w:rsidTr="00FC2C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2CA5D32" w14:textId="77777777" w:rsidR="005562EB" w:rsidRPr="002C7415" w:rsidRDefault="005562EB" w:rsidP="002413AA">
            <w:pPr>
              <w:rPr>
                <w:rFonts w:cs="Arial"/>
                <w:b w:val="0"/>
                <w:bCs w:val="0"/>
                <w:szCs w:val="20"/>
              </w:rPr>
            </w:pPr>
            <w:r>
              <w:rPr>
                <w:rFonts w:cs="Arial"/>
                <w:szCs w:val="20"/>
              </w:rPr>
              <w:lastRenderedPageBreak/>
              <w:t>Notes</w:t>
            </w:r>
          </w:p>
        </w:tc>
        <w:tc>
          <w:tcPr>
            <w:tcW w:w="8900" w:type="dxa"/>
          </w:tcPr>
          <w:p w14:paraId="786614DD"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must ensure that data in the IMS is never older than five (5) business days. </w:t>
            </w:r>
          </w:p>
        </w:tc>
      </w:tr>
      <w:tr w:rsidR="005562EB" w:rsidRPr="002C7415" w14:paraId="09D73D9C" w14:textId="77777777" w:rsidTr="00FC2C03">
        <w:tc>
          <w:tcPr>
            <w:cnfStyle w:val="001000000000" w:firstRow="0" w:lastRow="0" w:firstColumn="1" w:lastColumn="0" w:oddVBand="0" w:evenVBand="0" w:oddHBand="0" w:evenHBand="0" w:firstRowFirstColumn="0" w:firstRowLastColumn="0" w:lastRowFirstColumn="0" w:lastRowLastColumn="0"/>
            <w:tcW w:w="1886" w:type="dxa"/>
          </w:tcPr>
          <w:p w14:paraId="20923160"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237CE7D9" w14:textId="18E938C7"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Compliance is evaluated weekly and self-reported by the Contractor with any accrued service credits in the Weekly and Monthly Status Reports. </w:t>
            </w:r>
          </w:p>
        </w:tc>
      </w:tr>
      <w:tr w:rsidR="005562EB" w:rsidRPr="002C7415" w14:paraId="6A4D6AEF" w14:textId="77777777" w:rsidTr="00FC2C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16351FB" w14:textId="77777777" w:rsidR="005562EB" w:rsidRPr="002C7415" w:rsidRDefault="005562EB" w:rsidP="002413AA">
            <w:pPr>
              <w:rPr>
                <w:rFonts w:cs="Arial"/>
                <w:szCs w:val="20"/>
              </w:rPr>
            </w:pPr>
            <w:r>
              <w:rPr>
                <w:rFonts w:cs="Arial"/>
                <w:szCs w:val="20"/>
              </w:rPr>
              <w:t>SLA Calculations</w:t>
            </w:r>
          </w:p>
        </w:tc>
        <w:tc>
          <w:tcPr>
            <w:tcW w:w="8900" w:type="dxa"/>
          </w:tcPr>
          <w:p w14:paraId="7A4CC885" w14:textId="53FBFB20"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on a weekly basis by identifying when an approved change actually appears in the updated weekly IMS.</w:t>
            </w:r>
          </w:p>
          <w:p w14:paraId="6EB59B50"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Identify the Target Inclusion Date</w:t>
            </w:r>
            <w:r>
              <w:rPr>
                <w:rFonts w:cs="Arial"/>
                <w:szCs w:val="20"/>
              </w:rPr>
              <w:t>: When the Department approves an IMS change, identify the date of the next scheduled weekly IMS submission.</w:t>
            </w:r>
          </w:p>
          <w:p w14:paraId="481435C9" w14:textId="3E558C39"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Evaluate Timeliness:</w:t>
            </w:r>
            <w:r>
              <w:rPr>
                <w:rFonts w:cs="Arial"/>
                <w:szCs w:val="20"/>
              </w:rPr>
              <w:t xml:space="preserve"> Review the IMS update submitted after the requested change is approved. If the approved change is accurately reflected in the schedule and the Change Log, the SLA is met. If the approved change is not included, the SLA is breached, and the Initial Service Credit of fifteen hundred dollars ($1,500) per each missing approved change.</w:t>
            </w:r>
          </w:p>
          <w:p w14:paraId="4A60453F" w14:textId="09574CBF"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Evaluate Extended Delay:</w:t>
            </w:r>
            <w:r>
              <w:rPr>
                <w:rFonts w:cs="Arial"/>
                <w:szCs w:val="20"/>
              </w:rPr>
              <w:t xml:space="preserve"> If the initial SLA is breached, review each subsequent weekly IMS submission to identify when the approved change was included. If the change is delayed for an additional weekly update cycle, the additional service credit of one thousand dollars ($1,000) is applied to each subsequent weekly submission that fails to include the change. Additional service credits accrue beginning with the second week when the approved change is not included in the weekly IMS update.</w:t>
            </w:r>
          </w:p>
        </w:tc>
      </w:tr>
      <w:tr w:rsidR="005562EB" w:rsidRPr="002C7415" w14:paraId="492AEF65" w14:textId="77777777" w:rsidTr="00FC2C03">
        <w:tc>
          <w:tcPr>
            <w:cnfStyle w:val="001000000000" w:firstRow="0" w:lastRow="0" w:firstColumn="1" w:lastColumn="0" w:oddVBand="0" w:evenVBand="0" w:oddHBand="0" w:evenHBand="0" w:firstRowFirstColumn="0" w:firstRowLastColumn="0" w:lastRowFirstColumn="0" w:lastRowLastColumn="0"/>
            <w:tcW w:w="1886" w:type="dxa"/>
          </w:tcPr>
          <w:p w14:paraId="370C45FD"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3DED54E4" w14:textId="77777777" w:rsidR="00FC2C03" w:rsidRPr="00FC2C03" w:rsidRDefault="00FC2C03" w:rsidP="00B63C7D">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szCs w:val="20"/>
              </w:rPr>
              <w:t>Business Day</w:t>
            </w:r>
            <w:r>
              <w:rPr>
                <w:rFonts w:cs="Arial"/>
                <w:szCs w:val="20"/>
              </w:rPr>
              <w:t xml:space="preserve"> – All days between and including Monday through Friday, excluding state and federal holidays.</w:t>
            </w:r>
          </w:p>
          <w:p w14:paraId="3E250DFB" w14:textId="191E63F4" w:rsidR="005562EB" w:rsidRPr="00FC2C03" w:rsidRDefault="005562EB" w:rsidP="00B63C7D">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szCs w:val="20"/>
              </w:rPr>
              <w:t>Calendar Week</w:t>
            </w:r>
            <w:r>
              <w:rPr>
                <w:rFonts w:cs="Arial"/>
                <w:szCs w:val="20"/>
              </w:rPr>
              <w:t>: A period of seven consecutive days, beginning on Sunday at 12:00 a.m. and ending on Saturday at 11:59 p.m. EST/EDT.</w:t>
            </w:r>
          </w:p>
          <w:p w14:paraId="6CE5DBB7" w14:textId="5C6BA551" w:rsidR="00032525" w:rsidRPr="00FC2C03" w:rsidRDefault="00032525" w:rsidP="00B63C7D">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Document Edit History</w:t>
            </w:r>
            <w:r>
              <w:rPr>
                <w:rFonts w:cs="Arial"/>
                <w:szCs w:val="20"/>
              </w:rPr>
              <w:t>: A change log maintained within a document that tracks document version, submission date, author, and description of change.</w:t>
            </w:r>
          </w:p>
        </w:tc>
      </w:tr>
      <w:tr w:rsidR="005562EB" w:rsidRPr="002C7415" w14:paraId="4F44E6A8" w14:textId="77777777" w:rsidTr="00FC2C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F2ECF89" w14:textId="77777777" w:rsidR="005562EB" w:rsidRPr="002C7415" w:rsidRDefault="005562EB" w:rsidP="002413AA">
            <w:pPr>
              <w:rPr>
                <w:rFonts w:cs="Arial"/>
                <w:b w:val="0"/>
                <w:bCs w:val="0"/>
                <w:szCs w:val="20"/>
              </w:rPr>
            </w:pPr>
            <w:r>
              <w:rPr>
                <w:rFonts w:cs="Arial"/>
                <w:szCs w:val="20"/>
              </w:rPr>
              <w:t>Exclusions</w:t>
            </w:r>
          </w:p>
        </w:tc>
        <w:tc>
          <w:tcPr>
            <w:tcW w:w="8900" w:type="dxa"/>
          </w:tcPr>
          <w:p w14:paraId="11DC6615" w14:textId="105F56D9"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 may elect to formally waive or delay the incorporation of a specific change, or waive a weekly IMS deliverable submission entirely in writing. The Contractor is responsible for requesting the exclusion by providing documentation of the Department-issued waiver.</w:t>
            </w:r>
          </w:p>
        </w:tc>
      </w:tr>
      <w:tr w:rsidR="005562EB" w:rsidRPr="002C7415" w14:paraId="6289F5E9" w14:textId="77777777" w:rsidTr="00FC2C03">
        <w:tc>
          <w:tcPr>
            <w:cnfStyle w:val="001000000000" w:firstRow="0" w:lastRow="0" w:firstColumn="1" w:lastColumn="0" w:oddVBand="0" w:evenVBand="0" w:oddHBand="0" w:evenHBand="0" w:firstRowFirstColumn="0" w:firstRowLastColumn="0" w:lastRowFirstColumn="0" w:lastRowLastColumn="0"/>
            <w:tcW w:w="1886" w:type="dxa"/>
          </w:tcPr>
          <w:p w14:paraId="21518942"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500B74BA" w14:textId="17682F4C"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uses the IMS change log, transmittals requesting approval, written Department approvals, and the submitted IMS weekly updates to determine compliance. For each approved change not included in the weekly IMS update, the Contractor must self-report the missed schedule change in the Weekly and Monthly Status Reports and calculate any applicable service credits for delays with adding approved changes.</w:t>
            </w:r>
          </w:p>
        </w:tc>
      </w:tr>
      <w:tr w:rsidR="005562EB" w:rsidRPr="002C7415" w14:paraId="3C0A6A15" w14:textId="77777777" w:rsidTr="00FC2C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1ABCC86" w14:textId="40600071"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16D22B91" w14:textId="4591F3FD"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t xml:space="preserve">Delayed Update (Initial Service Credit): </w:t>
            </w:r>
            <w:r>
              <w:rPr>
                <w:rFonts w:cs="Arial"/>
                <w:szCs w:val="20"/>
              </w:rPr>
              <w:t>For each approved scope, schedule, or milestone change that is not incorporated into the next scheduled IMS update as required, the initial service credit of one thousand five hundred dollars ($1,500) is applied for each approved change not reflected in the IMS</w:t>
            </w:r>
            <w:r>
              <w:rPr>
                <w:rFonts w:cs="Arial"/>
                <w:b/>
                <w:bCs/>
                <w:szCs w:val="20"/>
              </w:rPr>
              <w:t>.</w:t>
            </w:r>
          </w:p>
          <w:p w14:paraId="17DE08F5" w14:textId="3D564B5C"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Extended Delay (Additional Service Credit): </w:t>
            </w:r>
            <w:r>
              <w:rPr>
                <w:rFonts w:cs="Arial"/>
                <w:szCs w:val="20"/>
              </w:rPr>
              <w:t>If any approved change is not included in the IMS update for more than one (1) additional week after the first missed update, an additional service credit of one thousand dollars ($1,000) per calendar week, or portion thereof, will apply until the IMS is updated. Service credit for extended IMS change delays is applied starting with week two (2) of the missing change.</w:t>
            </w:r>
          </w:p>
        </w:tc>
      </w:tr>
    </w:tbl>
    <w:p w14:paraId="7694819D" w14:textId="1C2B6ACB" w:rsidR="005562EB" w:rsidRPr="002C7415" w:rsidRDefault="005562EB" w:rsidP="00CB1E19">
      <w:pPr>
        <w:pStyle w:val="HeadingSLA"/>
      </w:pPr>
      <w:bookmarkStart w:id="34" w:name="_Toc230258208"/>
      <w:bookmarkStart w:id="35" w:name="_Toc233199134"/>
      <w:r>
        <w:t>Daily Production Status Report Timeliness</w:t>
      </w:r>
      <w:bookmarkEnd w:id="34"/>
      <w:bookmarkEnd w:id="35"/>
    </w:p>
    <w:tbl>
      <w:tblPr>
        <w:tblStyle w:val="DOH-LeftHeader"/>
        <w:tblW w:w="4998" w:type="pct"/>
        <w:tblLayout w:type="fixed"/>
        <w:tblLook w:val="0480" w:firstRow="0" w:lastRow="0" w:firstColumn="1" w:lastColumn="0" w:noHBand="0" w:noVBand="1"/>
      </w:tblPr>
      <w:tblGrid>
        <w:gridCol w:w="1886"/>
        <w:gridCol w:w="8900"/>
      </w:tblGrid>
      <w:tr w:rsidR="005562EB" w:rsidRPr="002C7415" w14:paraId="6B60654B"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72322E18" w14:textId="77777777" w:rsidR="005562EB" w:rsidRPr="002C7415" w:rsidRDefault="005562EB" w:rsidP="002413AA">
            <w:pPr>
              <w:rPr>
                <w:rFonts w:cs="Arial"/>
                <w:b w:val="0"/>
                <w:bCs w:val="0"/>
                <w:szCs w:val="20"/>
              </w:rPr>
            </w:pPr>
            <w:r>
              <w:rPr>
                <w:rFonts w:cs="Arial"/>
                <w:szCs w:val="20"/>
              </w:rPr>
              <w:t>Purpose</w:t>
            </w:r>
          </w:p>
        </w:tc>
        <w:tc>
          <w:tcPr>
            <w:tcW w:w="8900" w:type="dxa"/>
          </w:tcPr>
          <w:p w14:paraId="0A1F3C7E" w14:textId="7A41ADA1"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the Contractor’s requirement to prepare and submit a daily M&amp;O report with qualitative information (quantitative information is provided in the Daily Operations Report). This report provides the Department and stakeholders with a daily snapshot of system health, maintenance activities, and incident management. The Department relies upon current data to identify trends, measure actual performance against expectations, and proactively identify and resolve potential problem areas early.</w:t>
            </w:r>
          </w:p>
        </w:tc>
      </w:tr>
      <w:tr w:rsidR="005562EB" w:rsidRPr="002C7415" w14:paraId="14E20CE1"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C1ADEF0" w14:textId="77777777" w:rsidR="005562EB" w:rsidRPr="002C7415" w:rsidRDefault="005562EB" w:rsidP="002413AA">
            <w:pPr>
              <w:rPr>
                <w:rFonts w:cs="Arial"/>
                <w:b w:val="0"/>
                <w:bCs w:val="0"/>
                <w:szCs w:val="20"/>
              </w:rPr>
            </w:pPr>
            <w:r>
              <w:rPr>
                <w:rFonts w:cs="Arial"/>
                <w:szCs w:val="20"/>
              </w:rPr>
              <w:lastRenderedPageBreak/>
              <w:t>Specification</w:t>
            </w:r>
          </w:p>
        </w:tc>
        <w:tc>
          <w:tcPr>
            <w:tcW w:w="8900" w:type="dxa"/>
          </w:tcPr>
          <w:p w14:paraId="5DE77E38" w14:textId="6507A526"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During the M&amp;O period, the Contractor must produce a daily status report focused on qualitative information. The Contractor must collaborate with Department third-party vendors to ensure all required external information is included.</w:t>
            </w:r>
          </w:p>
        </w:tc>
      </w:tr>
      <w:tr w:rsidR="005562EB" w:rsidRPr="002C7415" w14:paraId="772D6009"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3F14C1BF" w14:textId="77777777" w:rsidR="005562EB" w:rsidRPr="002C7415" w:rsidRDefault="005562EB" w:rsidP="002413AA">
            <w:pPr>
              <w:rPr>
                <w:rFonts w:cs="Arial"/>
                <w:b w:val="0"/>
                <w:bCs w:val="0"/>
                <w:szCs w:val="20"/>
              </w:rPr>
            </w:pPr>
            <w:r>
              <w:rPr>
                <w:rFonts w:cs="Arial"/>
                <w:szCs w:val="20"/>
              </w:rPr>
              <w:t>Service Level</w:t>
            </w:r>
          </w:p>
        </w:tc>
        <w:tc>
          <w:tcPr>
            <w:tcW w:w="8900" w:type="dxa"/>
          </w:tcPr>
          <w:p w14:paraId="1A598419" w14:textId="3DFDCBBD"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Daily Production Status Report must be submitted to the Department every business day by 9:00 AM ET.</w:t>
            </w:r>
          </w:p>
        </w:tc>
      </w:tr>
      <w:tr w:rsidR="005562EB" w:rsidRPr="002C7415" w14:paraId="1A309E37"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2CA38E0" w14:textId="77777777" w:rsidR="005562EB" w:rsidRPr="002C7415" w:rsidRDefault="005562EB" w:rsidP="002413AA">
            <w:pPr>
              <w:rPr>
                <w:rFonts w:cs="Arial"/>
                <w:b w:val="0"/>
                <w:bCs w:val="0"/>
                <w:szCs w:val="20"/>
              </w:rPr>
            </w:pPr>
            <w:r>
              <w:rPr>
                <w:rFonts w:cs="Arial"/>
                <w:szCs w:val="20"/>
              </w:rPr>
              <w:t>Notes</w:t>
            </w:r>
          </w:p>
        </w:tc>
        <w:tc>
          <w:tcPr>
            <w:tcW w:w="8900" w:type="dxa"/>
          </w:tcPr>
          <w:p w14:paraId="42F4A9BD" w14:textId="2266CCBB" w:rsidR="005562EB" w:rsidRPr="002C7415" w:rsidRDefault="005562EB" w:rsidP="002413AA">
            <w:pPr>
              <w:keepNext/>
              <w:keepLines/>
              <w:cnfStyle w:val="000000010000" w:firstRow="0" w:lastRow="0" w:firstColumn="0" w:lastColumn="0" w:oddVBand="0" w:evenVBand="0" w:oddHBand="0" w:evenHBand="1" w:firstRowFirstColumn="0" w:firstRowLastColumn="0" w:lastRowFirstColumn="0" w:lastRowLastColumn="0"/>
              <w:rPr>
                <w:rFonts w:eastAsia="Arial" w:cs="Arial"/>
                <w:szCs w:val="20"/>
              </w:rPr>
            </w:pPr>
            <w:r>
              <w:rPr>
                <w:rFonts w:eastAsia="Arial" w:cs="Arial"/>
                <w:szCs w:val="20"/>
              </w:rPr>
              <w:t>The Contractor must develop a Daily Production Status Report to provide a snapshot of the system’s operational status. The Daily Production Status Report must include, at a minimum, the following:</w:t>
            </w:r>
          </w:p>
          <w:p w14:paraId="3F2092A0"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System Status Overview</w:t>
            </w:r>
          </w:p>
          <w:p w14:paraId="5FA5CB3B"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Maintenance Activities</w:t>
            </w:r>
          </w:p>
          <w:p w14:paraId="76727EBB"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Incident and Problem Management</w:t>
            </w:r>
          </w:p>
          <w:p w14:paraId="2174C625" w14:textId="250ECC3B" w:rsidR="005562EB" w:rsidRPr="002C7415" w:rsidRDefault="00D26662" w:rsidP="005562EB">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Recent and Upcoming Changes</w:t>
            </w:r>
          </w:p>
          <w:p w14:paraId="17E236CF"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Security Updates</w:t>
            </w:r>
          </w:p>
          <w:p w14:paraId="5C5D73F8"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Compliance and Audit Information</w:t>
            </w:r>
          </w:p>
          <w:p w14:paraId="0836E9F5" w14:textId="04AEFAC4"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Upcoming Scheduled Maintenance</w:t>
            </w:r>
          </w:p>
          <w:p w14:paraId="6FBA42F3" w14:textId="6550B6ED" w:rsidR="00D26662" w:rsidRPr="002C7415" w:rsidRDefault="00D26662" w:rsidP="005562EB">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Risks, Issues, and Mitigations</w:t>
            </w:r>
          </w:p>
          <w:p w14:paraId="25DC9443" w14:textId="5897ACD2" w:rsidR="005562EB" w:rsidRPr="002C7415" w:rsidRDefault="005562EB" w:rsidP="00E33327">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Action Items and Recommendations</w:t>
            </w:r>
          </w:p>
        </w:tc>
      </w:tr>
      <w:tr w:rsidR="005562EB" w:rsidRPr="002C7415" w14:paraId="6BC8C987"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56326F95"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67EF8B88"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Weekly; compliance results are compiled for each report covering all business days during the week. </w:t>
            </w:r>
          </w:p>
        </w:tc>
      </w:tr>
      <w:tr w:rsidR="005562EB" w:rsidRPr="002C7415" w14:paraId="5CDE96A6"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0E83A2E" w14:textId="77777777" w:rsidR="005562EB" w:rsidRPr="002C7415" w:rsidRDefault="005562EB" w:rsidP="002413AA">
            <w:pPr>
              <w:rPr>
                <w:rFonts w:cs="Arial"/>
                <w:szCs w:val="20"/>
              </w:rPr>
            </w:pPr>
            <w:r>
              <w:rPr>
                <w:rFonts w:cs="Arial"/>
                <w:szCs w:val="20"/>
              </w:rPr>
              <w:t>SLA Calculations</w:t>
            </w:r>
          </w:p>
        </w:tc>
        <w:tc>
          <w:tcPr>
            <w:tcW w:w="8900" w:type="dxa"/>
          </w:tcPr>
          <w:p w14:paraId="380CAD2F"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evaluated daily for each of the two reports.</w:t>
            </w:r>
          </w:p>
          <w:p w14:paraId="595CBFEF" w14:textId="4C7DDF96" w:rsidR="005562EB" w:rsidRPr="002C7415" w:rsidRDefault="0086466C"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Evaluate Timely Submission</w:t>
            </w:r>
            <w:r>
              <w:rPr>
                <w:rFonts w:cs="Arial"/>
                <w:szCs w:val="20"/>
              </w:rPr>
              <w:t>: For each business day, verify if the report was submitted by 9:00 AM ET. If a report is missed or late, the SLA is breached for that specific report, and the Initial Service Credit of one thousand dollars ($1,000) per report is applied.</w:t>
            </w:r>
          </w:p>
          <w:p w14:paraId="563C2830" w14:textId="00B0DE1A" w:rsidR="005562EB" w:rsidRPr="002C7415" w:rsidRDefault="0086466C"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Evaluate Extended Delay:</w:t>
            </w:r>
            <w:r>
              <w:rPr>
                <w:rFonts w:cs="Arial"/>
                <w:szCs w:val="20"/>
              </w:rPr>
              <w:t xml:space="preserve"> For any missed report, calculate the number of business days between the Submission Due Date and the Actual Submission Date. If the report is more than one (1) business day late, the additional Service Credit of one thousand dollars ($1,000) applies for each additional business day of delay (starting with business day two [2]) until that specific report is provided.</w:t>
            </w:r>
          </w:p>
        </w:tc>
      </w:tr>
      <w:tr w:rsidR="005562EB" w:rsidRPr="002C7415" w14:paraId="5584AD1C"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624636A5"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3AAB37B3"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Business Day</w:t>
            </w:r>
            <w:r>
              <w:rPr>
                <w:rFonts w:cs="Arial"/>
                <w:szCs w:val="20"/>
              </w:rPr>
              <w:t>: Any day between and including Monday through Friday, excluding New York State and federal holidays.</w:t>
            </w:r>
          </w:p>
        </w:tc>
      </w:tr>
      <w:tr w:rsidR="005562EB" w:rsidRPr="002C7415" w14:paraId="4FC1E121"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DF1F844" w14:textId="77777777" w:rsidR="005562EB" w:rsidRPr="002C7415" w:rsidRDefault="005562EB" w:rsidP="002413AA">
            <w:pPr>
              <w:rPr>
                <w:rFonts w:cs="Arial"/>
                <w:b w:val="0"/>
                <w:bCs w:val="0"/>
                <w:szCs w:val="20"/>
              </w:rPr>
            </w:pPr>
            <w:r>
              <w:rPr>
                <w:rFonts w:cs="Arial"/>
                <w:szCs w:val="20"/>
              </w:rPr>
              <w:t>Exclusions</w:t>
            </w:r>
          </w:p>
        </w:tc>
        <w:tc>
          <w:tcPr>
            <w:tcW w:w="8900" w:type="dxa"/>
          </w:tcPr>
          <w:p w14:paraId="26CE3487" w14:textId="0BB4EA3E" w:rsidR="005562EB" w:rsidRPr="002C7415" w:rsidRDefault="005562EB" w:rsidP="002947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 may elect to formally waive the requirement for one or both daily reports on specific days (e.g., during a system freeze) in writing. The Contractor is responsible for providing documentation of the Department-issued exclusion for one or more business days.</w:t>
            </w:r>
          </w:p>
        </w:tc>
      </w:tr>
      <w:tr w:rsidR="005562EB" w:rsidRPr="002C7415" w14:paraId="142E57BE" w14:textId="77777777" w:rsidTr="1AFB8B60">
        <w:tc>
          <w:tcPr>
            <w:cnfStyle w:val="001000000000" w:firstRow="0" w:lastRow="0" w:firstColumn="1" w:lastColumn="0" w:oddVBand="0" w:evenVBand="0" w:oddHBand="0" w:evenHBand="0" w:firstRowFirstColumn="0" w:firstRowLastColumn="0" w:lastRowFirstColumn="0" w:lastRowLastColumn="0"/>
            <w:tcW w:w="1886" w:type="dxa"/>
          </w:tcPr>
          <w:p w14:paraId="5BE690C5"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374CB0FB" w14:textId="3ED48710"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The Contractor evaluates compliance with daily submission of the report by reviewing the deliverables tracking log and the transmittal log to determine the exact date and time of submission for all daily reports during the calendar week. The Contractor must self-report the compliance status and any applicable service credits for late or missing reports in the Weekly and Monthly Status Reports. </w:t>
            </w:r>
          </w:p>
        </w:tc>
      </w:tr>
      <w:tr w:rsidR="005562EB" w:rsidRPr="002C7415" w14:paraId="7A906CA4" w14:textId="77777777" w:rsidTr="1AFB8B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0E8BD3C" w14:textId="13F753BD"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0BB07CE5" w14:textId="798B73BC" w:rsidR="005562EB"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Late/Missed Report (Initial Service Credit): </w:t>
            </w:r>
            <w:r>
              <w:rPr>
                <w:rFonts w:cs="Arial"/>
                <w:szCs w:val="20"/>
              </w:rPr>
              <w:t>Failure to submit the Daily Production Status Report will result in a service credit of one thousand dollars ($1,000) per daily report for late or missed submission by the agreed-upon time.</w:t>
            </w:r>
          </w:p>
          <w:p w14:paraId="713E3552" w14:textId="4DFAB911"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Extended Lateness (Additional Service Credit): </w:t>
            </w:r>
            <w:r>
              <w:rPr>
                <w:rFonts w:cs="Arial"/>
                <w:szCs w:val="20"/>
              </w:rPr>
              <w:t>If the Daily Production Status Report is more than one (1) business day late, an additional service credit of one thousand dollars ($1,000) per additional business day, or portion thereof, per daily report, will apply until the report is provided and daily submission resumes. The additional service credit is applied per business day for each delayed report, starting with business day two (2).</w:t>
            </w:r>
          </w:p>
        </w:tc>
      </w:tr>
    </w:tbl>
    <w:p w14:paraId="11A4D87A" w14:textId="31EE74C7" w:rsidR="005562EB" w:rsidRPr="002C7415" w:rsidRDefault="005562EB" w:rsidP="00CB1E19">
      <w:pPr>
        <w:pStyle w:val="HeadingSLA"/>
      </w:pPr>
      <w:bookmarkStart w:id="36" w:name="_Toc230258209"/>
      <w:bookmarkStart w:id="37" w:name="_Toc233199135"/>
      <w:r>
        <w:lastRenderedPageBreak/>
        <w:t>Status Report Data Freshness (Design, Development, and Implementation and Maintenance and Operations)</w:t>
      </w:r>
      <w:bookmarkEnd w:id="36"/>
      <w:bookmarkEnd w:id="37"/>
    </w:p>
    <w:tbl>
      <w:tblPr>
        <w:tblStyle w:val="DOH-LeftHeader"/>
        <w:tblW w:w="4998" w:type="pct"/>
        <w:tblLayout w:type="fixed"/>
        <w:tblLook w:val="0480" w:firstRow="0" w:lastRow="0" w:firstColumn="1" w:lastColumn="0" w:noHBand="0" w:noVBand="1"/>
      </w:tblPr>
      <w:tblGrid>
        <w:gridCol w:w="1886"/>
        <w:gridCol w:w="8900"/>
      </w:tblGrid>
      <w:tr w:rsidR="005562EB" w:rsidRPr="002C7415" w14:paraId="3F81FF91" w14:textId="77777777" w:rsidTr="00086355">
        <w:tc>
          <w:tcPr>
            <w:cnfStyle w:val="001000000000" w:firstRow="0" w:lastRow="0" w:firstColumn="1" w:lastColumn="0" w:oddVBand="0" w:evenVBand="0" w:oddHBand="0" w:evenHBand="0" w:firstRowFirstColumn="0" w:firstRowLastColumn="0" w:lastRowFirstColumn="0" w:lastRowLastColumn="0"/>
            <w:tcW w:w="1886" w:type="dxa"/>
          </w:tcPr>
          <w:p w14:paraId="7C946E82" w14:textId="77777777" w:rsidR="005562EB" w:rsidRPr="002C7415" w:rsidRDefault="005562EB" w:rsidP="002413AA">
            <w:pPr>
              <w:rPr>
                <w:rFonts w:cs="Arial"/>
                <w:b w:val="0"/>
                <w:bCs w:val="0"/>
                <w:szCs w:val="20"/>
              </w:rPr>
            </w:pPr>
            <w:r>
              <w:rPr>
                <w:rFonts w:cs="Arial"/>
                <w:szCs w:val="20"/>
              </w:rPr>
              <w:t>Purpose</w:t>
            </w:r>
          </w:p>
        </w:tc>
        <w:tc>
          <w:tcPr>
            <w:tcW w:w="8900" w:type="dxa"/>
          </w:tcPr>
          <w:p w14:paraId="65606EA8" w14:textId="42EFB5FC" w:rsidR="005562EB" w:rsidRPr="002C7415" w:rsidRDefault="00086355"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ensures that status report data provided by the Contractor is current, relevant, and presents an accurate overview of project status, risks, and performance. The Department requires status reports to include current information rather than historical data to facilitate effective project oversight and proactive decision making. </w:t>
            </w:r>
          </w:p>
        </w:tc>
      </w:tr>
      <w:tr w:rsidR="005562EB" w:rsidRPr="002C7415" w14:paraId="77CDAB54" w14:textId="77777777" w:rsidTr="0008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9364406" w14:textId="77777777" w:rsidR="005562EB" w:rsidRPr="002C7415" w:rsidRDefault="005562EB" w:rsidP="002413AA">
            <w:pPr>
              <w:rPr>
                <w:rFonts w:cs="Arial"/>
                <w:b w:val="0"/>
                <w:bCs w:val="0"/>
                <w:szCs w:val="20"/>
              </w:rPr>
            </w:pPr>
            <w:r>
              <w:rPr>
                <w:rFonts w:cs="Arial"/>
                <w:szCs w:val="20"/>
              </w:rPr>
              <w:t>Specification</w:t>
            </w:r>
          </w:p>
        </w:tc>
        <w:tc>
          <w:tcPr>
            <w:tcW w:w="8900" w:type="dxa"/>
          </w:tcPr>
          <w:p w14:paraId="31DC9F07"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ensure that all regularly submitted status reports (including daily, weekly, and monthly reports) are compiled using current data that accurately reflects project activities at the time of submission.</w:t>
            </w:r>
          </w:p>
        </w:tc>
      </w:tr>
      <w:tr w:rsidR="005562EB" w:rsidRPr="002C7415" w14:paraId="630C3FC9" w14:textId="77777777" w:rsidTr="00086355">
        <w:tc>
          <w:tcPr>
            <w:cnfStyle w:val="001000000000" w:firstRow="0" w:lastRow="0" w:firstColumn="1" w:lastColumn="0" w:oddVBand="0" w:evenVBand="0" w:oddHBand="0" w:evenHBand="0" w:firstRowFirstColumn="0" w:firstRowLastColumn="0" w:lastRowFirstColumn="0" w:lastRowLastColumn="0"/>
            <w:tcW w:w="1886" w:type="dxa"/>
          </w:tcPr>
          <w:p w14:paraId="2832A2EA" w14:textId="77777777" w:rsidR="005562EB" w:rsidRPr="002C7415" w:rsidRDefault="005562EB" w:rsidP="002413AA">
            <w:pPr>
              <w:rPr>
                <w:rFonts w:cs="Arial"/>
                <w:b w:val="0"/>
                <w:bCs w:val="0"/>
                <w:szCs w:val="20"/>
              </w:rPr>
            </w:pPr>
            <w:r>
              <w:rPr>
                <w:rFonts w:cs="Arial"/>
                <w:szCs w:val="20"/>
              </w:rPr>
              <w:t>Service Level</w:t>
            </w:r>
          </w:p>
        </w:tc>
        <w:tc>
          <w:tcPr>
            <w:tcW w:w="8900" w:type="dxa"/>
          </w:tcPr>
          <w:p w14:paraId="39A0A5FA" w14:textId="1564148A"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For all status reports, all underlying data and point-in-time metrics must be no more than five (5) business days old at the time of report submission.</w:t>
            </w:r>
          </w:p>
        </w:tc>
      </w:tr>
      <w:tr w:rsidR="005562EB" w:rsidRPr="002C7415" w14:paraId="79D536C3" w14:textId="77777777" w:rsidTr="0008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7F7E54C" w14:textId="77777777" w:rsidR="005562EB" w:rsidRPr="002C7415" w:rsidRDefault="005562EB" w:rsidP="002413AA">
            <w:pPr>
              <w:rPr>
                <w:rFonts w:cs="Arial"/>
                <w:b w:val="0"/>
                <w:bCs w:val="0"/>
                <w:szCs w:val="20"/>
              </w:rPr>
            </w:pPr>
            <w:r>
              <w:rPr>
                <w:rFonts w:cs="Arial"/>
                <w:szCs w:val="20"/>
              </w:rPr>
              <w:t>Notes</w:t>
            </w:r>
          </w:p>
        </w:tc>
        <w:tc>
          <w:tcPr>
            <w:tcW w:w="8900" w:type="dxa"/>
          </w:tcPr>
          <w:p w14:paraId="2C24884D" w14:textId="03FF6EFD"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Status reports are expected to support business and operational decision making and must include compliance-oriented summaries, infrastructure operations data, and performance metrics such as availability, response times, throughput, capacity trends, and batch status. Reports will also provide visibility into the following:</w:t>
            </w:r>
          </w:p>
          <w:p w14:paraId="108DB6D6"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SLA attainment</w:t>
            </w:r>
          </w:p>
          <w:p w14:paraId="27ABE073"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Incidents and problems, including backlog and resolution times</w:t>
            </w:r>
          </w:p>
          <w:p w14:paraId="07CE51CE"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Change and Release activity</w:t>
            </w:r>
          </w:p>
          <w:p w14:paraId="1124FDE4"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Requirements traceability, including development progress, iteration checkpoints, and Department input prior to testing</w:t>
            </w:r>
          </w:p>
          <w:p w14:paraId="532CD431"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t xml:space="preserve">Notable security events </w:t>
            </w:r>
          </w:p>
        </w:tc>
      </w:tr>
      <w:tr w:rsidR="005562EB" w:rsidRPr="002C7415" w14:paraId="60E6FAB7" w14:textId="77777777" w:rsidTr="00086355">
        <w:tc>
          <w:tcPr>
            <w:cnfStyle w:val="001000000000" w:firstRow="0" w:lastRow="0" w:firstColumn="1" w:lastColumn="0" w:oddVBand="0" w:evenVBand="0" w:oddHBand="0" w:evenHBand="0" w:firstRowFirstColumn="0" w:firstRowLastColumn="0" w:lastRowFirstColumn="0" w:lastRowLastColumn="0"/>
            <w:tcW w:w="1886" w:type="dxa"/>
          </w:tcPr>
          <w:p w14:paraId="03A2C450"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1651F314" w14:textId="77777777"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The Contractor must monitor and report on the data freshness of all submitted status reports for the calendar month in the next Monthly Status Report.</w:t>
            </w:r>
          </w:p>
        </w:tc>
      </w:tr>
      <w:tr w:rsidR="005562EB" w:rsidRPr="002C7415" w14:paraId="5CEE17AF" w14:textId="77777777" w:rsidTr="0008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82D1E04" w14:textId="77777777" w:rsidR="005562EB" w:rsidRPr="002C7415" w:rsidRDefault="005562EB" w:rsidP="002413AA">
            <w:pPr>
              <w:rPr>
                <w:rFonts w:cs="Arial"/>
                <w:szCs w:val="20"/>
              </w:rPr>
            </w:pPr>
            <w:r>
              <w:rPr>
                <w:rFonts w:cs="Arial"/>
                <w:szCs w:val="20"/>
              </w:rPr>
              <w:t>SLA Calculations</w:t>
            </w:r>
          </w:p>
        </w:tc>
        <w:tc>
          <w:tcPr>
            <w:tcW w:w="8900" w:type="dxa"/>
          </w:tcPr>
          <w:p w14:paraId="15E549A3" w14:textId="289311CE"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evaluated monthly for each submitted status report to determine if any report contains outdated content.</w:t>
            </w:r>
          </w:p>
          <w:p w14:paraId="18469EF3" w14:textId="45751747" w:rsidR="005562EB"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Per Report Evaluation:</w:t>
            </w:r>
            <w:r>
              <w:rPr>
                <w:rFonts w:cs="Arial"/>
                <w:szCs w:val="20"/>
              </w:rPr>
              <w:t xml:space="preserve"> For each submitted status report during a calendar month, verify the origination date or “point-in-time” date of the key underlying content. If the content age exceeds five (5) business days, the SLA is breached for that report and the initial service credit of one thousand dollars ($1,000) per report with stale data is applied.</w:t>
            </w:r>
          </w:p>
          <w:p w14:paraId="684C949C" w14:textId="2BF0C415"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Monthly Evaluation</w:t>
            </w:r>
            <w:r>
              <w:rPr>
                <w:rFonts w:cs="Arial"/>
                <w:szCs w:val="20"/>
              </w:rPr>
              <w:t>: At the end of each calendar month, count the total number of reports with stale content identified during that month. If the total is three (3) or more, the additional Service Credit of five thousand dollars ($5,000) is applied for that month.</w:t>
            </w:r>
          </w:p>
        </w:tc>
      </w:tr>
      <w:tr w:rsidR="005562EB" w:rsidRPr="002C7415" w14:paraId="4D0278A1" w14:textId="77777777" w:rsidTr="00086355">
        <w:tc>
          <w:tcPr>
            <w:cnfStyle w:val="001000000000" w:firstRow="0" w:lastRow="0" w:firstColumn="1" w:lastColumn="0" w:oddVBand="0" w:evenVBand="0" w:oddHBand="0" w:evenHBand="0" w:firstRowFirstColumn="0" w:firstRowLastColumn="0" w:lastRowFirstColumn="0" w:lastRowLastColumn="0"/>
            <w:tcW w:w="1886" w:type="dxa"/>
          </w:tcPr>
          <w:p w14:paraId="350F8DCF"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30C013FE"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Business Day</w:t>
            </w:r>
            <w:r>
              <w:rPr>
                <w:rFonts w:cs="Arial"/>
                <w:szCs w:val="20"/>
              </w:rPr>
              <w:t>: Any day between and including Monday through Friday, excluding New York State and federal holidays.</w:t>
            </w:r>
          </w:p>
          <w:p w14:paraId="53CBD04A"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Week</w:t>
            </w:r>
            <w:r>
              <w:rPr>
                <w:rFonts w:cs="Arial"/>
                <w:szCs w:val="20"/>
              </w:rPr>
              <w:t>: A period of seven consecutive calendar days starting with Sunday and ending on Saturday.</w:t>
            </w:r>
          </w:p>
        </w:tc>
      </w:tr>
      <w:tr w:rsidR="005562EB" w:rsidRPr="002C7415" w14:paraId="2C137164" w14:textId="77777777" w:rsidTr="0008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2DA98D8" w14:textId="77777777" w:rsidR="005562EB" w:rsidRPr="002C7415" w:rsidRDefault="005562EB" w:rsidP="002413AA">
            <w:pPr>
              <w:rPr>
                <w:rFonts w:cs="Arial"/>
                <w:b w:val="0"/>
                <w:bCs w:val="0"/>
                <w:szCs w:val="20"/>
              </w:rPr>
            </w:pPr>
            <w:r>
              <w:rPr>
                <w:rFonts w:cs="Arial"/>
                <w:szCs w:val="20"/>
              </w:rPr>
              <w:t>Exclusions</w:t>
            </w:r>
          </w:p>
        </w:tc>
        <w:tc>
          <w:tcPr>
            <w:tcW w:w="8900" w:type="dxa"/>
          </w:tcPr>
          <w:p w14:paraId="472686F0" w14:textId="26B2BC88"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 service credit will not apply if the Contractor is involuntarily required to utilize data older than five (5) business days due to a documented, verified failure of an upstream data source or third-party system not controlled by the Contractor. The Contractor is responsible for providing formal notification of the upstream failure to the Department when requesting an exclusion. Written Department approval of an exclusion request must be provided upon request.</w:t>
            </w:r>
          </w:p>
        </w:tc>
      </w:tr>
      <w:tr w:rsidR="005562EB" w:rsidRPr="002C7415" w14:paraId="39B3C100" w14:textId="77777777" w:rsidTr="00086355">
        <w:tc>
          <w:tcPr>
            <w:cnfStyle w:val="001000000000" w:firstRow="0" w:lastRow="0" w:firstColumn="1" w:lastColumn="0" w:oddVBand="0" w:evenVBand="0" w:oddHBand="0" w:evenHBand="0" w:firstRowFirstColumn="0" w:firstRowLastColumn="0" w:lastRowFirstColumn="0" w:lastRowLastColumn="0"/>
            <w:tcW w:w="1886" w:type="dxa"/>
          </w:tcPr>
          <w:p w14:paraId="00F1D8C2"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59152C45"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clear dating and versioning on all status reports and their underlying data sources. For each monthly reporting period, the Contractor must:</w:t>
            </w:r>
          </w:p>
          <w:p w14:paraId="1C5029D6" w14:textId="77777777"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Internally audit submitted reports to verify compliance with data freshness requirements.</w:t>
            </w:r>
          </w:p>
          <w:p w14:paraId="4A61C2B8" w14:textId="77777777"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Identify any reports submitted with stale data.</w:t>
            </w:r>
          </w:p>
          <w:p w14:paraId="2377EDBA" w14:textId="4E9F3471" w:rsidR="005562EB" w:rsidRPr="002C7415" w:rsidRDefault="005562EB" w:rsidP="005562EB">
            <w:pPr>
              <w:pStyle w:val="TableBullet"/>
              <w:cnfStyle w:val="000000000000" w:firstRow="0" w:lastRow="0" w:firstColumn="0" w:lastColumn="0" w:oddVBand="0" w:evenVBand="0" w:oddHBand="0" w:evenHBand="0" w:firstRowFirstColumn="0" w:firstRowLastColumn="0" w:lastRowFirstColumn="0" w:lastRowLastColumn="0"/>
            </w:pPr>
            <w:r>
              <w:t>At the end of the month, identify each individual status report with stale content and calculate all applicable service credits.</w:t>
            </w:r>
          </w:p>
          <w:p w14:paraId="4AE7CD17" w14:textId="3B51C93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performance is reported in the Monthly Status Report with any accrued service credits.</w:t>
            </w:r>
          </w:p>
        </w:tc>
      </w:tr>
      <w:tr w:rsidR="005562EB" w:rsidRPr="002C7415" w14:paraId="0C804DDC" w14:textId="77777777" w:rsidTr="0008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FFFE814" w14:textId="12542FC3" w:rsidR="005562EB" w:rsidRPr="002C7415" w:rsidRDefault="00567333" w:rsidP="002413AA">
            <w:pPr>
              <w:rPr>
                <w:rFonts w:cs="Arial"/>
                <w:b w:val="0"/>
                <w:bCs w:val="0"/>
                <w:szCs w:val="20"/>
              </w:rPr>
            </w:pPr>
            <w:r>
              <w:rPr>
                <w:rFonts w:cs="Arial"/>
                <w:szCs w:val="20"/>
              </w:rPr>
              <w:lastRenderedPageBreak/>
              <w:t>Converged E&amp;E System and AMS Service Credit</w:t>
            </w:r>
          </w:p>
        </w:tc>
        <w:tc>
          <w:tcPr>
            <w:tcW w:w="8900" w:type="dxa"/>
          </w:tcPr>
          <w:p w14:paraId="57772141" w14:textId="32DAB8D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Outdated Content (Initial Service Credit):</w:t>
            </w:r>
            <w:r>
              <w:rPr>
                <w:rFonts w:cs="Arial"/>
                <w:szCs w:val="20"/>
              </w:rPr>
              <w:t xml:space="preserve"> For each status report where the underlying data is older than five (5) business days at the time of submission, the Contractor will incur a service credit of one thousand dollars ($1,000) per affected report.</w:t>
            </w:r>
          </w:p>
          <w:p w14:paraId="10439A3A" w14:textId="5467B34C"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Multiple Reports with Outdated Content (Additional Service Credit):</w:t>
            </w:r>
            <w:r>
              <w:rPr>
                <w:rFonts w:cs="Arial"/>
                <w:szCs w:val="20"/>
              </w:rPr>
              <w:t xml:space="preserve"> If three (3) or more reports in a single calendar month are found to contain stale data, an additional, single service credit of five thousand dollars ($5,000) will apply for that calendar month.</w:t>
            </w:r>
          </w:p>
        </w:tc>
      </w:tr>
    </w:tbl>
    <w:p w14:paraId="31379989" w14:textId="65F3EE18" w:rsidR="005562EB" w:rsidRPr="002C7415" w:rsidRDefault="005562EB" w:rsidP="00CB1E19">
      <w:pPr>
        <w:pStyle w:val="HeadingSLA"/>
      </w:pPr>
      <w:bookmarkStart w:id="38" w:name="_Toc230258210"/>
      <w:bookmarkStart w:id="39" w:name="_Toc233199136"/>
      <w:r>
        <w:t>Weekly Status Reports Timely Submission (Design, Development, and Implementation and Maintenance and Operations)</w:t>
      </w:r>
      <w:bookmarkEnd w:id="38"/>
      <w:bookmarkEnd w:id="39"/>
    </w:p>
    <w:tbl>
      <w:tblPr>
        <w:tblStyle w:val="DOH-LeftHeader"/>
        <w:tblW w:w="4998" w:type="pct"/>
        <w:tblLayout w:type="fixed"/>
        <w:tblLook w:val="0480" w:firstRow="0" w:lastRow="0" w:firstColumn="1" w:lastColumn="0" w:noHBand="0" w:noVBand="1"/>
      </w:tblPr>
      <w:tblGrid>
        <w:gridCol w:w="1886"/>
        <w:gridCol w:w="8900"/>
      </w:tblGrid>
      <w:tr w:rsidR="005562EB" w:rsidRPr="002C7415" w14:paraId="0349598D"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145B31ED" w14:textId="77777777" w:rsidR="005562EB" w:rsidRPr="002C7415" w:rsidRDefault="005562EB" w:rsidP="002413AA">
            <w:pPr>
              <w:rPr>
                <w:rFonts w:cs="Arial"/>
                <w:b w:val="0"/>
                <w:bCs w:val="0"/>
                <w:szCs w:val="20"/>
              </w:rPr>
            </w:pPr>
            <w:r>
              <w:rPr>
                <w:rFonts w:cs="Arial"/>
                <w:szCs w:val="20"/>
              </w:rPr>
              <w:t>Purpose</w:t>
            </w:r>
          </w:p>
        </w:tc>
        <w:tc>
          <w:tcPr>
            <w:tcW w:w="8900" w:type="dxa"/>
          </w:tcPr>
          <w:p w14:paraId="09970FE4" w14:textId="22AC8C6B"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the Contractor’s requirement to submit two (2) weekly status reports, one covering DDI and the other focused on M&amp;O activities. The Weekly Status Reports provide comprehensive updates about deliverables, change requests, and IMS changes throughout the DDI and M&amp;O periods. These reports provide transparency and accountability through comprehensive status updates for current activities, allowing the Department to provide oversight while monitoring progress against plan.</w:t>
            </w:r>
          </w:p>
        </w:tc>
      </w:tr>
      <w:tr w:rsidR="005562EB" w:rsidRPr="002C7415" w14:paraId="44354F6E"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FFD20C9" w14:textId="77777777" w:rsidR="005562EB" w:rsidRPr="002C7415" w:rsidRDefault="005562EB" w:rsidP="002413AA">
            <w:pPr>
              <w:rPr>
                <w:rFonts w:cs="Arial"/>
                <w:b w:val="0"/>
                <w:bCs w:val="0"/>
                <w:szCs w:val="20"/>
              </w:rPr>
            </w:pPr>
            <w:r>
              <w:rPr>
                <w:rFonts w:cs="Arial"/>
                <w:szCs w:val="20"/>
              </w:rPr>
              <w:t>Specification</w:t>
            </w:r>
          </w:p>
        </w:tc>
        <w:tc>
          <w:tcPr>
            <w:tcW w:w="8900" w:type="dxa"/>
          </w:tcPr>
          <w:p w14:paraId="1CDF7918" w14:textId="2B7C7CF8"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submit two (2) distinct weekly status reports: one focused on DDI efforts and one focused on M&amp;O efforts. Each report must cover completed activities, planned activities, issues, risks and mitigation plans, and variances in schedule and budget for the respective domain.</w:t>
            </w:r>
          </w:p>
        </w:tc>
      </w:tr>
      <w:tr w:rsidR="005562EB" w:rsidRPr="002C7415" w14:paraId="4D00181A"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4C351443" w14:textId="77777777" w:rsidR="005562EB" w:rsidRPr="002C7415" w:rsidRDefault="005562EB" w:rsidP="002413AA">
            <w:pPr>
              <w:rPr>
                <w:rFonts w:cs="Arial"/>
                <w:b w:val="0"/>
                <w:bCs w:val="0"/>
                <w:szCs w:val="20"/>
              </w:rPr>
            </w:pPr>
            <w:r>
              <w:rPr>
                <w:rFonts w:cs="Arial"/>
                <w:szCs w:val="20"/>
              </w:rPr>
              <w:t>Service Level</w:t>
            </w:r>
          </w:p>
        </w:tc>
        <w:tc>
          <w:tcPr>
            <w:tcW w:w="8900" w:type="dxa"/>
          </w:tcPr>
          <w:p w14:paraId="2B573E5C" w14:textId="33F9DA44"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cs="Arial"/>
                <w:szCs w:val="20"/>
              </w:rPr>
              <w:t>The Contractor must submit both the weekly DDI status report and the weekly M&amp;O status report once per calendar week on a mutually agreed business day of the week. If the scheduled submission date falls on a non-business day, the reports must be submitted on the next business day.</w:t>
            </w:r>
          </w:p>
        </w:tc>
      </w:tr>
      <w:tr w:rsidR="005562EB" w:rsidRPr="002C7415" w14:paraId="2A5FA37A"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7A97EA1" w14:textId="77777777" w:rsidR="005562EB" w:rsidRPr="002C7415" w:rsidRDefault="005562EB" w:rsidP="002413AA">
            <w:pPr>
              <w:rPr>
                <w:rFonts w:cs="Arial"/>
                <w:b w:val="0"/>
                <w:bCs w:val="0"/>
                <w:szCs w:val="20"/>
              </w:rPr>
            </w:pPr>
            <w:r>
              <w:rPr>
                <w:rFonts w:cs="Arial"/>
                <w:szCs w:val="20"/>
              </w:rPr>
              <w:t>Notes</w:t>
            </w:r>
          </w:p>
        </w:tc>
        <w:tc>
          <w:tcPr>
            <w:tcW w:w="8900" w:type="dxa"/>
          </w:tcPr>
          <w:p w14:paraId="5C6BB084" w14:textId="42B904DC"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submit the DDI and M&amp;O weekly status reports and conduct individual weekly status meetings to review and discuss the progress and status of DDI and M&amp;O activities, tasks, and deliverables.</w:t>
            </w:r>
          </w:p>
        </w:tc>
      </w:tr>
      <w:tr w:rsidR="005562EB" w:rsidRPr="002C7415" w14:paraId="0C9C9C6C"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320F4BE6"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0FDF8276" w14:textId="77777777"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Weekly. SLA compliance is assessed weekly for each week in the month with the results for the month reported in the DDI and M&amp;O Weekly Status Reports for each respective domain. </w:t>
            </w:r>
          </w:p>
        </w:tc>
      </w:tr>
      <w:tr w:rsidR="005562EB" w:rsidRPr="002C7415" w14:paraId="0190ED38"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F298D82" w14:textId="77777777" w:rsidR="005562EB" w:rsidRPr="002C7415" w:rsidRDefault="005562EB" w:rsidP="002413AA">
            <w:pPr>
              <w:rPr>
                <w:rFonts w:cs="Arial"/>
                <w:szCs w:val="20"/>
              </w:rPr>
            </w:pPr>
            <w:r>
              <w:rPr>
                <w:rFonts w:cs="Arial"/>
                <w:szCs w:val="20"/>
              </w:rPr>
              <w:t>SLA Calculations</w:t>
            </w:r>
          </w:p>
        </w:tc>
        <w:tc>
          <w:tcPr>
            <w:tcW w:w="8900" w:type="dxa"/>
          </w:tcPr>
          <w:p w14:paraId="2826AFDC"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evaluated weekly for each of the two required reports.</w:t>
            </w:r>
          </w:p>
          <w:p w14:paraId="6F3559AB" w14:textId="47824488"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Identify Due Date</w:t>
            </w:r>
            <w:r>
              <w:rPr>
                <w:rFonts w:cs="Arial"/>
                <w:szCs w:val="20"/>
              </w:rPr>
              <w:t>: Confirm the mutually agreed-upon weekday for status report submission.</w:t>
            </w:r>
          </w:p>
          <w:p w14:paraId="6CBDF1A6" w14:textId="61D2F4E2"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Late/Missed Report:</w:t>
            </w:r>
            <w:r>
              <w:rPr>
                <w:rFonts w:cs="Arial"/>
                <w:szCs w:val="20"/>
              </w:rPr>
              <w:t xml:space="preserve"> Verify if the report was submitted by the due date. If the report was submitted late or remains unsubmitted, the SLA is breached for that specific report, and the Initial Service Credit of twenty-five hundred dollars ($2,500) per report is applied.</w:t>
            </w:r>
          </w:p>
          <w:p w14:paraId="4DEC694F" w14:textId="7509642E"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Extended Delay: </w:t>
            </w:r>
            <w:r>
              <w:rPr>
                <w:rFonts w:cs="Arial"/>
                <w:szCs w:val="20"/>
              </w:rPr>
              <w:t xml:space="preserve">For any missed or late report, calculate the number of business days between the submission due date and the actual submission date. If the report is more than three (3) business days late, calculate the number of delinquent business days starting from the fourth (4th) business day. An additional one thousand dollars ($1,000) Service Credit is applied to each business day, per report, until the report is submitted. </w:t>
            </w:r>
          </w:p>
        </w:tc>
      </w:tr>
      <w:tr w:rsidR="005562EB" w:rsidRPr="002C7415" w14:paraId="0FC642E0"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2FE937F0"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2113CDAE"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Business Day</w:t>
            </w:r>
            <w:r>
              <w:rPr>
                <w:rFonts w:cs="Arial"/>
                <w:szCs w:val="20"/>
              </w:rPr>
              <w:t xml:space="preserve"> – Any day from Monday through Friday, excluding New York State and federal holidays</w:t>
            </w:r>
          </w:p>
        </w:tc>
      </w:tr>
      <w:tr w:rsidR="005562EB" w:rsidRPr="002C7415" w14:paraId="11094A9F"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4003F1D" w14:textId="77777777" w:rsidR="005562EB" w:rsidRPr="002C7415" w:rsidRDefault="005562EB" w:rsidP="002413AA">
            <w:pPr>
              <w:rPr>
                <w:rFonts w:cs="Arial"/>
                <w:b w:val="0"/>
                <w:bCs w:val="0"/>
                <w:szCs w:val="20"/>
              </w:rPr>
            </w:pPr>
            <w:r>
              <w:rPr>
                <w:rFonts w:cs="Arial"/>
                <w:szCs w:val="20"/>
              </w:rPr>
              <w:t>Exclusions</w:t>
            </w:r>
          </w:p>
        </w:tc>
        <w:tc>
          <w:tcPr>
            <w:tcW w:w="8900" w:type="dxa"/>
          </w:tcPr>
          <w:p w14:paraId="5882126A" w14:textId="4EFC4E8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 may elect to waive in writing the submission of one or both reports for a specific week (e.g. holiday week). The Contractor is responsible for providing documentation supporting any claimed waiver.</w:t>
            </w:r>
          </w:p>
        </w:tc>
      </w:tr>
      <w:tr w:rsidR="005562EB" w:rsidRPr="002C7415" w14:paraId="0DA48065"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2C806EA2"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56211185" w14:textId="4BA9C496"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SLA compliance is evaluated monthly by reviewing submitted reports, the Contractor’s deliverable management tool, and the transmittal log to identify the submission dates for each report during the month.</w:t>
            </w:r>
          </w:p>
          <w:p w14:paraId="4DA9FEE5"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calculate any applicable service credits for late or missing reports and report compliance status and accrued service credits in the subsequent Monthly Status Report.</w:t>
            </w:r>
          </w:p>
        </w:tc>
      </w:tr>
      <w:tr w:rsidR="005562EB" w:rsidRPr="002C7415" w14:paraId="4C171218"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ADE5710" w14:textId="405D6C62" w:rsidR="005562EB" w:rsidRPr="002C7415" w:rsidRDefault="00567333" w:rsidP="002413AA">
            <w:pPr>
              <w:rPr>
                <w:rFonts w:cs="Arial"/>
                <w:b w:val="0"/>
                <w:bCs w:val="0"/>
                <w:szCs w:val="20"/>
              </w:rPr>
            </w:pPr>
            <w:r>
              <w:rPr>
                <w:rFonts w:cs="Arial"/>
                <w:szCs w:val="20"/>
              </w:rPr>
              <w:lastRenderedPageBreak/>
              <w:t>Converged E&amp;E System and AMS Service Credit</w:t>
            </w:r>
          </w:p>
        </w:tc>
        <w:tc>
          <w:tcPr>
            <w:tcW w:w="8900" w:type="dxa"/>
          </w:tcPr>
          <w:p w14:paraId="3EBEFFBE" w14:textId="0B5CF0CF"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t>Late/Missed Report (Initial Service Credit):</w:t>
            </w:r>
          </w:p>
          <w:p w14:paraId="4065EA79" w14:textId="77777777" w:rsidR="005562EB"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provide the DDI weekly status report and the M&amp;O status report once per each calendar week in the month will result in a service credit of two thousand five hundred dollars ($2,500) per each weekly report that is not submitted by the scheduled due date.</w:t>
            </w:r>
          </w:p>
          <w:p w14:paraId="20E1049E" w14:textId="5A72B358" w:rsidR="005562EB" w:rsidRPr="007E600E" w:rsidRDefault="005562EB" w:rsidP="002413AA">
            <w:pPr>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t>Extended Delinquency (Additional Service Credit):</w:t>
            </w:r>
          </w:p>
          <w:p w14:paraId="737AE102"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For any such report that is more than three (3) business days late, an additional service credit of one thousand dollars ($1,000) per report, per business day, or portion thereof, will apply until the report is submitted and compliant reporting resumes.</w:t>
            </w:r>
          </w:p>
        </w:tc>
      </w:tr>
    </w:tbl>
    <w:p w14:paraId="2C1E130A" w14:textId="3C093F3B" w:rsidR="005562EB" w:rsidRPr="002C7415" w:rsidRDefault="005562EB" w:rsidP="00CB1E19">
      <w:pPr>
        <w:pStyle w:val="HeadingSLA"/>
      </w:pPr>
      <w:bookmarkStart w:id="40" w:name="_Toc230258211"/>
      <w:bookmarkStart w:id="41" w:name="_Toc233199137"/>
      <w:r>
        <w:t>Planned versus Actual Design, Development, and Implementation Progress Report Timely Submission</w:t>
      </w:r>
      <w:bookmarkEnd w:id="40"/>
      <w:bookmarkEnd w:id="41"/>
    </w:p>
    <w:tbl>
      <w:tblPr>
        <w:tblStyle w:val="DOH-LeftHeader"/>
        <w:tblW w:w="4998" w:type="pct"/>
        <w:tblLayout w:type="fixed"/>
        <w:tblLook w:val="0480" w:firstRow="0" w:lastRow="0" w:firstColumn="1" w:lastColumn="0" w:noHBand="0" w:noVBand="1"/>
      </w:tblPr>
      <w:tblGrid>
        <w:gridCol w:w="1886"/>
        <w:gridCol w:w="8900"/>
      </w:tblGrid>
      <w:tr w:rsidR="005562EB" w:rsidRPr="002C7415" w14:paraId="28B02D20"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5E34AB11" w14:textId="77777777" w:rsidR="005562EB" w:rsidRPr="002C7415" w:rsidRDefault="005562EB" w:rsidP="002413AA">
            <w:pPr>
              <w:rPr>
                <w:rFonts w:cs="Arial"/>
                <w:b w:val="0"/>
                <w:bCs w:val="0"/>
                <w:szCs w:val="20"/>
              </w:rPr>
            </w:pPr>
            <w:r>
              <w:rPr>
                <w:rFonts w:cs="Arial"/>
                <w:szCs w:val="20"/>
              </w:rPr>
              <w:t>Purpose</w:t>
            </w:r>
          </w:p>
        </w:tc>
        <w:tc>
          <w:tcPr>
            <w:tcW w:w="8900" w:type="dxa"/>
          </w:tcPr>
          <w:p w14:paraId="25938DB5" w14:textId="73CA8585"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establishes the requirements for reporting actual project progress against the planned progress in the baselined IMS. By measuring progress across the IMS—including resource hours and budget—the Department can determine if the budget and projected completion dates align with actual performance. This visibility is critical for the Department to proactively anticipate budget needs, adjust resource allocations (Full-Time Equivalents [FTEs]/hours), and make necessary schedule adjustments.</w:t>
            </w:r>
          </w:p>
        </w:tc>
      </w:tr>
      <w:tr w:rsidR="005562EB" w:rsidRPr="002C7415" w14:paraId="4C88EC7D"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9BFEC56" w14:textId="77777777" w:rsidR="005562EB" w:rsidRPr="002C7415" w:rsidRDefault="005562EB" w:rsidP="002413AA">
            <w:pPr>
              <w:rPr>
                <w:rFonts w:cs="Arial"/>
                <w:b w:val="0"/>
                <w:bCs w:val="0"/>
                <w:szCs w:val="20"/>
              </w:rPr>
            </w:pPr>
            <w:r>
              <w:rPr>
                <w:rFonts w:cs="Arial"/>
                <w:szCs w:val="20"/>
              </w:rPr>
              <w:t>Specification</w:t>
            </w:r>
          </w:p>
        </w:tc>
        <w:tc>
          <w:tcPr>
            <w:tcW w:w="8900" w:type="dxa"/>
          </w:tcPr>
          <w:p w14:paraId="22DA4C34"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provide a Weekly Planned vs. Actual DDI Progress Report as a part of the DDI Weekly Status Report to measure performance against the project budget, allocated resource hours, and milestones. This report must include, at a minimum, the following metrics for the reporting period:</w:t>
            </w:r>
          </w:p>
          <w:p w14:paraId="2BAA19C5"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rPr>
                <w:b/>
                <w:bCs/>
              </w:rPr>
              <w:t>Schedule Variance</w:t>
            </w:r>
            <w:r>
              <w:t>: Current Schedule Performance Index (SPI) derived from the IMS.</w:t>
            </w:r>
          </w:p>
          <w:p w14:paraId="37AB5ADB"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rPr>
                <w:b/>
                <w:bCs/>
              </w:rPr>
              <w:t>Resource Variance</w:t>
            </w:r>
            <w:r>
              <w:t>: Planned FTE hours vs. Actual FTE hours billed.</w:t>
            </w:r>
          </w:p>
          <w:p w14:paraId="43C9578E"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rPr>
                <w:b/>
                <w:bCs/>
              </w:rPr>
              <w:t>Budget Variance</w:t>
            </w:r>
            <w:r>
              <w:t>: Planned spend vs. Actual spend (if applicable to the pricing model).</w:t>
            </w:r>
          </w:p>
          <w:p w14:paraId="1E30ADD1" w14:textId="77777777" w:rsidR="005562EB" w:rsidRPr="002C7415" w:rsidRDefault="005562EB" w:rsidP="005562EB">
            <w:pPr>
              <w:pStyle w:val="TableBullet"/>
              <w:cnfStyle w:val="000000010000" w:firstRow="0" w:lastRow="0" w:firstColumn="0" w:lastColumn="0" w:oddVBand="0" w:evenVBand="0" w:oddHBand="0" w:evenHBand="1" w:firstRowFirstColumn="0" w:firstRowLastColumn="0" w:lastRowFirstColumn="0" w:lastRowLastColumn="0"/>
            </w:pPr>
            <w:r>
              <w:rPr>
                <w:b/>
                <w:bCs/>
              </w:rPr>
              <w:t>Milestone Status</w:t>
            </w:r>
            <w:r>
              <w:t>: Status of any DDI milestones due within the next ninety (90) days.</w:t>
            </w:r>
          </w:p>
        </w:tc>
      </w:tr>
      <w:tr w:rsidR="005562EB" w:rsidRPr="002C7415" w14:paraId="5189F1BB"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3BE54EC7" w14:textId="77777777" w:rsidR="005562EB" w:rsidRPr="002C7415" w:rsidRDefault="005562EB" w:rsidP="002413AA">
            <w:pPr>
              <w:rPr>
                <w:rFonts w:cs="Arial"/>
                <w:b w:val="0"/>
                <w:bCs w:val="0"/>
                <w:szCs w:val="20"/>
              </w:rPr>
            </w:pPr>
            <w:r>
              <w:rPr>
                <w:rFonts w:cs="Arial"/>
                <w:szCs w:val="20"/>
              </w:rPr>
              <w:t>Service Level</w:t>
            </w:r>
          </w:p>
        </w:tc>
        <w:tc>
          <w:tcPr>
            <w:tcW w:w="8900" w:type="dxa"/>
          </w:tcPr>
          <w:p w14:paraId="670BFA30" w14:textId="00BBB8CB"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Contractor must submit the complete Planned vs. Actual DDI Progress Report once per calendar week by the mutually agreed-upon day of the week.</w:t>
            </w:r>
          </w:p>
        </w:tc>
      </w:tr>
      <w:tr w:rsidR="005562EB" w:rsidRPr="002C7415" w14:paraId="5CA48D57"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40B7B29" w14:textId="77777777" w:rsidR="005562EB" w:rsidRPr="002C7415" w:rsidRDefault="005562EB" w:rsidP="002413AA">
            <w:pPr>
              <w:rPr>
                <w:rFonts w:cs="Arial"/>
                <w:b w:val="0"/>
                <w:bCs w:val="0"/>
                <w:szCs w:val="20"/>
              </w:rPr>
            </w:pPr>
            <w:r>
              <w:rPr>
                <w:rFonts w:cs="Arial"/>
                <w:szCs w:val="20"/>
              </w:rPr>
              <w:t>Notes</w:t>
            </w:r>
          </w:p>
        </w:tc>
        <w:tc>
          <w:tcPr>
            <w:tcW w:w="8900" w:type="dxa"/>
          </w:tcPr>
          <w:p w14:paraId="3780A0C6" w14:textId="28C2A4A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IMS measurement for progress against plan is the SPI. A value less than 1.0 indicates progress is slower than planned. A value above 1.0 indicates progress is accelerated beyond planned.</w:t>
            </w:r>
          </w:p>
        </w:tc>
      </w:tr>
      <w:tr w:rsidR="005562EB" w:rsidRPr="002C7415" w14:paraId="71173E58"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2FCF3266"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3ACD4D32" w14:textId="067C2A70"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 during active development periods. The Contractor must self-report SLA compliance, including any accrued service credits, in the Weekly and Monthly Status Reports.</w:t>
            </w:r>
          </w:p>
        </w:tc>
      </w:tr>
      <w:tr w:rsidR="005562EB" w:rsidRPr="002C7415" w14:paraId="16F1EB6F"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3BFA53D" w14:textId="77777777" w:rsidR="005562EB" w:rsidRPr="002C7415" w:rsidRDefault="005562EB" w:rsidP="002413AA">
            <w:pPr>
              <w:rPr>
                <w:rFonts w:cs="Arial"/>
                <w:szCs w:val="20"/>
              </w:rPr>
            </w:pPr>
            <w:r>
              <w:rPr>
                <w:rFonts w:cs="Arial"/>
                <w:szCs w:val="20"/>
              </w:rPr>
              <w:t>SLA Calculations</w:t>
            </w:r>
          </w:p>
        </w:tc>
        <w:tc>
          <w:tcPr>
            <w:tcW w:w="8900" w:type="dxa"/>
          </w:tcPr>
          <w:p w14:paraId="0A32E4F6"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evaluated weekly for timely submission of the Planned vs. Actual DDI Progress Report.</w:t>
            </w:r>
          </w:p>
          <w:p w14:paraId="5D867600" w14:textId="66F435D6"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Evaluate for Late Submission:</w:t>
            </w:r>
            <w:r>
              <w:rPr>
                <w:rFonts w:cs="Arial"/>
                <w:szCs w:val="20"/>
              </w:rPr>
              <w:t xml:space="preserve"> Determine if the report was submitted by the agreed-upon date. If unsubmitted or late, the SLA is breached, and the Initial Service Credit of one thousand dollars ($1,000) is applied.</w:t>
            </w:r>
          </w:p>
          <w:p w14:paraId="0A69C687" w14:textId="07725168"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Evaluate for Extended Delay: </w:t>
            </w:r>
            <w:r>
              <w:rPr>
                <w:rFonts w:cs="Arial"/>
                <w:szCs w:val="20"/>
              </w:rPr>
              <w:t>For any missed or delinquent report, calculate the number of business days between the Submission Due Date and the actual Submission Date. If the report submission delay exceeds five (5) business days, calculate the number of delinquent days starting from the sixth (6th) business day. Multiply this number x five hundred dollars ($500) for each business day to determine the additional service credit.</w:t>
            </w:r>
          </w:p>
        </w:tc>
      </w:tr>
      <w:tr w:rsidR="005562EB" w:rsidRPr="002C7415" w14:paraId="281ACA84"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59E1B240"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4280328B"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Business Day: </w:t>
            </w:r>
            <w:r>
              <w:rPr>
                <w:rFonts w:cs="Arial"/>
                <w:szCs w:val="20"/>
              </w:rPr>
              <w:t>Any day from Monday through Friday, excluding state and federal holidays.</w:t>
            </w:r>
          </w:p>
          <w:p w14:paraId="4B1FCA8C" w14:textId="3C5B1C43"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FTE:</w:t>
            </w:r>
            <w:r>
              <w:rPr>
                <w:rFonts w:cs="Arial"/>
                <w:szCs w:val="20"/>
              </w:rPr>
              <w:t xml:space="preserve"> Typically measured in work hours, where total hours worked or projected are divided by eight (8) to determine the FTEs needed to complete the designated hours of work.</w:t>
            </w:r>
          </w:p>
          <w:p w14:paraId="1DAA44B6"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IMS</w:t>
            </w:r>
            <w:r>
              <w:rPr>
                <w:rFonts w:cs="Arial"/>
                <w:szCs w:val="20"/>
              </w:rPr>
              <w:t>: Integrated Master Schedule.</w:t>
            </w:r>
          </w:p>
        </w:tc>
      </w:tr>
      <w:tr w:rsidR="005562EB" w:rsidRPr="002C7415" w14:paraId="23AA4DD7"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6D7FFF9" w14:textId="77777777" w:rsidR="005562EB" w:rsidRPr="002C7415" w:rsidRDefault="005562EB" w:rsidP="002413AA">
            <w:pPr>
              <w:rPr>
                <w:rFonts w:cs="Arial"/>
                <w:b w:val="0"/>
                <w:bCs w:val="0"/>
                <w:szCs w:val="20"/>
              </w:rPr>
            </w:pPr>
            <w:r>
              <w:rPr>
                <w:rFonts w:cs="Arial"/>
                <w:szCs w:val="20"/>
              </w:rPr>
              <w:lastRenderedPageBreak/>
              <w:t>Exclusions</w:t>
            </w:r>
          </w:p>
        </w:tc>
        <w:tc>
          <w:tcPr>
            <w:tcW w:w="8900" w:type="dxa"/>
          </w:tcPr>
          <w:p w14:paraId="4783BB03"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 may elect to formally waive, in writing, the submission of the Planned vs. Actual DDI Progress Report for a specific week at its discretion (e.g., during a project pause or holiday period). The Contractor is responsible for providing documentation of any claimed exclusion.</w:t>
            </w:r>
          </w:p>
        </w:tc>
      </w:tr>
      <w:tr w:rsidR="005562EB" w:rsidRPr="002C7415" w14:paraId="28BB37B6"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5778EC39"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550B2C9C" w14:textId="42D5034E"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is responsible for compiling the Planned vs. Actual DDI Progress Report using Jira release iteration calendars, the project IMS, and resource timesheets. The Contractor must review the weekly report scheduled submission date against the actual submission date. Compliance status, and any accrued service credits, are self-reported in the subsequent Weekly and Monthly Status Reports.</w:t>
            </w:r>
          </w:p>
        </w:tc>
      </w:tr>
      <w:tr w:rsidR="005562EB" w:rsidRPr="002C7415" w14:paraId="29C0CDA9"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1550F32" w14:textId="5B13AF30"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2B29A768" w14:textId="240AE446"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Late/Missed Report (Initial Service Credit): </w:t>
            </w:r>
            <w:r>
              <w:rPr>
                <w:rFonts w:cs="Arial"/>
                <w:szCs w:val="20"/>
              </w:rPr>
              <w:t>Failure to provide the Planned vs. Actual DDI Progress Report weekly on the scheduled submission date during active development will result in a service credit of one thousand dollars ($1,000) for the first calendar week when the required report is not produced or is submitted late.</w:t>
            </w:r>
          </w:p>
          <w:p w14:paraId="6523CEC8" w14:textId="3FCFDFE4" w:rsidR="005562EB" w:rsidRPr="002C7415" w:rsidRDefault="005562EB" w:rsidP="00E33327">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Extended Delinquency (Additional Service Credit): </w:t>
            </w:r>
            <w:r>
              <w:rPr>
                <w:rFonts w:cs="Arial"/>
                <w:szCs w:val="20"/>
              </w:rPr>
              <w:t>If the report is more than five (5) business days late, an additional service credit of five hundred dollars ($500) per business day, or portion thereof, will apply for each affected week until the report is provided. Service credits of twenty-five hundred dollars ($2,500) per week (assuming the report remains late or unsubmitted for all five [5] business days) will begin to accrue in Week Two (2) of report delay.</w:t>
            </w:r>
          </w:p>
        </w:tc>
      </w:tr>
    </w:tbl>
    <w:p w14:paraId="649EA1A9" w14:textId="5D6CE843" w:rsidR="005562EB" w:rsidRPr="002C7415" w:rsidRDefault="005562EB" w:rsidP="00CB1E19">
      <w:pPr>
        <w:pStyle w:val="HeadingSLA"/>
      </w:pPr>
      <w:bookmarkStart w:id="42" w:name="_Toc230258212"/>
      <w:bookmarkStart w:id="43" w:name="_Toc233199138"/>
      <w:r>
        <w:t>Monthly Status Reports’ Timely Submission (Design, Development, and Implementation and Maintenance and Operations)</w:t>
      </w:r>
      <w:bookmarkEnd w:id="42"/>
      <w:bookmarkEnd w:id="43"/>
    </w:p>
    <w:tbl>
      <w:tblPr>
        <w:tblStyle w:val="DOH-LeftHeader"/>
        <w:tblW w:w="4998" w:type="pct"/>
        <w:tblLayout w:type="fixed"/>
        <w:tblLook w:val="0480" w:firstRow="0" w:lastRow="0" w:firstColumn="1" w:lastColumn="0" w:noHBand="0" w:noVBand="1"/>
      </w:tblPr>
      <w:tblGrid>
        <w:gridCol w:w="1886"/>
        <w:gridCol w:w="8900"/>
      </w:tblGrid>
      <w:tr w:rsidR="005562EB" w:rsidRPr="002C7415" w14:paraId="247D66FA"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67842004" w14:textId="77777777" w:rsidR="005562EB" w:rsidRPr="002C7415" w:rsidRDefault="005562EB" w:rsidP="002413AA">
            <w:pPr>
              <w:rPr>
                <w:rFonts w:cs="Arial"/>
                <w:b w:val="0"/>
                <w:bCs w:val="0"/>
                <w:szCs w:val="20"/>
              </w:rPr>
            </w:pPr>
            <w:r>
              <w:rPr>
                <w:rFonts w:cs="Arial"/>
                <w:szCs w:val="20"/>
              </w:rPr>
              <w:t>Purpose</w:t>
            </w:r>
          </w:p>
        </w:tc>
        <w:tc>
          <w:tcPr>
            <w:tcW w:w="8900" w:type="dxa"/>
          </w:tcPr>
          <w:p w14:paraId="52CD2E7E" w14:textId="5BAD05AE"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Monthly Status Report provides executives with a consolidated view of project health, ensuring transparency and accountability. These reports summarize DDI (Design, Development, and Implementation) milestones, M&amp;O indicators, achievements, schedule updates, risks/issues, and critical decisions. The Department utilizes these summaries to inform State officials and CMS.</w:t>
            </w:r>
          </w:p>
        </w:tc>
      </w:tr>
      <w:tr w:rsidR="005562EB" w:rsidRPr="002C7415" w14:paraId="39759EF3"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9E43811" w14:textId="77777777" w:rsidR="005562EB" w:rsidRPr="002C7415" w:rsidRDefault="005562EB" w:rsidP="002413AA">
            <w:pPr>
              <w:rPr>
                <w:rFonts w:cs="Arial"/>
                <w:b w:val="0"/>
                <w:bCs w:val="0"/>
                <w:szCs w:val="20"/>
              </w:rPr>
            </w:pPr>
            <w:r>
              <w:rPr>
                <w:rFonts w:cs="Arial"/>
                <w:szCs w:val="20"/>
              </w:rPr>
              <w:t>Specification</w:t>
            </w:r>
          </w:p>
        </w:tc>
        <w:tc>
          <w:tcPr>
            <w:tcW w:w="8900" w:type="dxa"/>
          </w:tcPr>
          <w:p w14:paraId="4347EDAB"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produce two (2) monthly status reports, one focused on DDI and the other focused on M&amp;O. These reports must be specifically tailored for an executive audience, summarizing details in the daily and weekly status reports from that same calendar month.</w:t>
            </w:r>
          </w:p>
        </w:tc>
      </w:tr>
      <w:tr w:rsidR="005562EB" w:rsidRPr="002C7415" w14:paraId="08BD6AED"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705FA458" w14:textId="77777777" w:rsidR="005562EB" w:rsidRPr="002C7415" w:rsidRDefault="005562EB" w:rsidP="002413AA">
            <w:pPr>
              <w:rPr>
                <w:rFonts w:cs="Arial"/>
                <w:b w:val="0"/>
                <w:bCs w:val="0"/>
                <w:szCs w:val="20"/>
              </w:rPr>
            </w:pPr>
            <w:r>
              <w:rPr>
                <w:rFonts w:cs="Arial"/>
                <w:szCs w:val="20"/>
              </w:rPr>
              <w:t>Service Level</w:t>
            </w:r>
          </w:p>
        </w:tc>
        <w:tc>
          <w:tcPr>
            <w:tcW w:w="8900" w:type="dxa"/>
          </w:tcPr>
          <w:p w14:paraId="2030BC88" w14:textId="6149CEE6"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Contractor must submit both a Monthly DDI Status Report and a Monthly M&amp;O Status Report once per calendar month on the mutually agreed-upon submission date (e.g., the 2nd Friday of the month).</w:t>
            </w:r>
          </w:p>
        </w:tc>
      </w:tr>
      <w:tr w:rsidR="005562EB" w:rsidRPr="002C7415" w14:paraId="21C8AB30"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5BBBE71" w14:textId="77777777" w:rsidR="005562EB" w:rsidRPr="002C7415" w:rsidRDefault="005562EB" w:rsidP="002413AA">
            <w:pPr>
              <w:rPr>
                <w:rFonts w:cs="Arial"/>
                <w:b w:val="0"/>
                <w:bCs w:val="0"/>
                <w:szCs w:val="20"/>
              </w:rPr>
            </w:pPr>
            <w:r>
              <w:rPr>
                <w:rFonts w:cs="Arial"/>
                <w:szCs w:val="20"/>
              </w:rPr>
              <w:t>Notes</w:t>
            </w:r>
          </w:p>
        </w:tc>
        <w:tc>
          <w:tcPr>
            <w:tcW w:w="8900" w:type="dxa"/>
          </w:tcPr>
          <w:p w14:paraId="6E85E5AA"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initial submission for both reports is due within thirty (30) days of the Contract Start Date.</w:t>
            </w:r>
          </w:p>
        </w:tc>
      </w:tr>
      <w:tr w:rsidR="005562EB" w:rsidRPr="002C7415" w14:paraId="1BDC86CC"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2A5C10CD"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28FD6370" w14:textId="2012536B"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Compliance is evaluated monthly to determine if each of the reports were submitted on the scheduled date. The Contractor self-reports SLA compliance and any accrued service credits in the next scheduled Monthly Status Reports (DDI and M&amp;O).</w:t>
            </w:r>
          </w:p>
        </w:tc>
      </w:tr>
      <w:tr w:rsidR="005562EB" w:rsidRPr="002C7415" w14:paraId="49476004"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62C020B" w14:textId="77777777" w:rsidR="005562EB" w:rsidRPr="002C7415" w:rsidRDefault="005562EB" w:rsidP="002413AA">
            <w:pPr>
              <w:rPr>
                <w:rFonts w:cs="Arial"/>
                <w:szCs w:val="20"/>
              </w:rPr>
            </w:pPr>
            <w:r>
              <w:rPr>
                <w:rFonts w:cs="Arial"/>
                <w:szCs w:val="20"/>
              </w:rPr>
              <w:t>SLA Calculations</w:t>
            </w:r>
          </w:p>
        </w:tc>
        <w:tc>
          <w:tcPr>
            <w:tcW w:w="8900" w:type="dxa"/>
          </w:tcPr>
          <w:p w14:paraId="11575A35"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evaluated monthly for each of the two required reports.</w:t>
            </w:r>
          </w:p>
          <w:p w14:paraId="5F2C609E" w14:textId="5B128F75"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Identify Due Date</w:t>
            </w:r>
            <w:r>
              <w:rPr>
                <w:rFonts w:cs="Arial"/>
                <w:szCs w:val="20"/>
              </w:rPr>
              <w:t>: Confirm the mutually agreed-upon submission date for the calendar month.</w:t>
            </w:r>
          </w:p>
          <w:p w14:paraId="44838489" w14:textId="4E21464D"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Evaluate for Late or Missed Submission</w:t>
            </w:r>
            <w:r>
              <w:rPr>
                <w:rFonts w:cs="Arial"/>
                <w:szCs w:val="20"/>
              </w:rPr>
              <w:t>: For each report (DDI and M&amp;O), verify if the report was submitted by the due date. If a report is missed or late, the SLA is breached for that specific report, and the Initial Service Credit of ten thousand dollars ($10,000) is applied to each applicable report.</w:t>
            </w:r>
          </w:p>
          <w:p w14:paraId="04804E45" w14:textId="14B57941"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Evaluate for Extended Lateness: </w:t>
            </w:r>
            <w:r>
              <w:rPr>
                <w:rFonts w:cs="Arial"/>
                <w:szCs w:val="20"/>
              </w:rPr>
              <w:t xml:space="preserve">For any missed report, calculate the number of business days it remains un-submitted or late. If the report is more than ten (10) business days late or remains un-submitted, the additional Service Credit of five thousand dollars ($5,000) per report is applied to each applicable report. </w:t>
            </w:r>
          </w:p>
        </w:tc>
      </w:tr>
      <w:tr w:rsidR="005562EB" w:rsidRPr="002C7415" w14:paraId="5BEC2998"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523B6713"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4BEE13C7"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Business Day</w:t>
            </w:r>
            <w:r>
              <w:rPr>
                <w:rFonts w:cs="Arial"/>
                <w:szCs w:val="20"/>
              </w:rPr>
              <w:t xml:space="preserve"> – Any day from Monday through Friday, excluding New York State and federal holidays</w:t>
            </w:r>
          </w:p>
          <w:p w14:paraId="077984E6"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Calendar Month</w:t>
            </w:r>
            <w:r>
              <w:rPr>
                <w:rFonts w:cs="Arial"/>
                <w:szCs w:val="20"/>
              </w:rPr>
              <w:t xml:space="preserve"> – A named month on the calendar (e.g., January, February)</w:t>
            </w:r>
          </w:p>
        </w:tc>
      </w:tr>
      <w:tr w:rsidR="005562EB" w:rsidRPr="002C7415" w14:paraId="5EA84358"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E049559" w14:textId="77777777" w:rsidR="005562EB" w:rsidRPr="002C7415" w:rsidRDefault="005562EB" w:rsidP="002413AA">
            <w:pPr>
              <w:rPr>
                <w:rFonts w:cs="Arial"/>
                <w:b w:val="0"/>
                <w:bCs w:val="0"/>
                <w:szCs w:val="20"/>
              </w:rPr>
            </w:pPr>
            <w:r>
              <w:rPr>
                <w:rFonts w:cs="Arial"/>
                <w:szCs w:val="20"/>
              </w:rPr>
              <w:lastRenderedPageBreak/>
              <w:t>Exclusions</w:t>
            </w:r>
          </w:p>
        </w:tc>
        <w:tc>
          <w:tcPr>
            <w:tcW w:w="8900" w:type="dxa"/>
          </w:tcPr>
          <w:p w14:paraId="60E224BD" w14:textId="77777777" w:rsidR="005562EB" w:rsidRPr="002C7415" w:rsidRDefault="005562EB" w:rsidP="002413AA">
            <w:pPr>
              <w:tabs>
                <w:tab w:val="left" w:pos="930"/>
              </w:tabs>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 may elect to waive the submission of one or both Monthly Status Reports for a specific month in writing, at its discretion. The Contractor is responsible for providing documentation of the approved waiver for each claimed exclusion.</w:t>
            </w:r>
          </w:p>
        </w:tc>
      </w:tr>
      <w:tr w:rsidR="005562EB" w:rsidRPr="002C7415" w14:paraId="65874F17"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782C7B41"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5D816938" w14:textId="7EB9B1BB"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SLA compliance is evaluated by review of the Contractor’s deliverable management tool, transmittal logs, and the submitted reports to identify the submission date for each Monthly Report. If either report is delinquent, the accrued service credit is also reported. The Contractor must maintain a content crosswalk between the daily, weekly, and monthly status reports to track the source of monthly report content.</w:t>
            </w:r>
          </w:p>
          <w:p w14:paraId="48AE65E1" w14:textId="1D349823"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SLA compliance and accrued service credits are reporting in the subsequent domain-specific Monthly Report (DDI, M&amp;O).</w:t>
            </w:r>
          </w:p>
        </w:tc>
      </w:tr>
      <w:tr w:rsidR="005562EB" w:rsidRPr="002C7415" w14:paraId="4D93E23C"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2F203D8" w14:textId="05BD2613"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74997A5A" w14:textId="334C2FDB" w:rsidR="005562EB"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Late/Missed Report (Initial Service Credit): </w:t>
            </w:r>
            <w:r>
              <w:rPr>
                <w:rFonts w:cs="Arial"/>
                <w:szCs w:val="20"/>
              </w:rPr>
              <w:t>Failure to provide the DDI and M&amp;O monthly status reports once per calendar month for each report will result in a service credit of ten thousand dollars ($10,000) per monthly status report that is not submitted by the agreed-upon due date.</w:t>
            </w:r>
          </w:p>
          <w:p w14:paraId="3FC6ED8C" w14:textId="3137EEC6" w:rsidR="005562EB" w:rsidRPr="002C7415" w:rsidRDefault="005562EB" w:rsidP="00E33327">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Severely Late Report (Additional Service Credit): </w:t>
            </w:r>
            <w:r>
              <w:rPr>
                <w:rFonts w:cs="Arial"/>
                <w:szCs w:val="20"/>
              </w:rPr>
              <w:t>If any monthly status report is more than ten (10) business days late, an additional service credit of five thousand dollars ($5,000) will apply to each late report.</w:t>
            </w:r>
          </w:p>
        </w:tc>
      </w:tr>
    </w:tbl>
    <w:p w14:paraId="2CC1E958" w14:textId="7997D752" w:rsidR="0002106C" w:rsidRPr="002C7415" w:rsidRDefault="0002106C" w:rsidP="0002106C">
      <w:pPr>
        <w:pStyle w:val="HeadingSLA"/>
      </w:pPr>
      <w:bookmarkStart w:id="44" w:name="_Toc233199139"/>
      <w:bookmarkStart w:id="45" w:name="_Toc230258198"/>
      <w:bookmarkStart w:id="46" w:name="_Toc230258202"/>
      <w:bookmarkStart w:id="47" w:name="_Toc230258214"/>
      <w:r>
        <w:t>Regression Testing Effectiveness and Production Defect</w:t>
      </w:r>
      <w:bookmarkEnd w:id="44"/>
    </w:p>
    <w:tbl>
      <w:tblPr>
        <w:tblStyle w:val="DOH-LeftHeader"/>
        <w:tblW w:w="4998" w:type="pct"/>
        <w:tblLayout w:type="fixed"/>
        <w:tblLook w:val="0480" w:firstRow="0" w:lastRow="0" w:firstColumn="1" w:lastColumn="0" w:noHBand="0" w:noVBand="1"/>
      </w:tblPr>
      <w:tblGrid>
        <w:gridCol w:w="1886"/>
        <w:gridCol w:w="8900"/>
      </w:tblGrid>
      <w:tr w:rsidR="0002106C" w:rsidRPr="002C7415" w14:paraId="0E7663F5"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6219BEE" w14:textId="77777777" w:rsidR="0002106C" w:rsidRPr="002C7415" w:rsidRDefault="0002106C" w:rsidP="00DB06F0">
            <w:pPr>
              <w:rPr>
                <w:rFonts w:cs="Arial"/>
                <w:b w:val="0"/>
                <w:bCs w:val="0"/>
                <w:szCs w:val="20"/>
              </w:rPr>
            </w:pPr>
            <w:r>
              <w:rPr>
                <w:rFonts w:cs="Arial"/>
                <w:szCs w:val="20"/>
              </w:rPr>
              <w:t>Purpose</w:t>
            </w:r>
          </w:p>
        </w:tc>
        <w:tc>
          <w:tcPr>
            <w:tcW w:w="8900" w:type="dxa"/>
          </w:tcPr>
          <w:p w14:paraId="7267AD75"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to ensure that system changes do not negatively impact previously working functionality. Before any change is released to the Production Environment, the Contractor must prove through comprehensive regression testing that new deployments do not introduce preventable defects or disrupt the Converged E&amp;E System production environment.</w:t>
            </w:r>
          </w:p>
        </w:tc>
      </w:tr>
      <w:tr w:rsidR="0002106C" w:rsidRPr="002C7415" w14:paraId="70395C1B"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EE56A9E" w14:textId="77777777" w:rsidR="0002106C" w:rsidRPr="002C7415" w:rsidRDefault="0002106C" w:rsidP="00DB06F0">
            <w:pPr>
              <w:rPr>
                <w:rFonts w:cs="Arial"/>
                <w:b w:val="0"/>
                <w:bCs w:val="0"/>
                <w:szCs w:val="20"/>
              </w:rPr>
            </w:pPr>
            <w:r>
              <w:rPr>
                <w:rFonts w:cs="Arial"/>
                <w:szCs w:val="20"/>
              </w:rPr>
              <w:t>Specification</w:t>
            </w:r>
          </w:p>
        </w:tc>
        <w:tc>
          <w:tcPr>
            <w:tcW w:w="8900" w:type="dxa"/>
          </w:tcPr>
          <w:p w14:paraId="72382D93"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execute regression testing of a depth and breadth sufficient to validate that any code, configuration, or content changes included in a Production release do not negatively impact existing Converged E&amp;E System functionality. The Contractor must not promote a release to the Production Environment if the regression testing results include unresolved failed test cases, blocked Critical test scenarios, or open defects that could reasonably impact Production operations, unless the Department has provided explicit written approval to proceed. Regression testing must cover the in-scope functional areas of the release as well as all integrations, interfaces, and shared components that the release could foreseeably affect.</w:t>
            </w:r>
          </w:p>
        </w:tc>
      </w:tr>
      <w:tr w:rsidR="0002106C" w:rsidRPr="002C7415" w14:paraId="66ECB43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38F73D0" w14:textId="77777777" w:rsidR="0002106C" w:rsidRPr="002C7415" w:rsidRDefault="0002106C" w:rsidP="00DB06F0">
            <w:pPr>
              <w:rPr>
                <w:rFonts w:cs="Arial"/>
                <w:b w:val="0"/>
                <w:bCs w:val="0"/>
                <w:szCs w:val="20"/>
              </w:rPr>
            </w:pPr>
            <w:r>
              <w:rPr>
                <w:rFonts w:cs="Arial"/>
                <w:szCs w:val="20"/>
              </w:rPr>
              <w:t>Service Level</w:t>
            </w:r>
          </w:p>
        </w:tc>
        <w:tc>
          <w:tcPr>
            <w:tcW w:w="8900" w:type="dxa"/>
          </w:tcPr>
          <w:p w14:paraId="115AE415" w14:textId="77777777" w:rsidR="0002106C" w:rsidRPr="002C7415" w:rsidRDefault="0002106C"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cs="Arial"/>
                <w:szCs w:val="20"/>
              </w:rPr>
              <w:t>Zero (0) preventable Production defects per release. A Production defect is preventable for purposes of this SLA when the Department determines that, based on the regression testing scope, results, and root cause analysis, the defect could reasonably have been identified and remediated through proper regression testing prior to deployment. No release may be promoted to Production with unresolved failed test cases, blocked Critical test scenarios, or open defects capable of impacting Production operations, except with the Department’s written approval.</w:t>
            </w:r>
          </w:p>
        </w:tc>
      </w:tr>
      <w:tr w:rsidR="0002106C" w:rsidRPr="002C7415" w14:paraId="6A9C786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1CACA32" w14:textId="77777777" w:rsidR="0002106C" w:rsidRPr="002C7415" w:rsidRDefault="0002106C" w:rsidP="00DB06F0">
            <w:pPr>
              <w:rPr>
                <w:rFonts w:cs="Arial"/>
                <w:b w:val="0"/>
                <w:bCs w:val="0"/>
                <w:szCs w:val="20"/>
              </w:rPr>
            </w:pPr>
            <w:r>
              <w:rPr>
                <w:rFonts w:cs="Arial"/>
                <w:szCs w:val="20"/>
              </w:rPr>
              <w:t>Notes</w:t>
            </w:r>
          </w:p>
        </w:tc>
        <w:tc>
          <w:tcPr>
            <w:tcW w:w="8900" w:type="dxa"/>
          </w:tcPr>
          <w:p w14:paraId="7BBBB1AF" w14:textId="77777777" w:rsidR="0002106C" w:rsidRPr="002C7415" w:rsidRDefault="0002106C"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determination of whether a Production defect was preventable rests solely with the Department, based on review of the Regression Testing Report, defect logs, deployment records, and root cause analysis for the release in question. The Contractor must give the Department direct, read-only access to the test management tool, defect tracking tool, and deployment records used to support this SLA at all times. The Contractor must attend a defect review session, on Department request, for any Production defect the Department flags as potentially preventable, to walk through the regression testing performed and the root cause analysis. Where the Department issues a written approval to deploy a release with known regression issues, the approval must clearly identify the specific issues being accepted; only those issues are within the scope of the written approval.</w:t>
            </w:r>
          </w:p>
        </w:tc>
      </w:tr>
      <w:tr w:rsidR="0002106C" w:rsidRPr="002C7415" w14:paraId="1396987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FC36AE0" w14:textId="77777777" w:rsidR="0002106C" w:rsidRPr="002C7415" w:rsidRDefault="0002106C" w:rsidP="00DB06F0">
            <w:pPr>
              <w:rPr>
                <w:rFonts w:cs="Arial"/>
                <w:b w:val="0"/>
                <w:bCs w:val="0"/>
                <w:szCs w:val="20"/>
              </w:rPr>
            </w:pPr>
            <w:r>
              <w:rPr>
                <w:rFonts w:cs="Arial"/>
                <w:szCs w:val="20"/>
              </w:rPr>
              <w:t>Reporting Frequency</w:t>
            </w:r>
          </w:p>
        </w:tc>
        <w:tc>
          <w:tcPr>
            <w:tcW w:w="8900" w:type="dxa"/>
          </w:tcPr>
          <w:p w14:paraId="56E7BEFB"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Compliance is measured per Production Release on a continuous basis throughout the M&amp;O period. Test Results Report must be submitted to the Department prior to each Production Deployment decision which includes all logged Production defects attributable to those releases, </w:t>
            </w:r>
            <w:r>
              <w:rPr>
                <w:rFonts w:cs="Arial"/>
                <w:szCs w:val="20"/>
              </w:rPr>
              <w:lastRenderedPageBreak/>
              <w:t>and the Department’s preventability determinations. The SLA is effective for all releases deployed to Production during M&amp;O.</w:t>
            </w:r>
          </w:p>
        </w:tc>
      </w:tr>
      <w:tr w:rsidR="0002106C" w:rsidRPr="002C7415" w14:paraId="5831B3A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3633185" w14:textId="77777777" w:rsidR="0002106C" w:rsidRPr="002C7415" w:rsidRDefault="0002106C" w:rsidP="00DB06F0">
            <w:pPr>
              <w:rPr>
                <w:rFonts w:cs="Arial"/>
                <w:szCs w:val="20"/>
              </w:rPr>
            </w:pPr>
            <w:r>
              <w:rPr>
                <w:rFonts w:cs="Arial"/>
                <w:szCs w:val="20"/>
              </w:rPr>
              <w:lastRenderedPageBreak/>
              <w:t>SLA Calculations</w:t>
            </w:r>
          </w:p>
        </w:tc>
        <w:tc>
          <w:tcPr>
            <w:tcW w:w="8900" w:type="dxa"/>
          </w:tcPr>
          <w:p w14:paraId="5F6F8891"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For each Production release, the Contractor records the regression testing performed, the resulting pass/fail/blocked counts, and any open defects at the time of the release decision. For each Production defect logged following a release, the Department determines whether the defect was preventable through proper regression testing. The service credit due for a given release is calculated using the count of preventable Production defects attributable to that release, applying the per-defect amounts in the Converged E&amp;E System and AMS Service Credit. </w:t>
            </w:r>
          </w:p>
          <w:p w14:paraId="54D706EE"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 release-level compliance indicator is also calculated as: Compliant Release = a release with zero (0) preventable Production defects attributable to it. The monthly Compliant Release Rate is calculated as (Compliant Releases / Total Releases Deployed in the Month) x one hundred (100).</w:t>
            </w:r>
          </w:p>
        </w:tc>
      </w:tr>
      <w:tr w:rsidR="0002106C" w:rsidRPr="002C7415" w14:paraId="5A0A073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5C5C352" w14:textId="77777777" w:rsidR="0002106C" w:rsidRPr="002C7415" w:rsidRDefault="0002106C" w:rsidP="00DB06F0">
            <w:pPr>
              <w:rPr>
                <w:rFonts w:cs="Arial"/>
                <w:b w:val="0"/>
                <w:bCs w:val="0"/>
                <w:szCs w:val="20"/>
              </w:rPr>
            </w:pPr>
            <w:r>
              <w:rPr>
                <w:rFonts w:cs="Arial"/>
                <w:szCs w:val="20"/>
              </w:rPr>
              <w:t>SLA Calculations Definitions</w:t>
            </w:r>
          </w:p>
        </w:tc>
        <w:tc>
          <w:tcPr>
            <w:tcW w:w="8900" w:type="dxa"/>
          </w:tcPr>
          <w:p w14:paraId="0EE2D65E"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Regression Testing</w:t>
            </w:r>
            <w:r>
              <w:rPr>
                <w:rFonts w:cs="Arial"/>
                <w:szCs w:val="20"/>
              </w:rPr>
              <w:t>: The systematic re-execution of test cases against the Converged E&amp;E System to verify that recent changes have not adversely affected previously working functionality, integrations, or interfaces.</w:t>
            </w:r>
          </w:p>
          <w:p w14:paraId="2F4682C1"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Preventable Production Defect</w:t>
            </w:r>
            <w:r>
              <w:rPr>
                <w:rFonts w:cs="Arial"/>
                <w:szCs w:val="20"/>
              </w:rPr>
              <w:t>: A defect identified in Production after release that the Department determines, based on documentary evidence, could reasonably have been detected and resolved through proper regression testing prior to deployment.</w:t>
            </w:r>
          </w:p>
          <w:p w14:paraId="3F12FF34"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Unresolved Failed Test Case</w:t>
            </w:r>
            <w:r>
              <w:rPr>
                <w:rFonts w:cs="Arial"/>
                <w:szCs w:val="20"/>
              </w:rPr>
              <w:t>: A test case with a failed result that has not been re-executed and passed prior to the release decision, and that has not been formally waived in writing by the Department.</w:t>
            </w:r>
          </w:p>
          <w:p w14:paraId="56D5469B"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Blocked Critical Test Scenario</w:t>
            </w:r>
            <w:r>
              <w:rPr>
                <w:rFonts w:cs="Arial"/>
                <w:szCs w:val="20"/>
              </w:rPr>
              <w:t>: A test scenario classified as Critical in the approved Test Management Plan that could not be executed or completed due to environment, data, code, or dependency issues at the time of the release decision.</w:t>
            </w:r>
          </w:p>
          <w:p w14:paraId="4F02848B"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Release</w:t>
            </w:r>
            <w:r>
              <w:rPr>
                <w:rFonts w:cs="Arial"/>
                <w:szCs w:val="20"/>
              </w:rPr>
              <w:t>: Any deployment of code, configuration, or content to Production authorized through the Department-approved Release Schedule.</w:t>
            </w:r>
          </w:p>
          <w:p w14:paraId="2EA3B957"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Non-Repudiable Record</w:t>
            </w:r>
            <w:r>
              <w:rPr>
                <w:rFonts w:cs="Arial"/>
                <w:szCs w:val="20"/>
              </w:rPr>
              <w:t>: A log entry or system-generated artifact that is tamper-evident, time-stamped from a source independent of the Contractor’s control, maintained under an unbroken chain of custody, and independently accessible to the Department. All records required under this SLA must qualify as Non-Repudiable.</w:t>
            </w:r>
          </w:p>
        </w:tc>
      </w:tr>
      <w:tr w:rsidR="0002106C" w:rsidRPr="002C7415" w14:paraId="02DEB73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DC37CD5" w14:textId="77777777" w:rsidR="0002106C" w:rsidRPr="002C7415" w:rsidRDefault="0002106C" w:rsidP="00DB06F0">
            <w:pPr>
              <w:rPr>
                <w:rFonts w:cs="Arial"/>
                <w:b w:val="0"/>
                <w:bCs w:val="0"/>
                <w:szCs w:val="20"/>
              </w:rPr>
            </w:pPr>
            <w:r>
              <w:rPr>
                <w:rFonts w:cs="Arial"/>
                <w:szCs w:val="20"/>
              </w:rPr>
              <w:t>Exclusions</w:t>
            </w:r>
          </w:p>
        </w:tc>
        <w:tc>
          <w:tcPr>
            <w:tcW w:w="8900" w:type="dxa"/>
          </w:tcPr>
          <w:p w14:paraId="5F98C587"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under this SLA for Production defects the Department determines were caused by: (a) a release the Department expressly approved in writing to proceed despite known regression issues, limited to the specific issues identified in the written approval; (b) defects originating in third-party systems, interfaces, or data sources outside the Contractor’s managed scope, as demonstrated by Non-Repudiable Records; or (c) defects that could not reasonably have been detected through industry-standard regression testing practices, as documented in the root cause analysis and accepted by the Department. The Contractor is responsible for proving, via Non-Repudiable Records, that a claimed exclusion applies.</w:t>
            </w:r>
          </w:p>
        </w:tc>
      </w:tr>
      <w:tr w:rsidR="0002106C" w:rsidRPr="002C7415" w14:paraId="3BA0DB0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526A2E6" w14:textId="77777777" w:rsidR="0002106C" w:rsidRPr="002C7415" w:rsidRDefault="0002106C" w:rsidP="00DB06F0">
            <w:pPr>
              <w:rPr>
                <w:rFonts w:cs="Arial"/>
                <w:b w:val="0"/>
                <w:bCs w:val="0"/>
                <w:szCs w:val="20"/>
              </w:rPr>
            </w:pPr>
            <w:r>
              <w:rPr>
                <w:rFonts w:cs="Arial"/>
                <w:szCs w:val="20"/>
              </w:rPr>
              <w:t>Process to Compile and Report SLA</w:t>
            </w:r>
          </w:p>
        </w:tc>
        <w:tc>
          <w:tcPr>
            <w:tcW w:w="8900" w:type="dxa"/>
          </w:tcPr>
          <w:p w14:paraId="26443211"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Pre-Deployment</w:t>
            </w:r>
            <w:r>
              <w:rPr>
                <w:rFonts w:cs="Arial"/>
                <w:szCs w:val="20"/>
              </w:rPr>
              <w:t>: Before the Production deployment decision, the Contractor must submit a Regression Testing Report containing the test cases executed, pass/fail/blocked counts, open defects with severity, release scope, regression coverage, and an explicit readiness statement.</w:t>
            </w:r>
          </w:p>
          <w:p w14:paraId="21417EDC"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Post-Incident</w:t>
            </w:r>
            <w:r>
              <w:rPr>
                <w:rFonts w:cs="Arial"/>
                <w:szCs w:val="20"/>
              </w:rPr>
              <w:t>: When a Production defect is logged after a release, the Contractor must produce a root cause analysis identifying whether regression testing covered the functionality, why the defect was missed, and the corrective action. This must be submitted within five (5) business days after the defect is logged.</w:t>
            </w:r>
          </w:p>
          <w:p w14:paraId="68AC78BD"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Aggregation</w:t>
            </w:r>
            <w:r>
              <w:rPr>
                <w:rFonts w:cs="Arial"/>
                <w:szCs w:val="20"/>
              </w:rPr>
              <w:t>: The Contractor must submit a Test Results Report for each release detailing every Production defect logged against it, the Department’s preventability determination, the corrective action plan for preventable defects, and the calculated Compliant Release Rate for the month. The report must allow the Department to independently validate the underlying data.</w:t>
            </w:r>
          </w:p>
        </w:tc>
      </w:tr>
      <w:tr w:rsidR="0002106C" w:rsidRPr="002C7415" w14:paraId="18C1754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5006D3F" w14:textId="77777777" w:rsidR="0002106C" w:rsidRPr="002C7415" w:rsidRDefault="0002106C" w:rsidP="00DB06F0">
            <w:pPr>
              <w:rPr>
                <w:rFonts w:cs="Arial"/>
                <w:b w:val="0"/>
                <w:bCs w:val="0"/>
                <w:szCs w:val="20"/>
              </w:rPr>
            </w:pPr>
            <w:r>
              <w:rPr>
                <w:rFonts w:cs="Arial"/>
                <w:szCs w:val="20"/>
              </w:rPr>
              <w:lastRenderedPageBreak/>
              <w:t>Converged E&amp;E System and AMS Service Credit</w:t>
            </w:r>
          </w:p>
        </w:tc>
        <w:tc>
          <w:tcPr>
            <w:tcW w:w="8900" w:type="dxa"/>
          </w:tcPr>
          <w:p w14:paraId="1C6BD677"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Preventable Production Defect (Initial Service Credit):</w:t>
            </w:r>
            <w:r>
              <w:rPr>
                <w:rFonts w:cs="Arial"/>
                <w:szCs w:val="20"/>
              </w:rPr>
              <w:t xml:space="preserve"> A service credit of five thousand dollars ($5,000) applies for each Production defect that the Department determines was preventable through proper regression testing. </w:t>
            </w:r>
          </w:p>
          <w:p w14:paraId="700F5F21"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Multiple Production Defects (Additional Service Credit):</w:t>
            </w:r>
            <w:r>
              <w:rPr>
                <w:rFonts w:cs="Arial"/>
                <w:szCs w:val="20"/>
              </w:rPr>
              <w:t xml:space="preserve"> Where a single release produces more than one preventable Production defect, an additional service credit of two thousand five hundred dollars ($2,500) applies for each preventable Production defect beyond the first defect attributable to that release.</w:t>
            </w:r>
          </w:p>
        </w:tc>
      </w:tr>
    </w:tbl>
    <w:p w14:paraId="648169FE" w14:textId="512C5D7F" w:rsidR="0002106C" w:rsidRPr="002C7415" w:rsidRDefault="0002106C" w:rsidP="0002106C">
      <w:pPr>
        <w:pStyle w:val="HeadingSLA"/>
      </w:pPr>
      <w:bookmarkStart w:id="48" w:name="_Toc230258220"/>
      <w:bookmarkStart w:id="49" w:name="_Toc233199140"/>
      <w:r>
        <w:t>User Acceptance Testing Deployment Approval</w:t>
      </w:r>
      <w:bookmarkEnd w:id="48"/>
      <w:bookmarkEnd w:id="49"/>
    </w:p>
    <w:tbl>
      <w:tblPr>
        <w:tblStyle w:val="DOH-LeftHeader"/>
        <w:tblW w:w="4998" w:type="pct"/>
        <w:tblLayout w:type="fixed"/>
        <w:tblLook w:val="0480" w:firstRow="0" w:lastRow="0" w:firstColumn="1" w:lastColumn="0" w:noHBand="0" w:noVBand="1"/>
      </w:tblPr>
      <w:tblGrid>
        <w:gridCol w:w="1886"/>
        <w:gridCol w:w="8900"/>
      </w:tblGrid>
      <w:tr w:rsidR="0002106C" w:rsidRPr="002C7415" w14:paraId="32BD9F2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3CC2EF5" w14:textId="77777777" w:rsidR="0002106C" w:rsidRPr="002C7415" w:rsidRDefault="0002106C" w:rsidP="00DB06F0">
            <w:pPr>
              <w:rPr>
                <w:rFonts w:cs="Arial"/>
                <w:b w:val="0"/>
                <w:bCs w:val="0"/>
                <w:szCs w:val="20"/>
              </w:rPr>
            </w:pPr>
            <w:r>
              <w:rPr>
                <w:rFonts w:cs="Arial"/>
                <w:szCs w:val="20"/>
              </w:rPr>
              <w:t>Purpose</w:t>
            </w:r>
          </w:p>
        </w:tc>
        <w:tc>
          <w:tcPr>
            <w:tcW w:w="8900" w:type="dxa"/>
          </w:tcPr>
          <w:p w14:paraId="5B32463E"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purpose of this SLA is to establish Departmental oversight and formal authorization for all User Acceptance Testing (UAT) environment deployments. It ensures that no updates are promoted without explicit written approval and that the Department receives all necessary testing data to make informed decisions.</w:t>
            </w:r>
          </w:p>
        </w:tc>
      </w:tr>
      <w:tr w:rsidR="0002106C" w:rsidRPr="002C7415" w14:paraId="20DA521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F905558" w14:textId="77777777" w:rsidR="0002106C" w:rsidRPr="002C7415" w:rsidRDefault="0002106C" w:rsidP="00DB06F0">
            <w:pPr>
              <w:rPr>
                <w:rFonts w:cs="Arial"/>
                <w:b w:val="0"/>
                <w:bCs w:val="0"/>
                <w:szCs w:val="20"/>
              </w:rPr>
            </w:pPr>
            <w:r>
              <w:rPr>
                <w:rFonts w:cs="Arial"/>
                <w:szCs w:val="20"/>
              </w:rPr>
              <w:t>Specification</w:t>
            </w:r>
          </w:p>
        </w:tc>
        <w:tc>
          <w:tcPr>
            <w:tcW w:w="8900" w:type="dxa"/>
          </w:tcPr>
          <w:p w14:paraId="4F26DC32"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announce the conclusion of end-to-end (E2E) testing to the Department and request approval to promote the update or updates. The Department must provide written approval before any changes are deployed to the UAT environment. With the request, the Contractor must provide a Test Results Report that contains, at a minimum: the number of test cases executed, passed, failed, and blocked; the number of open defects with assigned severity levels; and summaries of the defects for which deployment approval is being requested.</w:t>
            </w:r>
          </w:p>
        </w:tc>
      </w:tr>
      <w:tr w:rsidR="0002106C" w:rsidRPr="002C7415" w14:paraId="046F3DD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28C13B8" w14:textId="77777777" w:rsidR="0002106C" w:rsidRPr="002C7415" w:rsidRDefault="0002106C" w:rsidP="00DB06F0">
            <w:pPr>
              <w:rPr>
                <w:rFonts w:cs="Arial"/>
                <w:b w:val="0"/>
                <w:bCs w:val="0"/>
                <w:szCs w:val="20"/>
              </w:rPr>
            </w:pPr>
            <w:r>
              <w:rPr>
                <w:rFonts w:cs="Arial"/>
                <w:szCs w:val="20"/>
              </w:rPr>
              <w:t>Service Level</w:t>
            </w:r>
          </w:p>
        </w:tc>
        <w:tc>
          <w:tcPr>
            <w:tcW w:w="8900" w:type="dxa"/>
          </w:tcPr>
          <w:p w14:paraId="02DD721C"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Zero (0) deployments to the UAT environment may occur without prior written Department approval, and no deployment may exceed the scope of what was approved.</w:t>
            </w:r>
          </w:p>
        </w:tc>
      </w:tr>
      <w:tr w:rsidR="0002106C" w:rsidRPr="002C7415" w14:paraId="42E505D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AA343C2" w14:textId="77777777" w:rsidR="0002106C" w:rsidRPr="002C7415" w:rsidRDefault="0002106C" w:rsidP="00DB06F0">
            <w:pPr>
              <w:rPr>
                <w:rFonts w:cs="Arial"/>
                <w:b w:val="0"/>
                <w:bCs w:val="0"/>
                <w:szCs w:val="20"/>
              </w:rPr>
            </w:pPr>
            <w:r>
              <w:rPr>
                <w:rFonts w:cs="Arial"/>
                <w:szCs w:val="20"/>
              </w:rPr>
              <w:t>Notes</w:t>
            </w:r>
          </w:p>
        </w:tc>
        <w:tc>
          <w:tcPr>
            <w:tcW w:w="8900" w:type="dxa"/>
          </w:tcPr>
          <w:p w14:paraId="246B493A"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Department approval must be in writing and timestamped. The Test Results Report must be delivered in a format the Department can independently validate.</w:t>
            </w:r>
          </w:p>
        </w:tc>
      </w:tr>
      <w:tr w:rsidR="0002106C" w:rsidRPr="002C7415" w14:paraId="682D97F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71F00A5" w14:textId="77777777" w:rsidR="0002106C" w:rsidRPr="002C7415" w:rsidRDefault="0002106C" w:rsidP="00DB06F0">
            <w:pPr>
              <w:rPr>
                <w:rFonts w:cs="Arial"/>
                <w:b w:val="0"/>
                <w:bCs w:val="0"/>
                <w:szCs w:val="20"/>
              </w:rPr>
            </w:pPr>
            <w:r>
              <w:rPr>
                <w:rFonts w:cs="Arial"/>
                <w:szCs w:val="20"/>
              </w:rPr>
              <w:t>Reporting Frequency</w:t>
            </w:r>
          </w:p>
        </w:tc>
        <w:tc>
          <w:tcPr>
            <w:tcW w:w="8900" w:type="dxa"/>
          </w:tcPr>
          <w:p w14:paraId="2B68A278"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Approvals are reviewed every business day, or as defined by the Department, during M&amp;O.</w:t>
            </w:r>
          </w:p>
        </w:tc>
      </w:tr>
      <w:tr w:rsidR="0002106C" w:rsidRPr="002C7415" w14:paraId="544F514D"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82C4F7A" w14:textId="77777777" w:rsidR="0002106C" w:rsidRPr="002C7415" w:rsidRDefault="0002106C" w:rsidP="00DB06F0">
            <w:pPr>
              <w:rPr>
                <w:rFonts w:cs="Arial"/>
                <w:szCs w:val="20"/>
              </w:rPr>
            </w:pPr>
            <w:r>
              <w:rPr>
                <w:rFonts w:cs="Arial"/>
                <w:szCs w:val="20"/>
              </w:rPr>
              <w:t>SLA Calculations</w:t>
            </w:r>
          </w:p>
        </w:tc>
        <w:tc>
          <w:tcPr>
            <w:tcW w:w="8900" w:type="dxa"/>
          </w:tcPr>
          <w:p w14:paraId="16F1C640"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UAT deployment. For each deployment, the Contractor records the Department’s written approval timestamp, the deployment timestamp, and the approved scope. Any deployment that occurs prior to written Department approval, or that exceeds the approved scope, is non-compliant. Service credits accrue every business day, or as defined by the Department, until Department approval is received or the release is backed out of the UAT environment.</w:t>
            </w:r>
          </w:p>
        </w:tc>
      </w:tr>
      <w:tr w:rsidR="0002106C" w:rsidRPr="002C7415" w14:paraId="274042D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1EEDED4" w14:textId="77777777" w:rsidR="0002106C" w:rsidRPr="002C7415" w:rsidRDefault="0002106C" w:rsidP="00DB06F0">
            <w:pPr>
              <w:rPr>
                <w:rFonts w:cs="Arial"/>
                <w:b w:val="0"/>
                <w:bCs w:val="0"/>
                <w:szCs w:val="20"/>
              </w:rPr>
            </w:pPr>
            <w:r>
              <w:rPr>
                <w:rFonts w:cs="Arial"/>
                <w:szCs w:val="20"/>
              </w:rPr>
              <w:t>SLA Calculations Definitions</w:t>
            </w:r>
          </w:p>
        </w:tc>
        <w:tc>
          <w:tcPr>
            <w:tcW w:w="8900" w:type="dxa"/>
          </w:tcPr>
          <w:p w14:paraId="43E7150D"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Test Results Report: </w:t>
            </w:r>
            <w:r>
              <w:rPr>
                <w:rFonts w:cs="Arial"/>
                <w:szCs w:val="20"/>
              </w:rPr>
              <w:t>A report containing test case execution metrics, open defect counts with severity assignments, and summaries of defects for which deployment approval is being requested.</w:t>
            </w:r>
          </w:p>
          <w:p w14:paraId="131F69BF"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Department Approval: </w:t>
            </w:r>
            <w:r>
              <w:rPr>
                <w:rFonts w:cs="Arial"/>
                <w:szCs w:val="20"/>
              </w:rPr>
              <w:t>Written, time-stamped authorization from the Department to deploy specified changes to the UAT environment.</w:t>
            </w:r>
          </w:p>
          <w:p w14:paraId="37287C95"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Out-of-Scope Change: </w:t>
            </w:r>
            <w:r>
              <w:rPr>
                <w:rFonts w:cs="Arial"/>
                <w:szCs w:val="20"/>
              </w:rPr>
              <w:t>A change deployed to the UAT environment that is not covered by the Department’s written approval for that deployment.</w:t>
            </w:r>
          </w:p>
        </w:tc>
      </w:tr>
      <w:tr w:rsidR="0002106C" w:rsidRPr="002C7415" w14:paraId="344D155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74FE181" w14:textId="77777777" w:rsidR="0002106C" w:rsidRPr="002C7415" w:rsidRDefault="0002106C" w:rsidP="00DB06F0">
            <w:pPr>
              <w:rPr>
                <w:rFonts w:cs="Arial"/>
                <w:b w:val="0"/>
                <w:bCs w:val="0"/>
                <w:szCs w:val="20"/>
              </w:rPr>
            </w:pPr>
            <w:r>
              <w:rPr>
                <w:rFonts w:cs="Arial"/>
                <w:szCs w:val="20"/>
              </w:rPr>
              <w:t>Exclusions</w:t>
            </w:r>
          </w:p>
        </w:tc>
        <w:tc>
          <w:tcPr>
            <w:tcW w:w="8900" w:type="dxa"/>
          </w:tcPr>
          <w:p w14:paraId="7E8AF7B0"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delays caused by the Department’s failure to respond to a complete approval request within the timeframes defined in the M&amp;O Manual. The Contractor is responsible for demonstrating any claimed exclusion.</w:t>
            </w:r>
          </w:p>
        </w:tc>
      </w:tr>
      <w:tr w:rsidR="0002106C" w:rsidRPr="002C7415" w14:paraId="0627977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C39AFDD" w14:textId="77777777" w:rsidR="0002106C" w:rsidRPr="002C7415" w:rsidRDefault="0002106C" w:rsidP="00DB06F0">
            <w:pPr>
              <w:rPr>
                <w:rFonts w:cs="Arial"/>
                <w:b w:val="0"/>
                <w:bCs w:val="0"/>
                <w:szCs w:val="20"/>
              </w:rPr>
            </w:pPr>
            <w:r>
              <w:rPr>
                <w:rFonts w:cs="Arial"/>
                <w:szCs w:val="20"/>
              </w:rPr>
              <w:t>Process to Compile and Report SLA</w:t>
            </w:r>
          </w:p>
        </w:tc>
        <w:tc>
          <w:tcPr>
            <w:tcW w:w="8900" w:type="dxa"/>
          </w:tcPr>
          <w:p w14:paraId="1C1C564D"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UAT deployment, the Contractor must maintain a comprehensive audit trail consisting of the E2E testing completion announcement, the approval request package, the Department’s written approval, and the deployment timestamp. The Contractor must also maintain a record of the post-deployment scope reconciliation. These internal records must be sufficient to identify any unapproved or out-of-scope deployments and calculate associated service credits. The Contractor must grant the Department access to these records or provide copies of the raw data upon request for compliance verification.</w:t>
            </w:r>
          </w:p>
        </w:tc>
      </w:tr>
      <w:tr w:rsidR="0002106C" w:rsidRPr="002C7415" w14:paraId="42AAA8A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7EACC15" w14:textId="77777777" w:rsidR="0002106C" w:rsidRPr="002C7415" w:rsidRDefault="0002106C" w:rsidP="00DB06F0">
            <w:pPr>
              <w:rPr>
                <w:rFonts w:cs="Arial"/>
                <w:b w:val="0"/>
                <w:bCs w:val="0"/>
                <w:szCs w:val="20"/>
              </w:rPr>
            </w:pPr>
            <w:r>
              <w:rPr>
                <w:rFonts w:cs="Arial"/>
                <w:szCs w:val="20"/>
              </w:rPr>
              <w:lastRenderedPageBreak/>
              <w:t>Converged E&amp;E System and AMS Service Credit</w:t>
            </w:r>
          </w:p>
        </w:tc>
        <w:tc>
          <w:tcPr>
            <w:tcW w:w="8900" w:type="dxa"/>
          </w:tcPr>
          <w:p w14:paraId="45A41446"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the Contractor deploys changes to the UAT environment prior to receiving written approval from the Department, or performs changes outside the scope of what was approved, a service credit of five thousand dollars ($5,000) per unapproved deployment applies for every business day, or as defined by the Department, until Department approval is received or the release is backed out of the UAT environment.</w:t>
            </w:r>
          </w:p>
        </w:tc>
      </w:tr>
    </w:tbl>
    <w:p w14:paraId="0A970D55" w14:textId="2E0BC2F4" w:rsidR="0002106C" w:rsidRPr="002C7415" w:rsidRDefault="0002106C" w:rsidP="0002106C">
      <w:pPr>
        <w:pStyle w:val="HeadingSLA"/>
      </w:pPr>
      <w:bookmarkStart w:id="50" w:name="_Toc230258221"/>
      <w:bookmarkStart w:id="51" w:name="_Toc233199141"/>
      <w:r>
        <w:t>User Acceptance Testing Initiation and Solution Development Life Cycle Phase Compliance</w:t>
      </w:r>
      <w:bookmarkEnd w:id="50"/>
      <w:bookmarkEnd w:id="51"/>
    </w:p>
    <w:tbl>
      <w:tblPr>
        <w:tblStyle w:val="DOH-LeftHeader"/>
        <w:tblW w:w="4998" w:type="pct"/>
        <w:tblLayout w:type="fixed"/>
        <w:tblLook w:val="0480" w:firstRow="0" w:lastRow="0" w:firstColumn="1" w:lastColumn="0" w:noHBand="0" w:noVBand="1"/>
      </w:tblPr>
      <w:tblGrid>
        <w:gridCol w:w="1886"/>
        <w:gridCol w:w="8900"/>
      </w:tblGrid>
      <w:tr w:rsidR="0002106C" w:rsidRPr="002C7415" w14:paraId="6238BED5"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FE71E0A" w14:textId="77777777" w:rsidR="0002106C" w:rsidRPr="002C7415" w:rsidRDefault="0002106C" w:rsidP="00DB06F0">
            <w:pPr>
              <w:rPr>
                <w:rFonts w:cs="Arial"/>
                <w:b w:val="0"/>
                <w:bCs w:val="0"/>
                <w:szCs w:val="20"/>
              </w:rPr>
            </w:pPr>
            <w:r>
              <w:rPr>
                <w:rFonts w:cs="Arial"/>
                <w:szCs w:val="20"/>
              </w:rPr>
              <w:t>Purpose</w:t>
            </w:r>
          </w:p>
        </w:tc>
        <w:tc>
          <w:tcPr>
            <w:tcW w:w="8900" w:type="dxa"/>
          </w:tcPr>
          <w:p w14:paraId="40784D42"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ensures a disciplined and authorized transition into the UAT phase. To ensure SDLC integrity, development phases must be completed sequentially. UAT can only commence after the verified completion of the Development phase and formal Departmental approval of the transition. Premature initiation of UAT compromises the validity of subsequent test results. .</w:t>
            </w:r>
          </w:p>
        </w:tc>
      </w:tr>
      <w:tr w:rsidR="0002106C" w:rsidRPr="002C7415" w14:paraId="6B449B6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5FDD3C3" w14:textId="77777777" w:rsidR="0002106C" w:rsidRPr="002C7415" w:rsidRDefault="0002106C" w:rsidP="00DB06F0">
            <w:pPr>
              <w:rPr>
                <w:rFonts w:cs="Arial"/>
                <w:b w:val="0"/>
                <w:bCs w:val="0"/>
                <w:szCs w:val="20"/>
              </w:rPr>
            </w:pPr>
            <w:r>
              <w:rPr>
                <w:rFonts w:cs="Arial"/>
                <w:szCs w:val="20"/>
              </w:rPr>
              <w:t>Specification</w:t>
            </w:r>
          </w:p>
        </w:tc>
        <w:tc>
          <w:tcPr>
            <w:tcW w:w="8900" w:type="dxa"/>
          </w:tcPr>
          <w:p w14:paraId="65B1A645"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initiate UAT only after successfully meeting the exit criteria from the development phase. UAT initiation requires a ready UAT environment, completed test scripts, and seeded test data, all per the Department-approved Test Management Plan. The Contractor must notify the Department in writing upon meeting entry criteria and must obtain Department approval before starting UAT.</w:t>
            </w:r>
          </w:p>
        </w:tc>
      </w:tr>
      <w:tr w:rsidR="0002106C" w:rsidRPr="002C7415" w14:paraId="502DC2EC"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209AACF" w14:textId="77777777" w:rsidR="0002106C" w:rsidRPr="002C7415" w:rsidRDefault="0002106C" w:rsidP="00DB06F0">
            <w:pPr>
              <w:rPr>
                <w:rFonts w:cs="Arial"/>
                <w:b w:val="0"/>
                <w:bCs w:val="0"/>
                <w:szCs w:val="20"/>
              </w:rPr>
            </w:pPr>
            <w:r>
              <w:rPr>
                <w:rFonts w:cs="Arial"/>
                <w:szCs w:val="20"/>
              </w:rPr>
              <w:t>Service Level</w:t>
            </w:r>
          </w:p>
        </w:tc>
        <w:tc>
          <w:tcPr>
            <w:tcW w:w="8900" w:type="dxa"/>
          </w:tcPr>
          <w:p w14:paraId="07EAA7A3"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UAT must be initiated within three (3) business days of meeting development phase exit criteria, or as specified in the Test Management Plan, and only with documented Department approval of the development phase exit.</w:t>
            </w:r>
          </w:p>
        </w:tc>
      </w:tr>
      <w:tr w:rsidR="0002106C" w:rsidRPr="002C7415" w14:paraId="5B36D65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69BC61C" w14:textId="77777777" w:rsidR="0002106C" w:rsidRPr="002C7415" w:rsidRDefault="0002106C" w:rsidP="00DB06F0">
            <w:pPr>
              <w:rPr>
                <w:rFonts w:cs="Arial"/>
                <w:b w:val="0"/>
                <w:bCs w:val="0"/>
                <w:szCs w:val="20"/>
              </w:rPr>
            </w:pPr>
            <w:r>
              <w:rPr>
                <w:rFonts w:cs="Arial"/>
                <w:szCs w:val="20"/>
              </w:rPr>
              <w:t>Notes</w:t>
            </w:r>
          </w:p>
        </w:tc>
        <w:tc>
          <w:tcPr>
            <w:tcW w:w="8900" w:type="dxa"/>
          </w:tcPr>
          <w:p w14:paraId="210BC2A4"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Entry and exit criteria are defined in the Department-approved Test Management Plan. The Contractor must maintain a phase transition record for each wave or release showing exit criteria evidence, the entry-criteria notification to the Department, and the Department’s approval to initiate UAT.</w:t>
            </w:r>
          </w:p>
        </w:tc>
      </w:tr>
      <w:tr w:rsidR="0002106C" w:rsidRPr="002C7415" w14:paraId="5444EA75"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1C96307" w14:textId="77777777" w:rsidR="0002106C" w:rsidRPr="002C7415" w:rsidRDefault="0002106C" w:rsidP="00DB06F0">
            <w:pPr>
              <w:rPr>
                <w:rFonts w:cs="Arial"/>
                <w:b w:val="0"/>
                <w:bCs w:val="0"/>
                <w:szCs w:val="20"/>
              </w:rPr>
            </w:pPr>
            <w:r>
              <w:rPr>
                <w:rFonts w:cs="Arial"/>
                <w:szCs w:val="20"/>
              </w:rPr>
              <w:t>Reporting Frequency</w:t>
            </w:r>
          </w:p>
        </w:tc>
        <w:tc>
          <w:tcPr>
            <w:tcW w:w="8900" w:type="dxa"/>
          </w:tcPr>
          <w:p w14:paraId="05E8EFD1" w14:textId="2BD63EB8"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Compliance is evaluated per release under DDI scope. The Contractor consolidates the outcomes of all testing types executed during the testing phase into the Test Results Report and provides it to the Department with each Release, in accordance with </w:t>
            </w:r>
            <w:r>
              <w:rPr>
                <w:rFonts w:cs="Arial"/>
                <w:b/>
                <w:bCs/>
                <w:szCs w:val="20"/>
              </w:rPr>
              <w:t>Section 5.2.7 – System Testing</w:t>
            </w:r>
            <w:r>
              <w:rPr>
                <w:rFonts w:cs="Arial"/>
                <w:szCs w:val="20"/>
              </w:rPr>
              <w:t xml:space="preserve"> of the RFP.</w:t>
            </w:r>
          </w:p>
        </w:tc>
      </w:tr>
      <w:tr w:rsidR="0002106C" w:rsidRPr="002C7415" w14:paraId="10526EA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2E379EB" w14:textId="77777777" w:rsidR="0002106C" w:rsidRPr="002C7415" w:rsidRDefault="0002106C" w:rsidP="00DB06F0">
            <w:pPr>
              <w:rPr>
                <w:rFonts w:cs="Arial"/>
                <w:szCs w:val="20"/>
              </w:rPr>
            </w:pPr>
            <w:r>
              <w:rPr>
                <w:rFonts w:cs="Arial"/>
                <w:szCs w:val="20"/>
              </w:rPr>
              <w:t>SLA Calculations</w:t>
            </w:r>
          </w:p>
        </w:tc>
        <w:tc>
          <w:tcPr>
            <w:tcW w:w="8900" w:type="dxa"/>
          </w:tcPr>
          <w:p w14:paraId="1BC93066"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release. For each wave or release, the Contractor records the date development phase exit criteria were met, the date the Department’s approval to initiate UAT was received, and the date UAT was actually initiated. An initial service credit accrues per business day, or portion thereof, that UAT initiation exceeds three (3) business days from exit criteria being met (or the timeframe specified in the Test Management Plan). An additional per-occurrence service credit applies if UAT starts without documented approval of the Iterative Design and Development phase exit.</w:t>
            </w:r>
          </w:p>
        </w:tc>
      </w:tr>
      <w:tr w:rsidR="0002106C" w:rsidRPr="002C7415" w14:paraId="38FDA04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56AEB75" w14:textId="77777777" w:rsidR="0002106C" w:rsidRPr="002C7415" w:rsidRDefault="0002106C" w:rsidP="00DB06F0">
            <w:pPr>
              <w:rPr>
                <w:rFonts w:cs="Arial"/>
                <w:b w:val="0"/>
                <w:bCs w:val="0"/>
                <w:szCs w:val="20"/>
              </w:rPr>
            </w:pPr>
            <w:r>
              <w:rPr>
                <w:rFonts w:cs="Arial"/>
                <w:szCs w:val="20"/>
              </w:rPr>
              <w:t>SLA Calculations Definitions</w:t>
            </w:r>
          </w:p>
        </w:tc>
        <w:tc>
          <w:tcPr>
            <w:tcW w:w="8900" w:type="dxa"/>
          </w:tcPr>
          <w:p w14:paraId="31D7C098"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Development Phase Exit Criteria: </w:t>
            </w:r>
            <w:r>
              <w:rPr>
                <w:rFonts w:cs="Arial"/>
                <w:szCs w:val="20"/>
              </w:rPr>
              <w:t>The completion conditions for the development phase as defined in the Department-approved Test Management Plan.</w:t>
            </w:r>
          </w:p>
          <w:p w14:paraId="3D045FEF"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UAT Entry Criteria: </w:t>
            </w:r>
            <w:r>
              <w:rPr>
                <w:rFonts w:cs="Arial"/>
                <w:szCs w:val="20"/>
              </w:rPr>
              <w:t>The conditions that must be in place to begin UAT, including a ready environment, completed test scripts, and seeded test data, as defined in the Department-approved Test Management Plan.</w:t>
            </w:r>
          </w:p>
          <w:p w14:paraId="6BE1300F"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Phase Transition Approval: </w:t>
            </w:r>
            <w:r>
              <w:rPr>
                <w:rFonts w:cs="Arial"/>
                <w:szCs w:val="20"/>
              </w:rPr>
              <w:t>Written, time-stamped Department approval that the development phase has properly exited and UAT may be initiated.</w:t>
            </w:r>
          </w:p>
        </w:tc>
      </w:tr>
      <w:tr w:rsidR="0002106C" w:rsidRPr="002C7415" w14:paraId="7771BC3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4FB2600" w14:textId="77777777" w:rsidR="0002106C" w:rsidRPr="002C7415" w:rsidRDefault="0002106C" w:rsidP="00DB06F0">
            <w:pPr>
              <w:rPr>
                <w:rFonts w:cs="Arial"/>
                <w:b w:val="0"/>
                <w:bCs w:val="0"/>
                <w:szCs w:val="20"/>
              </w:rPr>
            </w:pPr>
            <w:r>
              <w:rPr>
                <w:rFonts w:cs="Arial"/>
                <w:szCs w:val="20"/>
              </w:rPr>
              <w:t>Exclusions</w:t>
            </w:r>
          </w:p>
        </w:tc>
        <w:tc>
          <w:tcPr>
            <w:tcW w:w="8900" w:type="dxa"/>
          </w:tcPr>
          <w:p w14:paraId="61EDB626"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delays in UAT initiation caused by the Department’s failure to respond to a complete entry-criteria notification within the timeframes defined in the Test Management Plan. The Contractor is responsible for demonstrating any claimed exclusion.</w:t>
            </w:r>
          </w:p>
        </w:tc>
      </w:tr>
      <w:tr w:rsidR="0002106C" w:rsidRPr="002C7415" w14:paraId="38E0E5D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14ED08A" w14:textId="77777777" w:rsidR="0002106C" w:rsidRPr="002C7415" w:rsidRDefault="0002106C" w:rsidP="00DB06F0">
            <w:pPr>
              <w:rPr>
                <w:rFonts w:cs="Arial"/>
                <w:b w:val="0"/>
                <w:bCs w:val="0"/>
                <w:szCs w:val="20"/>
              </w:rPr>
            </w:pPr>
            <w:r>
              <w:rPr>
                <w:rFonts w:cs="Arial"/>
                <w:szCs w:val="20"/>
              </w:rPr>
              <w:t>Process to Compile and Report SLA</w:t>
            </w:r>
          </w:p>
        </w:tc>
        <w:tc>
          <w:tcPr>
            <w:tcW w:w="8900" w:type="dxa"/>
          </w:tcPr>
          <w:p w14:paraId="27A32576"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For each wave or release, the Contractor must capture and retain, at a minimum, the following: phase transition approval records; the entry-criteria notification email or equivalent record; the relevant excerpts of the Test Management Plan defining entry and exit criteria; the date exit </w:t>
            </w:r>
            <w:r>
              <w:rPr>
                <w:rFonts w:cs="Arial"/>
                <w:szCs w:val="20"/>
              </w:rPr>
              <w:lastRenderedPageBreak/>
              <w:t>criteria were met; the Department’s approval timestamp; and the actual UAT initiation timestamp. The monthly UAT Phase Compliance Report aggregates these records across all waves and releases in the period, identifies any non-compliant transitions, and totals service credits accrued.</w:t>
            </w:r>
          </w:p>
        </w:tc>
      </w:tr>
      <w:tr w:rsidR="0002106C" w:rsidRPr="002C7415" w14:paraId="41190DA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6DEA8B3" w14:textId="77777777" w:rsidR="0002106C" w:rsidRPr="002C7415" w:rsidRDefault="0002106C" w:rsidP="00DB06F0">
            <w:pPr>
              <w:rPr>
                <w:rFonts w:cs="Arial"/>
                <w:b w:val="0"/>
                <w:bCs w:val="0"/>
                <w:szCs w:val="20"/>
              </w:rPr>
            </w:pPr>
            <w:r>
              <w:rPr>
                <w:rFonts w:cs="Arial"/>
                <w:szCs w:val="20"/>
              </w:rPr>
              <w:lastRenderedPageBreak/>
              <w:t>Converged E&amp;E System and AMS Service Credit</w:t>
            </w:r>
          </w:p>
        </w:tc>
        <w:tc>
          <w:tcPr>
            <w:tcW w:w="8900" w:type="dxa"/>
          </w:tcPr>
          <w:p w14:paraId="46FA9FF6"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Start (Initial Service Credit):</w:t>
            </w:r>
            <w:r>
              <w:rPr>
                <w:rFonts w:cs="Arial"/>
                <w:szCs w:val="20"/>
              </w:rPr>
              <w:t xml:space="preserve"> Failure to initiate UAT within three (3) business days of meeting the exit criteria from development, or as specified in the PMP, results in a service credit of five thousand dollars ($5,000) per business day delayed.</w:t>
            </w:r>
          </w:p>
          <w:p w14:paraId="17D77E68"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Unauthorized Start (Additional Service Credit):</w:t>
            </w:r>
            <w:r>
              <w:rPr>
                <w:rFonts w:cs="Arial"/>
                <w:szCs w:val="20"/>
              </w:rPr>
              <w:t xml:space="preserve"> If UAT starts without documented approval of the development phase exit, an additional service credit of ten thousand dollars ($10,000) per occurrence applies.</w:t>
            </w:r>
          </w:p>
        </w:tc>
      </w:tr>
    </w:tbl>
    <w:p w14:paraId="21AFA0C8" w14:textId="1442E11C" w:rsidR="0002106C" w:rsidRPr="002C7415" w:rsidRDefault="0002106C" w:rsidP="0002106C">
      <w:pPr>
        <w:pStyle w:val="HeadingSLA"/>
      </w:pPr>
      <w:bookmarkStart w:id="52" w:name="_Toc230258222"/>
      <w:bookmarkStart w:id="53" w:name="_Toc233199142"/>
      <w:r>
        <w:t>User Acceptance Testing Test Script Development and Review Timeliness</w:t>
      </w:r>
      <w:bookmarkEnd w:id="52"/>
      <w:bookmarkEnd w:id="53"/>
    </w:p>
    <w:tbl>
      <w:tblPr>
        <w:tblStyle w:val="DOH-LeftHeader"/>
        <w:tblW w:w="4998" w:type="pct"/>
        <w:tblLayout w:type="fixed"/>
        <w:tblLook w:val="0480" w:firstRow="0" w:lastRow="0" w:firstColumn="1" w:lastColumn="0" w:noHBand="0" w:noVBand="1"/>
      </w:tblPr>
      <w:tblGrid>
        <w:gridCol w:w="1886"/>
        <w:gridCol w:w="8900"/>
      </w:tblGrid>
      <w:tr w:rsidR="0002106C" w:rsidRPr="002C7415" w14:paraId="1728BB7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9B7E7A1" w14:textId="77777777" w:rsidR="0002106C" w:rsidRPr="002C7415" w:rsidRDefault="0002106C" w:rsidP="00DB06F0">
            <w:pPr>
              <w:rPr>
                <w:rFonts w:cs="Arial"/>
                <w:b w:val="0"/>
                <w:bCs w:val="0"/>
                <w:szCs w:val="20"/>
              </w:rPr>
            </w:pPr>
            <w:r>
              <w:rPr>
                <w:rFonts w:cs="Arial"/>
                <w:szCs w:val="20"/>
              </w:rPr>
              <w:t>Purpose</w:t>
            </w:r>
          </w:p>
        </w:tc>
        <w:tc>
          <w:tcPr>
            <w:tcW w:w="8900" w:type="dxa"/>
          </w:tcPr>
          <w:p w14:paraId="4F3DF68F"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protects the test script review window and ensures scripts are ready for execution. The Department needs adequate time to review test scripts before UAT begins. If the Contractor delivers scripts late, produces low-quality scripts, or ignores review comments, it compresses the review window and forces the Department to choose between starting UAT on time or starting it with confidence. </w:t>
            </w:r>
          </w:p>
        </w:tc>
      </w:tr>
      <w:tr w:rsidR="0002106C" w:rsidRPr="002C7415" w14:paraId="6D0B104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0ABC2AF" w14:textId="77777777" w:rsidR="0002106C" w:rsidRPr="002C7415" w:rsidRDefault="0002106C" w:rsidP="00DB06F0">
            <w:pPr>
              <w:rPr>
                <w:rFonts w:cs="Arial"/>
                <w:b w:val="0"/>
                <w:bCs w:val="0"/>
                <w:szCs w:val="20"/>
              </w:rPr>
            </w:pPr>
            <w:r>
              <w:rPr>
                <w:rFonts w:cs="Arial"/>
                <w:szCs w:val="20"/>
              </w:rPr>
              <w:t>Specification</w:t>
            </w:r>
          </w:p>
        </w:tc>
        <w:tc>
          <w:tcPr>
            <w:tcW w:w="8900" w:type="dxa"/>
          </w:tcPr>
          <w:p w14:paraId="285864E1" w14:textId="77777777" w:rsidR="0002106C" w:rsidRPr="007610E9" w:rsidRDefault="0002106C" w:rsidP="00DB06F0">
            <w:pPr>
              <w:cnfStyle w:val="000000010000" w:firstRow="0" w:lastRow="0" w:firstColumn="0" w:lastColumn="0" w:oddVBand="0" w:evenVBand="0" w:oddHBand="0" w:evenHBand="1" w:firstRowFirstColumn="0" w:firstRowLastColumn="0" w:lastRowFirstColumn="0" w:lastRowLastColumn="0"/>
            </w:pPr>
            <w:r>
              <w:t>The Contractor must develop and submit all UAT test scripts, including scenario development, at least five (5) business days prior to the scheduled UAT start date per the approved Release Schedule.</w:t>
            </w:r>
          </w:p>
          <w:p w14:paraId="6222D325" w14:textId="77777777" w:rsidR="0002106C" w:rsidRPr="007610E9" w:rsidRDefault="0002106C" w:rsidP="00DB06F0">
            <w:pPr>
              <w:cnfStyle w:val="000000010000" w:firstRow="0" w:lastRow="0" w:firstColumn="0" w:lastColumn="0" w:oddVBand="0" w:evenVBand="0" w:oddHBand="0" w:evenHBand="1" w:firstRowFirstColumn="0" w:firstRowLastColumn="0" w:lastRowFirstColumn="0" w:lastRowLastColumn="0"/>
            </w:pPr>
            <w:r>
              <w:t>Scripts must incorporate all Department comments from prior reviews within three (3) business days of receipt. All scripts must meet Department-approved quality standards, including coverage of requirements, clarity, and reproducibility, and must be ready for execution at UAT initiation.</w:t>
            </w:r>
          </w:p>
        </w:tc>
      </w:tr>
      <w:tr w:rsidR="0002106C" w:rsidRPr="002C7415" w14:paraId="472433A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C7B50F9" w14:textId="77777777" w:rsidR="0002106C" w:rsidRPr="002C7415" w:rsidRDefault="0002106C" w:rsidP="00DB06F0">
            <w:pPr>
              <w:rPr>
                <w:rFonts w:cs="Arial"/>
                <w:b w:val="0"/>
                <w:bCs w:val="0"/>
                <w:szCs w:val="20"/>
              </w:rPr>
            </w:pPr>
            <w:r>
              <w:rPr>
                <w:rFonts w:cs="Arial"/>
                <w:szCs w:val="20"/>
              </w:rPr>
              <w:t>Service Level</w:t>
            </w:r>
          </w:p>
        </w:tc>
        <w:tc>
          <w:tcPr>
            <w:tcW w:w="8900" w:type="dxa"/>
          </w:tcPr>
          <w:p w14:paraId="01DE45B0"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Complete test scripts must be submitted at least five (5) business days before each UAT start date, and all Department comments from prior reviews must be incorporated within three (3) business days of receipt.</w:t>
            </w:r>
          </w:p>
        </w:tc>
      </w:tr>
      <w:tr w:rsidR="0002106C" w:rsidRPr="002C7415" w14:paraId="12A8D32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2DD4DEE" w14:textId="77777777" w:rsidR="0002106C" w:rsidRPr="002C7415" w:rsidRDefault="0002106C" w:rsidP="00DB06F0">
            <w:pPr>
              <w:rPr>
                <w:rFonts w:cs="Arial"/>
                <w:b w:val="0"/>
                <w:bCs w:val="0"/>
                <w:szCs w:val="20"/>
              </w:rPr>
            </w:pPr>
            <w:r>
              <w:rPr>
                <w:rFonts w:cs="Arial"/>
                <w:szCs w:val="20"/>
              </w:rPr>
              <w:t>Notes</w:t>
            </w:r>
          </w:p>
        </w:tc>
        <w:tc>
          <w:tcPr>
            <w:tcW w:w="8900" w:type="dxa"/>
          </w:tcPr>
          <w:p w14:paraId="0F0374E9"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Scripts are managed in the Department’s preferred tool (Jira). Department comments are delivered via the same tool and timestamped. Quality standards (coverage, clarity, reproducibility) are defined and approved by the Department in advance.</w:t>
            </w:r>
          </w:p>
        </w:tc>
      </w:tr>
      <w:tr w:rsidR="0002106C" w:rsidRPr="002C7415" w14:paraId="6B595C3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1B87393" w14:textId="77777777" w:rsidR="0002106C" w:rsidRPr="002C7415" w:rsidRDefault="0002106C" w:rsidP="00DB06F0">
            <w:pPr>
              <w:rPr>
                <w:rFonts w:cs="Arial"/>
                <w:b w:val="0"/>
                <w:bCs w:val="0"/>
                <w:szCs w:val="20"/>
              </w:rPr>
            </w:pPr>
            <w:r>
              <w:rPr>
                <w:rFonts w:cs="Arial"/>
                <w:szCs w:val="20"/>
              </w:rPr>
              <w:t>Reporting Frequency</w:t>
            </w:r>
          </w:p>
        </w:tc>
        <w:tc>
          <w:tcPr>
            <w:tcW w:w="8900" w:type="dxa"/>
          </w:tcPr>
          <w:p w14:paraId="4C36BF65"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Compliance is evaluated for each UAT cycle. The Contractor must provide compliance data to the Department in the Test Results Report for each cycle, which is then summarized in the Monthly DDI Status Report.</w:t>
            </w:r>
          </w:p>
        </w:tc>
      </w:tr>
      <w:tr w:rsidR="0002106C" w:rsidRPr="002C7415" w14:paraId="4D8E501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E343BC4" w14:textId="77777777" w:rsidR="0002106C" w:rsidRPr="002C7415" w:rsidRDefault="0002106C" w:rsidP="00DB06F0">
            <w:pPr>
              <w:rPr>
                <w:rFonts w:cs="Arial"/>
                <w:szCs w:val="20"/>
              </w:rPr>
            </w:pPr>
            <w:r>
              <w:rPr>
                <w:rFonts w:cs="Arial"/>
                <w:szCs w:val="20"/>
              </w:rPr>
              <w:t>SLA Calculations</w:t>
            </w:r>
          </w:p>
        </w:tc>
        <w:tc>
          <w:tcPr>
            <w:tcW w:w="8900" w:type="dxa"/>
          </w:tcPr>
          <w:p w14:paraId="14E5C39E"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UAT cycle and per script. For each UAT cycle, the Contractor records the script submission timestamp against the scheduled UAT start date. Each business day, or portion thereof, that submission is late accrues a per-cycle credit. For each script with Department comments, the Contractor records the comment receipt timestamp and the incorporation timestamp. A per-script credit applies for any script where comments are not incorporated within three (3) business days, plus an additional per-business-day credit until resolved.</w:t>
            </w:r>
          </w:p>
        </w:tc>
      </w:tr>
      <w:tr w:rsidR="0002106C" w:rsidRPr="002C7415" w14:paraId="4E577A0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7A2D446" w14:textId="77777777" w:rsidR="0002106C" w:rsidRPr="002C7415" w:rsidRDefault="0002106C" w:rsidP="00DB06F0">
            <w:pPr>
              <w:rPr>
                <w:rFonts w:cs="Arial"/>
                <w:b w:val="0"/>
                <w:bCs w:val="0"/>
                <w:szCs w:val="20"/>
              </w:rPr>
            </w:pPr>
            <w:r>
              <w:rPr>
                <w:rFonts w:cs="Arial"/>
                <w:szCs w:val="20"/>
              </w:rPr>
              <w:t>SLA Calculations Definitions</w:t>
            </w:r>
          </w:p>
        </w:tc>
        <w:tc>
          <w:tcPr>
            <w:tcW w:w="8900" w:type="dxa"/>
          </w:tcPr>
          <w:p w14:paraId="6CB6666E"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Complete Test Scripts: </w:t>
            </w:r>
            <w:r>
              <w:rPr>
                <w:rFonts w:cs="Arial"/>
                <w:szCs w:val="20"/>
              </w:rPr>
              <w:t>All UAT test scripts for the cycle, including scenario development, that meet Department-approved quality standards for coverage, clarity, and reproducibility, and are ready for execution at UAT initiation.</w:t>
            </w:r>
          </w:p>
          <w:p w14:paraId="2C848478"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Department Comments: </w:t>
            </w:r>
            <w:r>
              <w:rPr>
                <w:rFonts w:cs="Arial"/>
                <w:szCs w:val="20"/>
              </w:rPr>
              <w:t>Review feedback issued by the Department on previously submitted scripts, delivered through the Department-approved tool with a time stamp.</w:t>
            </w:r>
          </w:p>
          <w:p w14:paraId="72DAC8D5"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Incorporation: </w:t>
            </w:r>
            <w:r>
              <w:rPr>
                <w:rFonts w:cs="Arial"/>
                <w:szCs w:val="20"/>
              </w:rPr>
              <w:t>The act of updating a script to address all Department comments, documented in the Department-approved tool with a time stamp.</w:t>
            </w:r>
          </w:p>
        </w:tc>
      </w:tr>
      <w:tr w:rsidR="0002106C" w:rsidRPr="002C7415" w14:paraId="60E4842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CF1590E" w14:textId="77777777" w:rsidR="0002106C" w:rsidRPr="002C7415" w:rsidRDefault="0002106C" w:rsidP="00DB06F0">
            <w:pPr>
              <w:rPr>
                <w:rFonts w:cs="Arial"/>
                <w:b w:val="0"/>
                <w:bCs w:val="0"/>
                <w:szCs w:val="20"/>
              </w:rPr>
            </w:pPr>
            <w:r>
              <w:rPr>
                <w:rFonts w:cs="Arial"/>
                <w:szCs w:val="20"/>
              </w:rPr>
              <w:lastRenderedPageBreak/>
              <w:t>Exclusions</w:t>
            </w:r>
          </w:p>
        </w:tc>
        <w:tc>
          <w:tcPr>
            <w:tcW w:w="8900" w:type="dxa"/>
          </w:tcPr>
          <w:p w14:paraId="21F220E4"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delays caused by Department-directed scope changes that materially expand the script set after submission has begun. The Contractor is responsible for demonstrating any claimed exclusion.</w:t>
            </w:r>
          </w:p>
        </w:tc>
      </w:tr>
      <w:tr w:rsidR="0002106C" w:rsidRPr="002C7415" w14:paraId="00DB12F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9AE7DEC" w14:textId="77777777" w:rsidR="0002106C" w:rsidRPr="002C7415" w:rsidRDefault="0002106C" w:rsidP="00DB06F0">
            <w:pPr>
              <w:rPr>
                <w:rFonts w:cs="Arial"/>
                <w:b w:val="0"/>
                <w:bCs w:val="0"/>
                <w:szCs w:val="20"/>
              </w:rPr>
            </w:pPr>
            <w:r>
              <w:rPr>
                <w:rFonts w:cs="Arial"/>
                <w:szCs w:val="20"/>
              </w:rPr>
              <w:t>Process to Compile and Report SLA</w:t>
            </w:r>
          </w:p>
        </w:tc>
        <w:tc>
          <w:tcPr>
            <w:tcW w:w="8900" w:type="dxa"/>
          </w:tcPr>
          <w:p w14:paraId="76219196"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UAT cycle, the Contractor must capture and retain: The test script repository or log entries with timestamps for submission, reviews, and updates. Department approval emails. Defect or comment logs showing incorporation. The Contractor must aggregate these records in the Test Results Report. This report must identify late submissions and unincorporated comments, and total all accrued service credits. All artifacts must be available to the Department on request.</w:t>
            </w:r>
          </w:p>
        </w:tc>
      </w:tr>
      <w:tr w:rsidR="0002106C" w:rsidRPr="002C7415" w14:paraId="535969C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F726D4E" w14:textId="77777777" w:rsidR="0002106C" w:rsidRPr="002C7415" w:rsidRDefault="0002106C" w:rsidP="00DB06F0">
            <w:pPr>
              <w:rPr>
                <w:rFonts w:cs="Arial"/>
                <w:b w:val="0"/>
                <w:bCs w:val="0"/>
                <w:szCs w:val="20"/>
              </w:rPr>
            </w:pPr>
            <w:r>
              <w:rPr>
                <w:rFonts w:cs="Arial"/>
                <w:szCs w:val="20"/>
              </w:rPr>
              <w:t>Converged E&amp;E System and AMS Service Credit</w:t>
            </w:r>
          </w:p>
        </w:tc>
        <w:tc>
          <w:tcPr>
            <w:tcW w:w="8900" w:type="dxa"/>
          </w:tcPr>
          <w:p w14:paraId="13D84DAA"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Late Submission (Initial Service Credit):</w:t>
            </w:r>
            <w:r>
              <w:rPr>
                <w:rFonts w:cs="Arial"/>
                <w:szCs w:val="20"/>
              </w:rPr>
              <w:t xml:space="preserve"> Failure to submit complete test scripts at least five (5) business days before the scheduled UAT start date results in a service credit of two thousand five hundred dollars ($2,500) per business day delayed, per UAT cycle.</w:t>
            </w:r>
          </w:p>
          <w:p w14:paraId="6C28293A"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Comment Revisions (Initial Service Credit):</w:t>
            </w:r>
            <w:r>
              <w:rPr>
                <w:rFonts w:cs="Arial"/>
                <w:szCs w:val="20"/>
              </w:rPr>
              <w:t xml:space="preserve"> Failure to incorporate Department comments within three (3) business days of receipt results in a service credit of one thousand dollars ($1,000) per script affected.</w:t>
            </w:r>
          </w:p>
          <w:p w14:paraId="5BC2984B"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Delayed Response (Additional Service Credit):</w:t>
            </w:r>
            <w:r>
              <w:rPr>
                <w:rFonts w:cs="Arial"/>
                <w:szCs w:val="20"/>
              </w:rPr>
              <w:t xml:space="preserve"> If the Department comments are not addressed and incorporated into the test scripts after three (3) business days, an additional service credit of five hundred dollars ($500) per business day, or portion thereof, is applied until the comments are incorporated. The additional service credit begins on business day four (4).</w:t>
            </w:r>
          </w:p>
        </w:tc>
      </w:tr>
    </w:tbl>
    <w:p w14:paraId="662BCC7E" w14:textId="64C2BA2C" w:rsidR="0002106C" w:rsidRPr="002C7415" w:rsidRDefault="0002106C" w:rsidP="0002106C">
      <w:pPr>
        <w:pStyle w:val="HeadingSLA"/>
      </w:pPr>
      <w:bookmarkStart w:id="54" w:name="_Toc230258223"/>
      <w:bookmarkStart w:id="55" w:name="_Toc233199143"/>
      <w:r>
        <w:t>User Acceptance Testing Data Seeding Timeliness and Quality</w:t>
      </w:r>
      <w:bookmarkEnd w:id="54"/>
      <w:bookmarkEnd w:id="55"/>
    </w:p>
    <w:tbl>
      <w:tblPr>
        <w:tblStyle w:val="DOH-LeftHeader"/>
        <w:tblW w:w="4998" w:type="pct"/>
        <w:tblLayout w:type="fixed"/>
        <w:tblLook w:val="0480" w:firstRow="0" w:lastRow="0" w:firstColumn="1" w:lastColumn="0" w:noHBand="0" w:noVBand="1"/>
      </w:tblPr>
      <w:tblGrid>
        <w:gridCol w:w="1886"/>
        <w:gridCol w:w="8900"/>
      </w:tblGrid>
      <w:tr w:rsidR="0002106C" w:rsidRPr="002C7415" w14:paraId="50EE59B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950E181" w14:textId="77777777" w:rsidR="0002106C" w:rsidRPr="002C7415" w:rsidRDefault="0002106C" w:rsidP="00DB06F0">
            <w:pPr>
              <w:rPr>
                <w:rFonts w:cs="Arial"/>
                <w:b w:val="0"/>
                <w:bCs w:val="0"/>
                <w:szCs w:val="20"/>
              </w:rPr>
            </w:pPr>
            <w:r>
              <w:rPr>
                <w:rFonts w:cs="Arial"/>
                <w:szCs w:val="20"/>
              </w:rPr>
              <w:t>Purpose</w:t>
            </w:r>
          </w:p>
        </w:tc>
        <w:tc>
          <w:tcPr>
            <w:tcW w:w="8900" w:type="dxa"/>
          </w:tcPr>
          <w:p w14:paraId="6EE7E2A2"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holds the Contractor accountable for providing high-quality test data on a strict timeline. UAT must start on time with realistic, working data. Late data seeding, error-ridden data, or last-minute scrambles to partner agencies force the testing schedule to slip or run on data that does not match reality. </w:t>
            </w:r>
          </w:p>
        </w:tc>
      </w:tr>
      <w:tr w:rsidR="0002106C" w:rsidRPr="002C7415" w14:paraId="7841C6E4"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2F47481" w14:textId="77777777" w:rsidR="0002106C" w:rsidRPr="002C7415" w:rsidRDefault="0002106C" w:rsidP="00DB06F0">
            <w:pPr>
              <w:rPr>
                <w:rFonts w:cs="Arial"/>
                <w:b w:val="0"/>
                <w:bCs w:val="0"/>
                <w:szCs w:val="20"/>
              </w:rPr>
            </w:pPr>
            <w:r>
              <w:rPr>
                <w:rFonts w:cs="Arial"/>
                <w:szCs w:val="20"/>
              </w:rPr>
              <w:t>Specification</w:t>
            </w:r>
          </w:p>
        </w:tc>
        <w:tc>
          <w:tcPr>
            <w:tcW w:w="8900" w:type="dxa"/>
          </w:tcPr>
          <w:p w14:paraId="57266D73"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complete data seeding for UAT environments at least three (3) business days prior to UAT start. Seeding must be performed by experienced personnel with a minimum of two (2) years in similar systems and must produce data that is accurate, complete, and relevant to the planned test scenarios. Data must be validated against requirements, free of errors, and must not require last-minute outreach to partner agencies. The Contractor must provide a seeding report confirming quality checks.</w:t>
            </w:r>
          </w:p>
        </w:tc>
      </w:tr>
      <w:tr w:rsidR="0002106C" w:rsidRPr="002C7415" w14:paraId="00B6562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E780B2C" w14:textId="77777777" w:rsidR="0002106C" w:rsidRPr="002C7415" w:rsidRDefault="0002106C" w:rsidP="00DB06F0">
            <w:pPr>
              <w:rPr>
                <w:rFonts w:cs="Arial"/>
                <w:b w:val="0"/>
                <w:bCs w:val="0"/>
                <w:szCs w:val="20"/>
              </w:rPr>
            </w:pPr>
            <w:r>
              <w:rPr>
                <w:rFonts w:cs="Arial"/>
                <w:szCs w:val="20"/>
              </w:rPr>
              <w:t>Service Level</w:t>
            </w:r>
          </w:p>
        </w:tc>
        <w:tc>
          <w:tcPr>
            <w:tcW w:w="8900" w:type="dxa"/>
          </w:tcPr>
          <w:p w14:paraId="2E5151A8"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Data seeding must be completed at least three (3) business days before each UAT start, validated against requirements, free of errors, and supported by a seeding report.</w:t>
            </w:r>
          </w:p>
        </w:tc>
      </w:tr>
      <w:tr w:rsidR="0002106C" w:rsidRPr="002C7415" w14:paraId="3BB861F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E12D706" w14:textId="77777777" w:rsidR="0002106C" w:rsidRPr="002C7415" w:rsidRDefault="0002106C" w:rsidP="00DB06F0">
            <w:pPr>
              <w:rPr>
                <w:rFonts w:cs="Arial"/>
                <w:b w:val="0"/>
                <w:bCs w:val="0"/>
                <w:szCs w:val="20"/>
              </w:rPr>
            </w:pPr>
            <w:r>
              <w:rPr>
                <w:rFonts w:cs="Arial"/>
                <w:szCs w:val="20"/>
              </w:rPr>
              <w:t>Notes</w:t>
            </w:r>
          </w:p>
        </w:tc>
        <w:tc>
          <w:tcPr>
            <w:tcW w:w="8900" w:type="dxa"/>
          </w:tcPr>
          <w:p w14:paraId="63CFF35F"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Personnel qualifications must be documented in advance. Quality validation must be performed against the requirements baseline that governs the UAT cycle. The seeding report must list the quality checks performed and their outcomes.</w:t>
            </w:r>
          </w:p>
        </w:tc>
      </w:tr>
      <w:tr w:rsidR="0002106C" w:rsidRPr="002C7415" w14:paraId="7F5ECAE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B944F5A" w14:textId="77777777" w:rsidR="0002106C" w:rsidRPr="002C7415" w:rsidRDefault="0002106C" w:rsidP="00DB06F0">
            <w:pPr>
              <w:rPr>
                <w:rFonts w:cs="Arial"/>
                <w:b w:val="0"/>
                <w:bCs w:val="0"/>
                <w:szCs w:val="20"/>
              </w:rPr>
            </w:pPr>
            <w:r>
              <w:rPr>
                <w:rFonts w:cs="Arial"/>
                <w:szCs w:val="20"/>
              </w:rPr>
              <w:t>Reporting Frequency</w:t>
            </w:r>
          </w:p>
        </w:tc>
        <w:tc>
          <w:tcPr>
            <w:tcW w:w="8900" w:type="dxa"/>
          </w:tcPr>
          <w:p w14:paraId="73B4EFC2"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Compliance is evaluated for each UAT cycle. The Contractor must deliver the seeding report to the Department for each UAT cycle. The Contractor must summarize overall compliance in the Monthly DDI Status Report.</w:t>
            </w:r>
          </w:p>
        </w:tc>
      </w:tr>
      <w:tr w:rsidR="0002106C" w:rsidRPr="002C7415" w14:paraId="62EE2BB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29BE433" w14:textId="77777777" w:rsidR="0002106C" w:rsidRPr="002C7415" w:rsidRDefault="0002106C" w:rsidP="00DB06F0">
            <w:pPr>
              <w:rPr>
                <w:rFonts w:cs="Arial"/>
                <w:szCs w:val="20"/>
              </w:rPr>
            </w:pPr>
            <w:r>
              <w:rPr>
                <w:rFonts w:cs="Arial"/>
                <w:szCs w:val="20"/>
              </w:rPr>
              <w:t>SLA Calculations</w:t>
            </w:r>
          </w:p>
        </w:tc>
        <w:tc>
          <w:tcPr>
            <w:tcW w:w="8900" w:type="dxa"/>
          </w:tcPr>
          <w:p w14:paraId="618E6D57"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for each UAT cycle based on three (3) criteria:</w:t>
            </w:r>
          </w:p>
          <w:p w14:paraId="30058357"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Timeliness Check</w:t>
            </w:r>
            <w:r>
              <w:rPr>
                <w:rFonts w:cs="Arial"/>
                <w:szCs w:val="20"/>
              </w:rPr>
              <w:t>: The Contractor must record the seeding completion timestamp against the UAT start date. A per-cycle credit accrues for each business day, or portion thereof, of late completion.</w:t>
            </w:r>
          </w:p>
          <w:p w14:paraId="5E8C6730"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Quality Check</w:t>
            </w:r>
            <w:r>
              <w:rPr>
                <w:rFonts w:cs="Arial"/>
                <w:szCs w:val="20"/>
              </w:rPr>
              <w:t>: The Contractor must classify each quality issue identified during UAT. A major issue is one that affects more than ten percent (10%) of tests for the cycle. Any other issue is a minor issue.</w:t>
            </w:r>
          </w:p>
          <w:p w14:paraId="4B5F7A53"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Partner Outreach Check</w:t>
            </w:r>
            <w:r>
              <w:rPr>
                <w:rFonts w:cs="Arial"/>
                <w:szCs w:val="20"/>
              </w:rPr>
              <w:t>: Each occurrence of last-minute partner outreach is counted separately as a failure.</w:t>
            </w:r>
          </w:p>
          <w:p w14:paraId="28E48C7C"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NOTE: It is possible for one data seeding instance to incur all three (3) service credits.</w:t>
            </w:r>
          </w:p>
        </w:tc>
      </w:tr>
      <w:tr w:rsidR="0002106C" w:rsidRPr="002C7415" w14:paraId="3C2A680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60FEDEF" w14:textId="77777777" w:rsidR="0002106C" w:rsidRPr="002C7415" w:rsidRDefault="0002106C" w:rsidP="00DB06F0">
            <w:pPr>
              <w:rPr>
                <w:rFonts w:cs="Arial"/>
                <w:b w:val="0"/>
                <w:bCs w:val="0"/>
                <w:szCs w:val="20"/>
              </w:rPr>
            </w:pPr>
            <w:r>
              <w:rPr>
                <w:rFonts w:cs="Arial"/>
                <w:szCs w:val="20"/>
              </w:rPr>
              <w:lastRenderedPageBreak/>
              <w:t>SLA Calculations Definitions</w:t>
            </w:r>
          </w:p>
        </w:tc>
        <w:tc>
          <w:tcPr>
            <w:tcW w:w="8900" w:type="dxa"/>
          </w:tcPr>
          <w:p w14:paraId="0C27DD98"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Data Seeding: </w:t>
            </w:r>
            <w:r>
              <w:rPr>
                <w:rFonts w:cs="Arial"/>
                <w:szCs w:val="20"/>
              </w:rPr>
              <w:t>The loading and configuration of test data into UAT environments to support the planned test scenarios for a given UAT cycle.</w:t>
            </w:r>
          </w:p>
          <w:p w14:paraId="706CB5AE"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Major Issue: </w:t>
            </w:r>
            <w:r>
              <w:rPr>
                <w:rFonts w:cs="Arial"/>
                <w:szCs w:val="20"/>
              </w:rPr>
              <w:t>A data quality issue identified in UAT that affects more than ten percent (10%) of tests for the affected UAT cycle.</w:t>
            </w:r>
          </w:p>
          <w:p w14:paraId="1582CD86"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Minor Issue: </w:t>
            </w:r>
            <w:r>
              <w:rPr>
                <w:rFonts w:cs="Arial"/>
                <w:szCs w:val="20"/>
              </w:rPr>
              <w:t>A data quality issue identified in UAT that is not a Major Issue.</w:t>
            </w:r>
          </w:p>
          <w:p w14:paraId="56134427"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Last-Minute Partner Outreach: </w:t>
            </w:r>
            <w:r>
              <w:rPr>
                <w:rFonts w:cs="Arial"/>
                <w:szCs w:val="20"/>
              </w:rPr>
              <w:t>Outreach to a partner agency to obtain or correct UAT data within the three (3) business days before UAT start, or after UAT start, due to gaps or errors in seeded data.</w:t>
            </w:r>
          </w:p>
        </w:tc>
      </w:tr>
      <w:tr w:rsidR="0002106C" w:rsidRPr="002C7415" w14:paraId="27653F1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1E5C8E8" w14:textId="77777777" w:rsidR="0002106C" w:rsidRPr="002C7415" w:rsidRDefault="0002106C" w:rsidP="00DB06F0">
            <w:pPr>
              <w:rPr>
                <w:rFonts w:cs="Arial"/>
                <w:b w:val="0"/>
                <w:bCs w:val="0"/>
                <w:szCs w:val="20"/>
              </w:rPr>
            </w:pPr>
            <w:r>
              <w:rPr>
                <w:rFonts w:cs="Arial"/>
                <w:szCs w:val="20"/>
              </w:rPr>
              <w:t>Exclusions</w:t>
            </w:r>
          </w:p>
        </w:tc>
        <w:tc>
          <w:tcPr>
            <w:tcW w:w="8900" w:type="dxa"/>
          </w:tcPr>
          <w:p w14:paraId="2759497E"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issues caused by: (a) Department-directed scope or scenario changes after seeding completion; or (b) data unavailable from a partner agency for reasons outside the Contractor’s control, where the Contractor has documented timely requests. The Contractor is responsible for demonstrating any claimed exclusion.</w:t>
            </w:r>
          </w:p>
        </w:tc>
      </w:tr>
      <w:tr w:rsidR="0002106C" w:rsidRPr="002C7415" w14:paraId="6853DFF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2331B4A" w14:textId="77777777" w:rsidR="0002106C" w:rsidRPr="002C7415" w:rsidRDefault="0002106C" w:rsidP="00DB06F0">
            <w:pPr>
              <w:rPr>
                <w:rFonts w:cs="Arial"/>
                <w:b w:val="0"/>
                <w:bCs w:val="0"/>
                <w:szCs w:val="20"/>
              </w:rPr>
            </w:pPr>
            <w:r>
              <w:rPr>
                <w:rFonts w:cs="Arial"/>
                <w:szCs w:val="20"/>
              </w:rPr>
              <w:t>Process to Compile and Report SLA</w:t>
            </w:r>
          </w:p>
        </w:tc>
        <w:tc>
          <w:tcPr>
            <w:tcW w:w="8900" w:type="dxa"/>
          </w:tcPr>
          <w:p w14:paraId="2DAAEB55" w14:textId="77777777" w:rsidR="0002106C"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For each UAT cycle, the Contractor must capture and retain, at a minimum, the following: </w:t>
            </w:r>
          </w:p>
          <w:p w14:paraId="1112E2B0" w14:textId="77777777" w:rsidR="0002106C" w:rsidRDefault="0002106C" w:rsidP="00DB06F0">
            <w:pPr>
              <w:pStyle w:val="Bullet1"/>
              <w:cnfStyle w:val="000000000000" w:firstRow="0" w:lastRow="0" w:firstColumn="0" w:lastColumn="0" w:oddVBand="0" w:evenVBand="0" w:oddHBand="0" w:evenHBand="0" w:firstRowFirstColumn="0" w:firstRowLastColumn="0" w:lastRowFirstColumn="0" w:lastRowLastColumn="0"/>
            </w:pPr>
            <w:r>
              <w:t xml:space="preserve">Data seeding logs and reports with timestamps. </w:t>
            </w:r>
          </w:p>
          <w:p w14:paraId="1C8F465E" w14:textId="77777777" w:rsidR="0002106C" w:rsidRDefault="0002106C" w:rsidP="00DB06F0">
            <w:pPr>
              <w:pStyle w:val="Bullet1"/>
              <w:cnfStyle w:val="000000000000" w:firstRow="0" w:lastRow="0" w:firstColumn="0" w:lastColumn="0" w:oddVBand="0" w:evenVBand="0" w:oddHBand="0" w:evenHBand="0" w:firstRowFirstColumn="0" w:firstRowLastColumn="0" w:lastRowFirstColumn="0" w:lastRowLastColumn="0"/>
            </w:pPr>
            <w:r>
              <w:t xml:space="preserve">Personnel assignment records demonstrating the two (2) year experience minimum. </w:t>
            </w:r>
          </w:p>
          <w:p w14:paraId="3F8B421D" w14:textId="77777777" w:rsidR="0002106C" w:rsidRDefault="0002106C" w:rsidP="00DB06F0">
            <w:pPr>
              <w:pStyle w:val="Bullet1"/>
              <w:cnfStyle w:val="000000000000" w:firstRow="0" w:lastRow="0" w:firstColumn="0" w:lastColumn="0" w:oddVBand="0" w:evenVBand="0" w:oddHBand="0" w:evenHBand="0" w:firstRowFirstColumn="0" w:firstRowLastColumn="0" w:lastRowFirstColumn="0" w:lastRowLastColumn="0"/>
            </w:pPr>
            <w:r>
              <w:t xml:space="preserve">Validation checklists and error-rate measurements. </w:t>
            </w:r>
          </w:p>
          <w:p w14:paraId="5C7434B1" w14:textId="77777777" w:rsidR="0002106C" w:rsidRDefault="0002106C" w:rsidP="00DB06F0">
            <w:pPr>
              <w:pStyle w:val="Bullet1"/>
              <w:cnfStyle w:val="000000000000" w:firstRow="0" w:lastRow="0" w:firstColumn="0" w:lastColumn="0" w:oddVBand="0" w:evenVBand="0" w:oddHBand="0" w:evenHBand="0" w:firstRowFirstColumn="0" w:firstRowLastColumn="0" w:lastRowFirstColumn="0" w:lastRowLastColumn="0"/>
            </w:pPr>
            <w:r>
              <w:t xml:space="preserve">UAT defect logs linking specific defects to data issues. </w:t>
            </w:r>
          </w:p>
          <w:p w14:paraId="71164230" w14:textId="77777777" w:rsidR="0002106C" w:rsidRPr="002C7415" w:rsidRDefault="0002106C" w:rsidP="00DB06F0">
            <w:pPr>
              <w:pStyle w:val="Bullet1"/>
              <w:cnfStyle w:val="000000000000" w:firstRow="0" w:lastRow="0" w:firstColumn="0" w:lastColumn="0" w:oddVBand="0" w:evenVBand="0" w:oddHBand="0" w:evenHBand="0" w:firstRowFirstColumn="0" w:firstRowLastColumn="0" w:lastRowFirstColumn="0" w:lastRowLastColumn="0"/>
            </w:pPr>
            <w:r>
              <w:t>Confirmation that no last-minute outreach was required (or records of each occurrence if outreach did happen).</w:t>
            </w:r>
          </w:p>
          <w:p w14:paraId="7DF62E1C"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aggregate these records into the Monthly DDI Status Report. This report must classify any quality issues as major or minor, identify all outreach occurrences, and total all accrued service credits.</w:t>
            </w:r>
          </w:p>
        </w:tc>
      </w:tr>
      <w:tr w:rsidR="0002106C" w:rsidRPr="002C7415" w14:paraId="1960FBA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4C48B1A" w14:textId="77777777" w:rsidR="0002106C" w:rsidRPr="002C7415" w:rsidRDefault="0002106C" w:rsidP="00DB06F0">
            <w:pPr>
              <w:rPr>
                <w:rFonts w:cs="Arial"/>
                <w:b w:val="0"/>
                <w:bCs w:val="0"/>
                <w:szCs w:val="20"/>
              </w:rPr>
            </w:pPr>
            <w:r>
              <w:rPr>
                <w:rFonts w:cs="Arial"/>
                <w:szCs w:val="20"/>
              </w:rPr>
              <w:t>Converged E&amp;E System and AMS Service Credit</w:t>
            </w:r>
          </w:p>
        </w:tc>
        <w:tc>
          <w:tcPr>
            <w:tcW w:w="8900" w:type="dxa"/>
          </w:tcPr>
          <w:p w14:paraId="33196C5E"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Late Action (Initial Service Credit):</w:t>
            </w:r>
            <w:r>
              <w:rPr>
                <w:rFonts w:cs="Arial"/>
                <w:szCs w:val="20"/>
              </w:rPr>
              <w:t xml:space="preserve"> Failure to complete data seeding on time results in a service credit of three thousand dollars ($3,000) per business day delayed, per UAT cycle.</w:t>
            </w:r>
          </w:p>
          <w:p w14:paraId="715F18CE"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Data Quality (Initial Service Credit):</w:t>
            </w:r>
            <w:r>
              <w:rPr>
                <w:rFonts w:cs="Arial"/>
                <w:szCs w:val="20"/>
              </w:rPr>
              <w:t xml:space="preserve"> Poor data quality identified in UAT results in a service credit of one thousand dollars ($1,000) per major issue, defined as an issue affecting more than ten percent (10%) of tests, and five hundred dollars ($500) per minor issue.</w:t>
            </w:r>
          </w:p>
          <w:p w14:paraId="68477BB0"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Late Outreach (Initial Service Credit):</w:t>
            </w:r>
            <w:r>
              <w:rPr>
                <w:rFonts w:cs="Arial"/>
                <w:szCs w:val="20"/>
              </w:rPr>
              <w:t xml:space="preserve"> Each occurrence of last-minute outreach to partner agencies to address data gaps results in a service credit of two thousand dollars ($2,000).</w:t>
            </w:r>
          </w:p>
        </w:tc>
      </w:tr>
    </w:tbl>
    <w:p w14:paraId="1CDAB221" w14:textId="1D6D235F" w:rsidR="0002106C" w:rsidRPr="002C7415" w:rsidRDefault="0002106C" w:rsidP="0002106C">
      <w:pPr>
        <w:pStyle w:val="HeadingSLA"/>
      </w:pPr>
      <w:bookmarkStart w:id="56" w:name="_Toc230258224"/>
      <w:bookmarkStart w:id="57" w:name="_Toc233199144"/>
      <w:r>
        <w:t>User Acceptance Testing Scope and Change Control</w:t>
      </w:r>
      <w:bookmarkEnd w:id="56"/>
      <w:bookmarkEnd w:id="57"/>
    </w:p>
    <w:tbl>
      <w:tblPr>
        <w:tblStyle w:val="DOH-LeftHeader"/>
        <w:tblW w:w="4998" w:type="pct"/>
        <w:tblLayout w:type="fixed"/>
        <w:tblLook w:val="0480" w:firstRow="0" w:lastRow="0" w:firstColumn="1" w:lastColumn="0" w:noHBand="0" w:noVBand="1"/>
      </w:tblPr>
      <w:tblGrid>
        <w:gridCol w:w="1886"/>
        <w:gridCol w:w="8900"/>
      </w:tblGrid>
      <w:tr w:rsidR="0002106C" w:rsidRPr="002C7415" w14:paraId="7849388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CF04B32" w14:textId="77777777" w:rsidR="0002106C" w:rsidRPr="002C7415" w:rsidRDefault="0002106C" w:rsidP="00DB06F0">
            <w:pPr>
              <w:rPr>
                <w:rFonts w:cs="Arial"/>
                <w:b w:val="0"/>
                <w:bCs w:val="0"/>
                <w:szCs w:val="20"/>
              </w:rPr>
            </w:pPr>
            <w:r>
              <w:rPr>
                <w:rFonts w:cs="Arial"/>
                <w:szCs w:val="20"/>
              </w:rPr>
              <w:t>Purpose</w:t>
            </w:r>
          </w:p>
        </w:tc>
        <w:tc>
          <w:tcPr>
            <w:tcW w:w="8900" w:type="dxa"/>
          </w:tcPr>
          <w:p w14:paraId="79818145"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enforces strict scope discipline before and during UAT to prevent mid-test rule changes. UAT requires a stable, agreed-upon scope to be effective. Making coding changes or adding scope during UAT invalidates completed testing and wastes the Department’s review capacity. </w:t>
            </w:r>
          </w:p>
        </w:tc>
      </w:tr>
      <w:tr w:rsidR="0002106C" w:rsidRPr="002C7415" w14:paraId="6D50E46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C0AE55E" w14:textId="77777777" w:rsidR="0002106C" w:rsidRPr="002C7415" w:rsidRDefault="0002106C" w:rsidP="00DB06F0">
            <w:pPr>
              <w:rPr>
                <w:rFonts w:cs="Arial"/>
                <w:b w:val="0"/>
                <w:bCs w:val="0"/>
                <w:szCs w:val="20"/>
              </w:rPr>
            </w:pPr>
            <w:r>
              <w:rPr>
                <w:rFonts w:cs="Arial"/>
                <w:szCs w:val="20"/>
              </w:rPr>
              <w:t>Specification</w:t>
            </w:r>
          </w:p>
        </w:tc>
        <w:tc>
          <w:tcPr>
            <w:tcW w:w="8900" w:type="dxa"/>
          </w:tcPr>
          <w:p w14:paraId="390E1BE5"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resolve all assigned problem tickets and complete development for in-scope items at least five (5) business days before UAT start. No coding changes or scope additions are permitted during UAT without written Department approval. Any mid-UAT change approved by the Department must be documented in a change request that includes impact analysis.</w:t>
            </w:r>
          </w:p>
        </w:tc>
      </w:tr>
      <w:tr w:rsidR="0002106C" w:rsidRPr="002C7415" w14:paraId="778CB30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3561BF4" w14:textId="77777777" w:rsidR="0002106C" w:rsidRPr="002C7415" w:rsidRDefault="0002106C" w:rsidP="00DB06F0">
            <w:pPr>
              <w:rPr>
                <w:rFonts w:cs="Arial"/>
                <w:b w:val="0"/>
                <w:bCs w:val="0"/>
                <w:szCs w:val="20"/>
              </w:rPr>
            </w:pPr>
            <w:r>
              <w:rPr>
                <w:rFonts w:cs="Arial"/>
                <w:szCs w:val="20"/>
              </w:rPr>
              <w:t>Service Level</w:t>
            </w:r>
          </w:p>
        </w:tc>
        <w:tc>
          <w:tcPr>
            <w:tcW w:w="8900" w:type="dxa"/>
          </w:tcPr>
          <w:p w14:paraId="297B3AD4"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All assigned problem tickets must be resolved at least five (5) business days before UAT start, and zero (0) unapproved coding changes or scope additions may occur during UAT.</w:t>
            </w:r>
          </w:p>
        </w:tc>
      </w:tr>
      <w:tr w:rsidR="0002106C" w:rsidRPr="002C7415" w14:paraId="7E40BDB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BBCEF7A" w14:textId="77777777" w:rsidR="0002106C" w:rsidRPr="002C7415" w:rsidRDefault="0002106C" w:rsidP="00DB06F0">
            <w:pPr>
              <w:rPr>
                <w:rFonts w:cs="Arial"/>
                <w:b w:val="0"/>
                <w:bCs w:val="0"/>
                <w:szCs w:val="20"/>
              </w:rPr>
            </w:pPr>
            <w:r>
              <w:rPr>
                <w:rFonts w:cs="Arial"/>
                <w:szCs w:val="20"/>
              </w:rPr>
              <w:t>Notes</w:t>
            </w:r>
          </w:p>
        </w:tc>
        <w:tc>
          <w:tcPr>
            <w:tcW w:w="8900" w:type="dxa"/>
          </w:tcPr>
          <w:p w14:paraId="4A3C16BA"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Problem tickets are tracked in the Department’s preferred ticketing system (Jira). Change requests must include the changed item, the requirement or defect being addressed, the impact analysis, the affected test scope, and the Department approver.</w:t>
            </w:r>
          </w:p>
        </w:tc>
      </w:tr>
      <w:tr w:rsidR="0002106C" w:rsidRPr="002C7415" w14:paraId="0955E96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4BA7DF5" w14:textId="77777777" w:rsidR="0002106C" w:rsidRPr="002C7415" w:rsidRDefault="0002106C" w:rsidP="00DB06F0">
            <w:pPr>
              <w:rPr>
                <w:rFonts w:cs="Arial"/>
                <w:b w:val="0"/>
                <w:bCs w:val="0"/>
                <w:szCs w:val="20"/>
              </w:rPr>
            </w:pPr>
            <w:r>
              <w:rPr>
                <w:rFonts w:cs="Arial"/>
                <w:szCs w:val="20"/>
              </w:rPr>
              <w:t>Reporting Frequency</w:t>
            </w:r>
          </w:p>
        </w:tc>
        <w:tc>
          <w:tcPr>
            <w:tcW w:w="8900" w:type="dxa"/>
          </w:tcPr>
          <w:p w14:paraId="517ED248"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Compliance is evaluated per UAT cycle. A UAT Scope and Change Control Report is provided to the Department per cycle and summarized in a monthly rollup.</w:t>
            </w:r>
          </w:p>
        </w:tc>
      </w:tr>
      <w:tr w:rsidR="0002106C" w:rsidRPr="002C7415" w14:paraId="6549E35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FE8C933" w14:textId="77777777" w:rsidR="0002106C" w:rsidRPr="002C7415" w:rsidRDefault="0002106C" w:rsidP="00DB06F0">
            <w:pPr>
              <w:rPr>
                <w:rFonts w:cs="Arial"/>
                <w:szCs w:val="20"/>
              </w:rPr>
            </w:pPr>
            <w:r>
              <w:rPr>
                <w:rFonts w:cs="Arial"/>
                <w:szCs w:val="20"/>
              </w:rPr>
              <w:t>SLA Calculations</w:t>
            </w:r>
          </w:p>
        </w:tc>
        <w:tc>
          <w:tcPr>
            <w:tcW w:w="8900" w:type="dxa"/>
          </w:tcPr>
          <w:p w14:paraId="607B71C2"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Compliance is measured per UAT cycle. For ticket compliance, the Contractor records, for each assigned problem ticket, the assignment timestamp and resolution timestamp against the UAT </w:t>
            </w:r>
            <w:r>
              <w:rPr>
                <w:rFonts w:cs="Arial"/>
                <w:szCs w:val="20"/>
              </w:rPr>
              <w:lastRenderedPageBreak/>
              <w:t xml:space="preserve">start date. Each ticket not resolved by the deadline accrues a service credit per ticket per business day delayed. </w:t>
            </w:r>
          </w:p>
          <w:p w14:paraId="7AC7FD35"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For change control, the Contractor records every coding change or scope addition during UAT and confirms whether each was preceded by written Department approval. Each unapproved change is counted as one (1) occurrence, with an additional service credit where that change causes test failures or delays.</w:t>
            </w:r>
          </w:p>
        </w:tc>
      </w:tr>
      <w:tr w:rsidR="0002106C" w:rsidRPr="002C7415" w14:paraId="447CC7DF"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EA49CEF" w14:textId="77777777" w:rsidR="0002106C" w:rsidRPr="002C7415" w:rsidRDefault="0002106C" w:rsidP="00DB06F0">
            <w:pPr>
              <w:rPr>
                <w:rFonts w:cs="Arial"/>
                <w:b w:val="0"/>
                <w:bCs w:val="0"/>
                <w:szCs w:val="20"/>
              </w:rPr>
            </w:pPr>
            <w:r>
              <w:rPr>
                <w:rFonts w:cs="Arial"/>
                <w:szCs w:val="20"/>
              </w:rPr>
              <w:lastRenderedPageBreak/>
              <w:t>SLA Calculations Definitions</w:t>
            </w:r>
          </w:p>
        </w:tc>
        <w:tc>
          <w:tcPr>
            <w:tcW w:w="8900" w:type="dxa"/>
          </w:tcPr>
          <w:p w14:paraId="6C256C77"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Problem Ticket: </w:t>
            </w:r>
            <w:r>
              <w:rPr>
                <w:rFonts w:cs="Arial"/>
                <w:szCs w:val="20"/>
              </w:rPr>
              <w:t>An item tracked in the Department’s preferred ticketing system that represents a defect, request, or change assigned to the Contractor for resolution.</w:t>
            </w:r>
          </w:p>
          <w:p w14:paraId="72BF03CB"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Mid-UAT Change: </w:t>
            </w:r>
            <w:r>
              <w:rPr>
                <w:rFonts w:cs="Arial"/>
                <w:szCs w:val="20"/>
              </w:rPr>
              <w:t>Any coding change or scope addition introduced after UAT has begun.</w:t>
            </w:r>
          </w:p>
          <w:p w14:paraId="2501789C"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Change Request: </w:t>
            </w:r>
            <w:r>
              <w:rPr>
                <w:rFonts w:cs="Arial"/>
                <w:szCs w:val="20"/>
              </w:rPr>
              <w:t>A documented request for a mid-UAT change that includes the change description, impact analysis, affected test scope, and the Department’s written approval.</w:t>
            </w:r>
          </w:p>
        </w:tc>
      </w:tr>
      <w:tr w:rsidR="0002106C" w:rsidRPr="002C7415" w14:paraId="02B8335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20C8FA1" w14:textId="77777777" w:rsidR="0002106C" w:rsidRPr="002C7415" w:rsidRDefault="0002106C" w:rsidP="00DB06F0">
            <w:pPr>
              <w:rPr>
                <w:rFonts w:cs="Arial"/>
                <w:b w:val="0"/>
                <w:bCs w:val="0"/>
                <w:szCs w:val="20"/>
              </w:rPr>
            </w:pPr>
            <w:r>
              <w:rPr>
                <w:rFonts w:cs="Arial"/>
                <w:szCs w:val="20"/>
              </w:rPr>
              <w:t>Exclusions</w:t>
            </w:r>
          </w:p>
        </w:tc>
        <w:tc>
          <w:tcPr>
            <w:tcW w:w="8900" w:type="dxa"/>
          </w:tcPr>
          <w:p w14:paraId="36EED042"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Department-directed mid-UAT changes. The Contractor is responsible for demonstrating any claimed exclusion.</w:t>
            </w:r>
          </w:p>
        </w:tc>
      </w:tr>
      <w:tr w:rsidR="0002106C" w:rsidRPr="002C7415" w14:paraId="0EE89A9F"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F978140" w14:textId="77777777" w:rsidR="0002106C" w:rsidRPr="002C7415" w:rsidRDefault="0002106C" w:rsidP="00DB06F0">
            <w:pPr>
              <w:rPr>
                <w:rFonts w:cs="Arial"/>
                <w:b w:val="0"/>
                <w:bCs w:val="0"/>
                <w:szCs w:val="20"/>
              </w:rPr>
            </w:pPr>
            <w:r>
              <w:rPr>
                <w:rFonts w:cs="Arial"/>
                <w:szCs w:val="20"/>
              </w:rPr>
              <w:t>Process to Compile and Report SLA</w:t>
            </w:r>
          </w:p>
        </w:tc>
        <w:tc>
          <w:tcPr>
            <w:tcW w:w="8900" w:type="dxa"/>
          </w:tcPr>
          <w:p w14:paraId="224667DE"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UAT cycle, the Contractor must capture and retain, at a minimum: Problem ticket logs from the ticketing system (with assignment and resolution timestamps); Change request logs; Department approval records for any mid-UAT changes.</w:t>
            </w:r>
          </w:p>
          <w:p w14:paraId="020B848C"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aggregate these records in the Test Results Report. This report must identify tickets unresolved at the deadline, detail any unapproved mid-UAT changes, link unapproved changes to any resulting test failures or delays, and total all accrued service credits.</w:t>
            </w:r>
          </w:p>
        </w:tc>
      </w:tr>
      <w:tr w:rsidR="0002106C" w:rsidRPr="002C7415" w14:paraId="01C4A98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C807C3E" w14:textId="77777777" w:rsidR="0002106C" w:rsidRPr="002C7415" w:rsidRDefault="0002106C" w:rsidP="00DB06F0">
            <w:pPr>
              <w:rPr>
                <w:rFonts w:cs="Arial"/>
                <w:b w:val="0"/>
                <w:bCs w:val="0"/>
                <w:szCs w:val="20"/>
              </w:rPr>
            </w:pPr>
            <w:r>
              <w:rPr>
                <w:rFonts w:cs="Arial"/>
                <w:szCs w:val="20"/>
              </w:rPr>
              <w:t>Converged E&amp;E System and AMS Service Credit</w:t>
            </w:r>
          </w:p>
        </w:tc>
        <w:tc>
          <w:tcPr>
            <w:tcW w:w="8900" w:type="dxa"/>
          </w:tcPr>
          <w:p w14:paraId="382AFCAA"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Late Ticket Resolution (Initial Service Credit):</w:t>
            </w:r>
            <w:r>
              <w:rPr>
                <w:rFonts w:cs="Arial"/>
                <w:szCs w:val="20"/>
              </w:rPr>
              <w:t xml:space="preserve"> Failure to resolve assigned problem tickets at least five (5) business days before UAT start results in a service credit of one thousand five hundred dollars ($1,500) per ticket per business day delayed. </w:t>
            </w:r>
          </w:p>
          <w:p w14:paraId="642BCAB1"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Unapproved Changes (Initial Service Credit):</w:t>
            </w:r>
            <w:r>
              <w:rPr>
                <w:rFonts w:cs="Arial"/>
                <w:szCs w:val="20"/>
              </w:rPr>
              <w:t xml:space="preserve"> Unapproved coding changes or scope additions during UAT result in a service credit of five thousand dollars ($5,000) per occurrence</w:t>
            </w:r>
          </w:p>
          <w:p w14:paraId="7F0BC655"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Unapproved Change Testing Impact (Additional Service Credit):</w:t>
            </w:r>
            <w:r>
              <w:rPr>
                <w:rFonts w:cs="Arial"/>
                <w:szCs w:val="20"/>
              </w:rPr>
              <w:t xml:space="preserve"> An additional service credit of two thousand dollars ($2,000) per occurrence is applied where the unapproved change causes test failures or delays.</w:t>
            </w:r>
          </w:p>
        </w:tc>
      </w:tr>
    </w:tbl>
    <w:p w14:paraId="5CC32E3F" w14:textId="7EF2B0E0" w:rsidR="0002106C" w:rsidRPr="002C7415" w:rsidRDefault="0002106C" w:rsidP="0002106C">
      <w:pPr>
        <w:pStyle w:val="HeadingSLA"/>
      </w:pPr>
      <w:bookmarkStart w:id="58" w:name="_Toc230258225"/>
      <w:bookmarkStart w:id="59" w:name="_Toc233199145"/>
      <w:r>
        <w:t>User Acceptance Testing and Maintenance and Operations Testing Failure Rate and Resolution</w:t>
      </w:r>
      <w:bookmarkEnd w:id="58"/>
      <w:bookmarkEnd w:id="59"/>
    </w:p>
    <w:tbl>
      <w:tblPr>
        <w:tblStyle w:val="DOH-LeftHeader"/>
        <w:tblW w:w="4998" w:type="pct"/>
        <w:tblLayout w:type="fixed"/>
        <w:tblLook w:val="0480" w:firstRow="0" w:lastRow="0" w:firstColumn="1" w:lastColumn="0" w:noHBand="0" w:noVBand="1"/>
      </w:tblPr>
      <w:tblGrid>
        <w:gridCol w:w="1886"/>
        <w:gridCol w:w="8900"/>
      </w:tblGrid>
      <w:tr w:rsidR="0002106C" w:rsidRPr="002C7415" w14:paraId="15D0666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6D21448" w14:textId="77777777" w:rsidR="0002106C" w:rsidRPr="002C7415" w:rsidRDefault="0002106C" w:rsidP="00DB06F0">
            <w:pPr>
              <w:rPr>
                <w:rFonts w:cs="Arial"/>
                <w:b w:val="0"/>
                <w:bCs w:val="0"/>
                <w:szCs w:val="20"/>
              </w:rPr>
            </w:pPr>
            <w:r>
              <w:rPr>
                <w:rFonts w:cs="Arial"/>
                <w:szCs w:val="20"/>
              </w:rPr>
              <w:t>Purpose</w:t>
            </w:r>
          </w:p>
        </w:tc>
        <w:tc>
          <w:tcPr>
            <w:tcW w:w="8900" w:type="dxa"/>
          </w:tcPr>
          <w:p w14:paraId="0460EF7E"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purpose of this SLA is to ensure that builds delivered for UAT and M&amp;O testing demonstrate sufficient maturity and readiness. Establishing a minimum initial pass rate ensures high-quality deliverables, while strict resolution timelines enforce disciplined defect management.</w:t>
            </w:r>
          </w:p>
        </w:tc>
      </w:tr>
      <w:tr w:rsidR="0002106C" w:rsidRPr="002C7415" w14:paraId="2EFD6FC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6F45427" w14:textId="77777777" w:rsidR="0002106C" w:rsidRPr="002C7415" w:rsidRDefault="0002106C" w:rsidP="00DB06F0">
            <w:pPr>
              <w:rPr>
                <w:rFonts w:cs="Arial"/>
                <w:b w:val="0"/>
                <w:bCs w:val="0"/>
                <w:szCs w:val="20"/>
              </w:rPr>
            </w:pPr>
            <w:r>
              <w:rPr>
                <w:rFonts w:cs="Arial"/>
                <w:szCs w:val="20"/>
              </w:rPr>
              <w:t>Specification</w:t>
            </w:r>
          </w:p>
        </w:tc>
        <w:tc>
          <w:tcPr>
            <w:tcW w:w="8900" w:type="dxa"/>
          </w:tcPr>
          <w:p w14:paraId="164D4FDC"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During UAT and M&amp;O testing phases, the Contractor must achieve a minimum ninety-five percent (95%) pass rate on initial test execution per release. Failures must be resolved within five (5) business days, with no deferrals to future releases without written Department approval. A pass rate below ninety-five percent (95%), meaning a failure rate above five percent (5%), must trigger a root cause analysis report delivered to the Department.</w:t>
            </w:r>
          </w:p>
        </w:tc>
      </w:tr>
      <w:tr w:rsidR="0002106C" w:rsidRPr="002C7415" w14:paraId="461A72A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BB622B9" w14:textId="77777777" w:rsidR="0002106C" w:rsidRPr="002C7415" w:rsidRDefault="0002106C" w:rsidP="00DB06F0">
            <w:pPr>
              <w:rPr>
                <w:rFonts w:cs="Arial"/>
                <w:b w:val="0"/>
                <w:bCs w:val="0"/>
                <w:szCs w:val="20"/>
              </w:rPr>
            </w:pPr>
            <w:r>
              <w:rPr>
                <w:rFonts w:cs="Arial"/>
                <w:szCs w:val="20"/>
              </w:rPr>
              <w:t>Service Level</w:t>
            </w:r>
          </w:p>
        </w:tc>
        <w:tc>
          <w:tcPr>
            <w:tcW w:w="8900" w:type="dxa"/>
          </w:tcPr>
          <w:p w14:paraId="255EEF98"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At least ninety-five percent (95%) pass rate on initial test execution per release, with all failures resolved within five (5) business days unless deferred with written Department approval.</w:t>
            </w:r>
          </w:p>
        </w:tc>
      </w:tr>
      <w:tr w:rsidR="0002106C" w:rsidRPr="002C7415" w14:paraId="7D10443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FAC9793" w14:textId="77777777" w:rsidR="0002106C" w:rsidRPr="002C7415" w:rsidRDefault="0002106C" w:rsidP="00DB06F0">
            <w:pPr>
              <w:rPr>
                <w:rFonts w:cs="Arial"/>
                <w:b w:val="0"/>
                <w:bCs w:val="0"/>
                <w:szCs w:val="20"/>
              </w:rPr>
            </w:pPr>
            <w:r>
              <w:rPr>
                <w:rFonts w:cs="Arial"/>
                <w:szCs w:val="20"/>
              </w:rPr>
              <w:t>Notes</w:t>
            </w:r>
          </w:p>
        </w:tc>
        <w:tc>
          <w:tcPr>
            <w:tcW w:w="8900" w:type="dxa"/>
          </w:tcPr>
          <w:p w14:paraId="1B3FE3BB"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Tests are tracked in a Department-approved tool with pass, fail, and resolution status. Root cause analysis reports must follow a Department-approved template and must identify the underlying cause and corrective action for the failure pattern.</w:t>
            </w:r>
          </w:p>
        </w:tc>
      </w:tr>
      <w:tr w:rsidR="0002106C" w:rsidRPr="002C7415" w14:paraId="2693AB0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414DBAC" w14:textId="77777777" w:rsidR="0002106C" w:rsidRPr="002C7415" w:rsidRDefault="0002106C" w:rsidP="00DB06F0">
            <w:pPr>
              <w:rPr>
                <w:rFonts w:cs="Arial"/>
                <w:b w:val="0"/>
                <w:bCs w:val="0"/>
                <w:szCs w:val="20"/>
              </w:rPr>
            </w:pPr>
            <w:r>
              <w:rPr>
                <w:rFonts w:cs="Arial"/>
                <w:szCs w:val="20"/>
              </w:rPr>
              <w:t>Reporting Frequency</w:t>
            </w:r>
          </w:p>
        </w:tc>
        <w:tc>
          <w:tcPr>
            <w:tcW w:w="8900" w:type="dxa"/>
          </w:tcPr>
          <w:p w14:paraId="5F3C4799"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Per release plus monthly rollup summary. Compliance is evaluated per release or UAT cycle. A Test Failure Rate and Resolution Report is provided to the Department per release and summarized in a monthly rollup.</w:t>
            </w:r>
          </w:p>
        </w:tc>
      </w:tr>
      <w:tr w:rsidR="0002106C" w:rsidRPr="002C7415" w14:paraId="5A3E3A3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A13E07E" w14:textId="77777777" w:rsidR="0002106C" w:rsidRPr="002C7415" w:rsidRDefault="0002106C" w:rsidP="00DB06F0">
            <w:pPr>
              <w:rPr>
                <w:rFonts w:cs="Arial"/>
                <w:szCs w:val="20"/>
              </w:rPr>
            </w:pPr>
            <w:r>
              <w:rPr>
                <w:rFonts w:cs="Arial"/>
                <w:szCs w:val="20"/>
              </w:rPr>
              <w:t>SLA Calculations</w:t>
            </w:r>
          </w:p>
        </w:tc>
        <w:tc>
          <w:tcPr>
            <w:tcW w:w="8900" w:type="dxa"/>
          </w:tcPr>
          <w:p w14:paraId="3797EBCF"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Compliance is measured per release. For each release, the Contractor calculates the initial pass rate as the number of test cases passing on first execution divided by the total number of test </w:t>
            </w:r>
            <w:r>
              <w:rPr>
                <w:rFonts w:cs="Arial"/>
                <w:szCs w:val="20"/>
              </w:rPr>
              <w:lastRenderedPageBreak/>
              <w:t>cases executed, expressed as a percentage. Each release with a pass rate below ninety-five percent (95%) accrues an initial service credit of ten thousand dollars ($10,000), plus an additional service credit of two thousand dollars ($2,000) for each whole percentage point the pass rate falls below ninety-five percent (95%). For each failure not resolved within five (5) business days, or deferred to a future release without written Department approval, an additional service credit of three thousand dollars ($3,000) applies per deferred issue.</w:t>
            </w:r>
          </w:p>
        </w:tc>
      </w:tr>
      <w:tr w:rsidR="0002106C" w:rsidRPr="002C7415" w14:paraId="3C5EEF5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04C3DE7" w14:textId="77777777" w:rsidR="0002106C" w:rsidRPr="002C7415" w:rsidRDefault="0002106C" w:rsidP="00DB06F0">
            <w:pPr>
              <w:rPr>
                <w:rFonts w:cs="Arial"/>
                <w:b w:val="0"/>
                <w:bCs w:val="0"/>
                <w:szCs w:val="20"/>
              </w:rPr>
            </w:pPr>
            <w:r>
              <w:rPr>
                <w:rFonts w:cs="Arial"/>
                <w:szCs w:val="20"/>
              </w:rPr>
              <w:lastRenderedPageBreak/>
              <w:t>SLA Calculations Definitions</w:t>
            </w:r>
          </w:p>
        </w:tc>
        <w:tc>
          <w:tcPr>
            <w:tcW w:w="8900" w:type="dxa"/>
          </w:tcPr>
          <w:p w14:paraId="27EF8C4E"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Initial Pass Rate: </w:t>
            </w:r>
            <w:r>
              <w:rPr>
                <w:rFonts w:cs="Arial"/>
                <w:szCs w:val="20"/>
              </w:rPr>
              <w:t>The percentage of test cases that pass on first execution within a given release, calculated as (test cases passing on first execution) divided by (total test cases executed) for that release.</w:t>
            </w:r>
          </w:p>
          <w:p w14:paraId="2BE64775"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Failure Resolution: </w:t>
            </w:r>
            <w:r>
              <w:rPr>
                <w:rFonts w:cs="Arial"/>
                <w:szCs w:val="20"/>
              </w:rPr>
              <w:t>Closure of a failed test case, with the underlying defect corrected and the test case re-executed successfully, within five (5) business days of the initial failure.</w:t>
            </w:r>
          </w:p>
          <w:p w14:paraId="3C50130B"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Deferral: </w:t>
            </w:r>
            <w:r>
              <w:rPr>
                <w:rFonts w:cs="Arial"/>
                <w:szCs w:val="20"/>
              </w:rPr>
              <w:t>Postponement of failure resolution to a future release. Deferrals require prior written Department approval.</w:t>
            </w:r>
          </w:p>
          <w:p w14:paraId="66F76808"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Corrective Action Plan</w:t>
            </w:r>
            <w:r>
              <w:rPr>
                <w:rFonts w:cs="Arial"/>
                <w:szCs w:val="20"/>
              </w:rPr>
              <w:t>: A Department-approved plan, triggered when the failure rate exceeds five percent (5%) for a release, that identifies the underlying root cause and corrective action for the failure pattern.</w:t>
            </w:r>
          </w:p>
        </w:tc>
      </w:tr>
      <w:tr w:rsidR="0002106C" w:rsidRPr="002C7415" w14:paraId="7A7CD34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110E726" w14:textId="77777777" w:rsidR="0002106C" w:rsidRPr="002C7415" w:rsidRDefault="0002106C" w:rsidP="00DB06F0">
            <w:pPr>
              <w:rPr>
                <w:rFonts w:cs="Arial"/>
                <w:b w:val="0"/>
                <w:bCs w:val="0"/>
                <w:szCs w:val="20"/>
              </w:rPr>
            </w:pPr>
            <w:r>
              <w:rPr>
                <w:rFonts w:cs="Arial"/>
                <w:szCs w:val="20"/>
              </w:rPr>
              <w:t>Exclusions</w:t>
            </w:r>
          </w:p>
        </w:tc>
        <w:tc>
          <w:tcPr>
            <w:tcW w:w="8900" w:type="dxa"/>
          </w:tcPr>
          <w:p w14:paraId="20807107"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failures caused by Department-directed environment or data changes during the test execution window. The Contractor bears the burden of demonstrating any claimed exclusion.</w:t>
            </w:r>
          </w:p>
        </w:tc>
      </w:tr>
      <w:tr w:rsidR="0002106C" w:rsidRPr="002C7415" w14:paraId="06F8357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1C37FA1" w14:textId="77777777" w:rsidR="0002106C" w:rsidRPr="002C7415" w:rsidRDefault="0002106C" w:rsidP="00DB06F0">
            <w:pPr>
              <w:rPr>
                <w:rFonts w:cs="Arial"/>
                <w:b w:val="0"/>
                <w:bCs w:val="0"/>
                <w:szCs w:val="20"/>
              </w:rPr>
            </w:pPr>
            <w:r>
              <w:rPr>
                <w:rFonts w:cs="Arial"/>
                <w:szCs w:val="20"/>
              </w:rPr>
              <w:t>Process to Compile and Report SLA</w:t>
            </w:r>
          </w:p>
        </w:tc>
        <w:tc>
          <w:tcPr>
            <w:tcW w:w="8900" w:type="dxa"/>
          </w:tcPr>
          <w:p w14:paraId="6403F5C3"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release, the Contractor must capture and retain, at a minimum, the following documentation: test results reports with pass and fail metrics for initial execution; defect resolution logs with timestamps; root cause analysis reports for any release with a failure rate above five percent (5%); and deferral approval emails or equivalent records. The Test Results Report aggregates these records, calculates the initial pass rate, identifies unresolved and deferred failures, and totals service credits accrued.</w:t>
            </w:r>
          </w:p>
        </w:tc>
      </w:tr>
      <w:tr w:rsidR="0002106C" w:rsidRPr="002C7415" w14:paraId="6AE2CD2B"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B28318E" w14:textId="77777777" w:rsidR="0002106C" w:rsidRPr="002C7415" w:rsidRDefault="0002106C" w:rsidP="00DB06F0">
            <w:pPr>
              <w:rPr>
                <w:rFonts w:cs="Arial"/>
                <w:b w:val="0"/>
                <w:bCs w:val="0"/>
                <w:szCs w:val="20"/>
              </w:rPr>
            </w:pPr>
            <w:r>
              <w:rPr>
                <w:rFonts w:cs="Arial"/>
                <w:szCs w:val="20"/>
              </w:rPr>
              <w:t>Converged E&amp;E System and AMS Service Credit</w:t>
            </w:r>
          </w:p>
        </w:tc>
        <w:tc>
          <w:tcPr>
            <w:tcW w:w="8900" w:type="dxa"/>
          </w:tcPr>
          <w:p w14:paraId="5002032E"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First Test Pass Rate (Initial Service Credit):</w:t>
            </w:r>
            <w:r>
              <w:rPr>
                <w:rFonts w:cs="Arial"/>
                <w:szCs w:val="20"/>
              </w:rPr>
              <w:t xml:space="preserve"> Failure to meet a ninety-five percent (95%) pass rate on initial test execution for a release results in a service credit of ten thousand dollars ($10,000) per release, plus an additional two thousand dollars ($2,000) per percentage point that the pass rate falls below ninety-five percent (95%).</w:t>
            </w:r>
          </w:p>
          <w:p w14:paraId="7840D971"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Issues (Additional Service Credit):</w:t>
            </w:r>
            <w:r>
              <w:rPr>
                <w:rFonts w:cs="Arial"/>
                <w:szCs w:val="20"/>
              </w:rPr>
              <w:t xml:space="preserve"> Failures that are not resolved within five (5) business days, or deferrals to future releases without written Department approval, results in an additional service credit of three thousand dollars ($3,000) per issue deferred.</w:t>
            </w:r>
          </w:p>
        </w:tc>
      </w:tr>
    </w:tbl>
    <w:p w14:paraId="18BDE304" w14:textId="3F787883" w:rsidR="0002106C" w:rsidRPr="002C7415" w:rsidRDefault="0002106C" w:rsidP="0002106C">
      <w:pPr>
        <w:pStyle w:val="HeadingSLA"/>
      </w:pPr>
      <w:bookmarkStart w:id="60" w:name="_Toc230258226"/>
      <w:bookmarkStart w:id="61" w:name="_Toc233199146"/>
      <w:r>
        <w:t>Automated Test Coverage</w:t>
      </w:r>
      <w:bookmarkEnd w:id="60"/>
      <w:bookmarkEnd w:id="61"/>
    </w:p>
    <w:tbl>
      <w:tblPr>
        <w:tblStyle w:val="DOH-LeftHeader"/>
        <w:tblW w:w="4998" w:type="pct"/>
        <w:tblLayout w:type="fixed"/>
        <w:tblLook w:val="0480" w:firstRow="0" w:lastRow="0" w:firstColumn="1" w:lastColumn="0" w:noHBand="0" w:noVBand="1"/>
      </w:tblPr>
      <w:tblGrid>
        <w:gridCol w:w="1886"/>
        <w:gridCol w:w="8900"/>
      </w:tblGrid>
      <w:tr w:rsidR="0002106C" w:rsidRPr="002C7415" w14:paraId="7E567CD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7BABE62" w14:textId="77777777" w:rsidR="0002106C" w:rsidRPr="002C7415" w:rsidRDefault="0002106C" w:rsidP="00DB06F0">
            <w:pPr>
              <w:rPr>
                <w:rFonts w:cs="Arial"/>
                <w:b w:val="0"/>
                <w:bCs w:val="0"/>
                <w:szCs w:val="20"/>
              </w:rPr>
            </w:pPr>
            <w:r>
              <w:rPr>
                <w:rFonts w:cs="Arial"/>
                <w:szCs w:val="20"/>
              </w:rPr>
              <w:t>Purpose</w:t>
            </w:r>
          </w:p>
        </w:tc>
        <w:tc>
          <w:tcPr>
            <w:tcW w:w="8900" w:type="dxa"/>
          </w:tcPr>
          <w:p w14:paraId="62269CB3"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purpose of this SLA is to ensure regression testing is fast, repeatable, and reliable. High automation coverage allows the Contractor to execute the regression suite on every release without the bottlenecks associated with manual testing, ensuring testing keeps pace with the required release cadence.</w:t>
            </w:r>
          </w:p>
        </w:tc>
      </w:tr>
      <w:tr w:rsidR="0002106C" w:rsidRPr="002C7415" w14:paraId="2774D2D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6FFD03E" w14:textId="77777777" w:rsidR="0002106C" w:rsidRPr="002C7415" w:rsidRDefault="0002106C" w:rsidP="00DB06F0">
            <w:pPr>
              <w:rPr>
                <w:rFonts w:cs="Arial"/>
                <w:b w:val="0"/>
                <w:bCs w:val="0"/>
                <w:szCs w:val="20"/>
              </w:rPr>
            </w:pPr>
            <w:r>
              <w:rPr>
                <w:rFonts w:cs="Arial"/>
                <w:szCs w:val="20"/>
              </w:rPr>
              <w:t>Specification</w:t>
            </w:r>
          </w:p>
        </w:tc>
        <w:tc>
          <w:tcPr>
            <w:tcW w:w="8900" w:type="dxa"/>
          </w:tcPr>
          <w:p w14:paraId="2EE4C4D9" w14:textId="77777777" w:rsidR="0002106C" w:rsidRPr="007610E9" w:rsidRDefault="0002106C" w:rsidP="00DB06F0">
            <w:pPr>
              <w:cnfStyle w:val="000000010000" w:firstRow="0" w:lastRow="0" w:firstColumn="0" w:lastColumn="0" w:oddVBand="0" w:evenVBand="0" w:oddHBand="0" w:evenHBand="1" w:firstRowFirstColumn="0" w:firstRowLastColumn="0" w:lastRowFirstColumn="0" w:lastRowLastColumn="0"/>
            </w:pPr>
            <w:r>
              <w:t xml:space="preserve">The Contractor must maintain Automated Test Coverage at or above ninety percent (90%) across the regression test suite for the Converged E&amp;E System and AMS at all times. Automated Test Coverage is the ratio of automated test cases to the total number of test cases (automated plus manual) within the regression test suite, expressed as a percentage. The Department and the Contractor must mutually agree on the test case inventory and on the classification methodology used to calculate Automated Test Coverage. If agreement cannot be reached, the Department has sole authority to determine the inventory, classification, and calculation methodology. </w:t>
            </w:r>
          </w:p>
          <w:p w14:paraId="19608902" w14:textId="77777777" w:rsidR="0002106C" w:rsidRPr="007610E9" w:rsidRDefault="0002106C" w:rsidP="00DB06F0">
            <w:pPr>
              <w:cnfStyle w:val="000000010000" w:firstRow="0" w:lastRow="0" w:firstColumn="0" w:lastColumn="0" w:oddVBand="0" w:evenVBand="0" w:oddHBand="0" w:evenHBand="1" w:firstRowFirstColumn="0" w:firstRowLastColumn="0" w:lastRowFirstColumn="0" w:lastRowLastColumn="0"/>
            </w:pPr>
            <w:r>
              <w:t>Any reduction in Automated Test Coverage below the ninety percent (90%) threshold must be remediated within thirty (30) calendar days, or within a mutually agreed-upon remediation timeframe, whichever is greater.</w:t>
            </w:r>
          </w:p>
        </w:tc>
      </w:tr>
      <w:tr w:rsidR="0002106C" w:rsidRPr="002C7415" w14:paraId="27A2BA85"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7C95606" w14:textId="77777777" w:rsidR="0002106C" w:rsidRPr="002C7415" w:rsidRDefault="0002106C" w:rsidP="00DB06F0">
            <w:pPr>
              <w:rPr>
                <w:rFonts w:cs="Arial"/>
                <w:b w:val="0"/>
                <w:bCs w:val="0"/>
                <w:szCs w:val="20"/>
              </w:rPr>
            </w:pPr>
            <w:r>
              <w:rPr>
                <w:rFonts w:cs="Arial"/>
                <w:szCs w:val="20"/>
              </w:rPr>
              <w:lastRenderedPageBreak/>
              <w:t>Service Level</w:t>
            </w:r>
          </w:p>
        </w:tc>
        <w:tc>
          <w:tcPr>
            <w:tcW w:w="8900" w:type="dxa"/>
          </w:tcPr>
          <w:p w14:paraId="11F60ECE" w14:textId="77777777" w:rsidR="0002106C" w:rsidRPr="002C7415" w:rsidRDefault="0002106C"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cs="Arial"/>
                <w:szCs w:val="20"/>
              </w:rPr>
              <w:t>Automated Test Coverage of at least ninety percent (90%) across the overall regression test suite for the Converged E&amp;E System and AMS, measured for each monthly reporting period. Any drop below the ninety percent (90%) threshold must be remediated within the agreed remediation timeframe.</w:t>
            </w:r>
          </w:p>
        </w:tc>
      </w:tr>
      <w:tr w:rsidR="0002106C" w:rsidRPr="002C7415" w14:paraId="39B8DD9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8DA574F" w14:textId="77777777" w:rsidR="0002106C" w:rsidRPr="002C7415" w:rsidRDefault="0002106C" w:rsidP="00DB06F0">
            <w:pPr>
              <w:rPr>
                <w:rFonts w:cs="Arial"/>
                <w:b w:val="0"/>
                <w:bCs w:val="0"/>
                <w:szCs w:val="20"/>
              </w:rPr>
            </w:pPr>
            <w:r>
              <w:rPr>
                <w:rFonts w:cs="Arial"/>
                <w:szCs w:val="20"/>
              </w:rPr>
              <w:t>Notes</w:t>
            </w:r>
          </w:p>
        </w:tc>
        <w:tc>
          <w:tcPr>
            <w:tcW w:w="8900" w:type="dxa"/>
          </w:tcPr>
          <w:p w14:paraId="5B54471E"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the Contractor and the Department cannot agree on the test case inventory, classification methodology, or coverage calculation, the Department’s determination is final.</w:t>
            </w:r>
          </w:p>
          <w:p w14:paraId="4B39266F"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give the Department direct, read-only access to the test case inventory, the automation pipeline execution logs, and the current Automated Test Coverage calculation at all times.</w:t>
            </w:r>
          </w:p>
          <w:p w14:paraId="6A8456AD"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When coverage drops below ninety percent (90%), the Contractor must submit a Corrective Action Plan to the Department within five (5) business days. This plan must describe the root cause, the scope of impact, the corrective actions, and the target restoration date.</w:t>
            </w:r>
          </w:p>
          <w:p w14:paraId="71FE0954"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Status against the Corrective Action Plan must be reported in every subsequent Monthly DDI Status Report until coverage is restored.</w:t>
            </w:r>
          </w:p>
        </w:tc>
      </w:tr>
      <w:tr w:rsidR="0002106C" w:rsidRPr="002C7415" w14:paraId="6D8D1B4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419D049" w14:textId="77777777" w:rsidR="0002106C" w:rsidRPr="002C7415" w:rsidRDefault="0002106C" w:rsidP="00DB06F0">
            <w:pPr>
              <w:rPr>
                <w:rFonts w:cs="Arial"/>
                <w:b w:val="0"/>
                <w:bCs w:val="0"/>
                <w:szCs w:val="20"/>
              </w:rPr>
            </w:pPr>
            <w:r>
              <w:rPr>
                <w:rFonts w:cs="Arial"/>
                <w:szCs w:val="20"/>
              </w:rPr>
              <w:t>Reporting Frequency</w:t>
            </w:r>
          </w:p>
        </w:tc>
        <w:tc>
          <w:tcPr>
            <w:tcW w:w="8900" w:type="dxa"/>
          </w:tcPr>
          <w:p w14:paraId="6D583F9B"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measured each monthly reporting period from the Transition-In Cutover through the Transition-Out Cutover. The Contractor must report Automated Test Coverage in the Monthly DDI Status Report, which is due within five (5) business days after the end of each calendar month.</w:t>
            </w:r>
          </w:p>
        </w:tc>
      </w:tr>
      <w:tr w:rsidR="0002106C" w:rsidRPr="002C7415" w14:paraId="3B4E0AD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95BC037" w14:textId="77777777" w:rsidR="0002106C" w:rsidRPr="002C7415" w:rsidRDefault="0002106C" w:rsidP="00DB06F0">
            <w:pPr>
              <w:rPr>
                <w:rFonts w:cs="Arial"/>
                <w:szCs w:val="20"/>
              </w:rPr>
            </w:pPr>
            <w:r>
              <w:rPr>
                <w:rFonts w:cs="Arial"/>
                <w:szCs w:val="20"/>
              </w:rPr>
              <w:t>SLA Calculations</w:t>
            </w:r>
          </w:p>
        </w:tc>
        <w:tc>
          <w:tcPr>
            <w:tcW w:w="8900" w:type="dxa"/>
          </w:tcPr>
          <w:p w14:paraId="2FE9E6F5" w14:textId="77777777" w:rsidR="0002106C" w:rsidRPr="002C7415" w:rsidRDefault="0002106C"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Automated Test Coverage % = (Number of Automated Test Cases in the Regression Test Suite / Total Number of Test Cases in the Regression Test Suite [automated plus manual]) x one hundred (100). Compliance is determined for each monthly reporting period using the Department-approved test case inventory and classification methodology. The figure used for compliance is the end-of-month measurement, reconciled against the automation pipeline execution logs to confirm that test cases classified as automated actually executed in the pipeline during the reporting period.</w:t>
            </w:r>
          </w:p>
        </w:tc>
      </w:tr>
      <w:tr w:rsidR="0002106C" w:rsidRPr="002C7415" w14:paraId="1C6C7DF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C0298AC" w14:textId="77777777" w:rsidR="0002106C" w:rsidRPr="002C7415" w:rsidRDefault="0002106C" w:rsidP="00DB06F0">
            <w:pPr>
              <w:rPr>
                <w:rFonts w:cs="Arial"/>
                <w:b w:val="0"/>
                <w:bCs w:val="0"/>
                <w:szCs w:val="20"/>
              </w:rPr>
            </w:pPr>
            <w:r>
              <w:rPr>
                <w:rFonts w:cs="Arial"/>
                <w:szCs w:val="20"/>
              </w:rPr>
              <w:t>SLA Calculations Definitions</w:t>
            </w:r>
          </w:p>
        </w:tc>
        <w:tc>
          <w:tcPr>
            <w:tcW w:w="8900" w:type="dxa"/>
          </w:tcPr>
          <w:p w14:paraId="4AA7CBA9" w14:textId="77777777" w:rsidR="0002106C"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Regression Test Suite:</w:t>
            </w:r>
            <w:r>
              <w:rPr>
                <w:rFonts w:cs="Arial"/>
                <w:szCs w:val="20"/>
              </w:rPr>
              <w:t xml:space="preserve"> the full collection of test cases the Contractor maintains to verify that existing Converged E&amp;E System and AMS functionality continues to operate correctly after changes. </w:t>
            </w:r>
          </w:p>
          <w:p w14:paraId="223CEFAF" w14:textId="77777777" w:rsidR="0002106C"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Automated Test Case</w:t>
            </w:r>
            <w:r>
              <w:rPr>
                <w:rFonts w:cs="Arial"/>
                <w:szCs w:val="20"/>
              </w:rPr>
              <w:t xml:space="preserve">: a test case that executes E2E without manual intervention within the automation pipeline and reports its pass/fail result directly to the test management tool. </w:t>
            </w:r>
          </w:p>
          <w:p w14:paraId="16C3C586" w14:textId="77777777" w:rsidR="0002106C"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Manual Test Case</w:t>
            </w:r>
            <w:r>
              <w:rPr>
                <w:rFonts w:cs="Arial"/>
                <w:szCs w:val="20"/>
              </w:rPr>
              <w:t xml:space="preserve">: a test case that requires manual execution by a tester. </w:t>
            </w:r>
          </w:p>
          <w:p w14:paraId="6F7D5AF3" w14:textId="77777777" w:rsidR="0002106C"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Test Case Inventory</w:t>
            </w:r>
            <w:r>
              <w:rPr>
                <w:rFonts w:cs="Arial"/>
                <w:szCs w:val="20"/>
              </w:rPr>
              <w:t xml:space="preserve">: the Department-approved listing of every test case comprising the regression test suite, classified as automated or manual. </w:t>
            </w:r>
          </w:p>
          <w:p w14:paraId="3717221A" w14:textId="77777777" w:rsidR="0002106C"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Automation Pipeline Execution Log</w:t>
            </w:r>
            <w:r>
              <w:rPr>
                <w:rFonts w:cs="Arial"/>
                <w:szCs w:val="20"/>
              </w:rPr>
              <w:t xml:space="preserve">: the Non-Repudiable record from the automation tooling showing each automated test case execution, its timestamp, and its pass/fail status. </w:t>
            </w:r>
          </w:p>
          <w:p w14:paraId="0D8402CF"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Non-Repudiable Record</w:t>
            </w:r>
            <w:r>
              <w:rPr>
                <w:rFonts w:cs="Arial"/>
                <w:szCs w:val="20"/>
              </w:rPr>
              <w:t>: a log entry or system-generated artifact that is tamper-evident, timestamped from a source independent of the Contractor’s control, maintained under an unbroken chain of custody, and independently accessible to the Department.</w:t>
            </w:r>
          </w:p>
        </w:tc>
      </w:tr>
      <w:tr w:rsidR="0002106C" w:rsidRPr="002C7415" w14:paraId="307CEF9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92A34FF" w14:textId="77777777" w:rsidR="0002106C" w:rsidRPr="002C7415" w:rsidRDefault="0002106C" w:rsidP="00DB06F0">
            <w:pPr>
              <w:rPr>
                <w:rFonts w:cs="Arial"/>
                <w:b w:val="0"/>
                <w:bCs w:val="0"/>
                <w:szCs w:val="20"/>
              </w:rPr>
            </w:pPr>
            <w:r>
              <w:rPr>
                <w:rFonts w:cs="Arial"/>
                <w:szCs w:val="20"/>
              </w:rPr>
              <w:t>Exclusions</w:t>
            </w:r>
          </w:p>
        </w:tc>
        <w:tc>
          <w:tcPr>
            <w:tcW w:w="8900" w:type="dxa"/>
          </w:tcPr>
          <w:p w14:paraId="333FC532"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No exclusions are established for this SLA. Any proposed exclusion must be requested in writing by the Contractor and approved by the Department in advance of the monthly reporting period to which it would apply.</w:t>
            </w:r>
          </w:p>
        </w:tc>
      </w:tr>
      <w:tr w:rsidR="0002106C" w:rsidRPr="002C7415" w14:paraId="2E09D7E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40091A8" w14:textId="77777777" w:rsidR="0002106C" w:rsidRPr="002C7415" w:rsidRDefault="0002106C" w:rsidP="00DB06F0">
            <w:pPr>
              <w:rPr>
                <w:rFonts w:cs="Arial"/>
                <w:b w:val="0"/>
                <w:bCs w:val="0"/>
                <w:szCs w:val="20"/>
              </w:rPr>
            </w:pPr>
            <w:r>
              <w:rPr>
                <w:rFonts w:cs="Arial"/>
                <w:szCs w:val="20"/>
              </w:rPr>
              <w:t>Process to Compile and Report SLA</w:t>
            </w:r>
          </w:p>
        </w:tc>
        <w:tc>
          <w:tcPr>
            <w:tcW w:w="8900" w:type="dxa"/>
          </w:tcPr>
          <w:p w14:paraId="64E0A209" w14:textId="77777777" w:rsidR="0002106C"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Each calendar month, the Contractor must: </w:t>
            </w:r>
          </w:p>
          <w:p w14:paraId="18B52277" w14:textId="77777777" w:rsidR="0002106C" w:rsidRDefault="0002106C" w:rsidP="00DB06F0">
            <w:pPr>
              <w:pStyle w:val="TableBullet"/>
              <w:cnfStyle w:val="000000000000" w:firstRow="0" w:lastRow="0" w:firstColumn="0" w:lastColumn="0" w:oddVBand="0" w:evenVBand="0" w:oddHBand="0" w:evenHBand="0" w:firstRowFirstColumn="0" w:firstRowLastColumn="0" w:lastRowFirstColumn="0" w:lastRowLastColumn="0"/>
            </w:pPr>
            <w:r>
              <w:t xml:space="preserve">Extract the current test case inventory from the test management tool. </w:t>
            </w:r>
          </w:p>
          <w:p w14:paraId="77F7F7FC" w14:textId="77777777" w:rsidR="0002106C" w:rsidRDefault="0002106C" w:rsidP="00DB06F0">
            <w:pPr>
              <w:pStyle w:val="TableBullet"/>
              <w:cnfStyle w:val="000000000000" w:firstRow="0" w:lastRow="0" w:firstColumn="0" w:lastColumn="0" w:oddVBand="0" w:evenVBand="0" w:oddHBand="0" w:evenHBand="0" w:firstRowFirstColumn="0" w:firstRowLastColumn="0" w:lastRowFirstColumn="0" w:lastRowLastColumn="0"/>
            </w:pPr>
            <w:r>
              <w:t xml:space="preserve">Classify each test case as automated or manual using the Department-approved methodology. </w:t>
            </w:r>
          </w:p>
          <w:p w14:paraId="7EF166B2" w14:textId="77777777" w:rsidR="0002106C" w:rsidRDefault="0002106C" w:rsidP="00DB06F0">
            <w:pPr>
              <w:pStyle w:val="TableBullet"/>
              <w:cnfStyle w:val="000000000000" w:firstRow="0" w:lastRow="0" w:firstColumn="0" w:lastColumn="0" w:oddVBand="0" w:evenVBand="0" w:oddHBand="0" w:evenHBand="0" w:firstRowFirstColumn="0" w:firstRowLastColumn="0" w:lastRowFirstColumn="0" w:lastRowLastColumn="0"/>
            </w:pPr>
            <w:r>
              <w:t xml:space="preserve">Calculate the Automated Test Coverage Percentage using the formula above. </w:t>
            </w:r>
          </w:p>
          <w:p w14:paraId="0DFDA717" w14:textId="77777777" w:rsidR="0002106C" w:rsidRDefault="0002106C" w:rsidP="00DB06F0">
            <w:pPr>
              <w:pStyle w:val="TableBullet"/>
              <w:cnfStyle w:val="000000000000" w:firstRow="0" w:lastRow="0" w:firstColumn="0" w:lastColumn="0" w:oddVBand="0" w:evenVBand="0" w:oddHBand="0" w:evenHBand="0" w:firstRowFirstColumn="0" w:firstRowLastColumn="0" w:lastRowFirstColumn="0" w:lastRowLastColumn="0"/>
            </w:pPr>
            <w:r>
              <w:t xml:space="preserve">Reconcile this calculation against the automation pipeline execution logs to confirm that test cases classified as automated actually executed during the reporting period. </w:t>
            </w:r>
          </w:p>
          <w:p w14:paraId="56FFCA89" w14:textId="77777777" w:rsidR="0002106C" w:rsidRPr="00680E50" w:rsidRDefault="0002106C" w:rsidP="00DB06F0">
            <w:pPr>
              <w:pStyle w:val="TableBullet"/>
              <w:cnfStyle w:val="000000000000" w:firstRow="0" w:lastRow="0" w:firstColumn="0" w:lastColumn="0" w:oddVBand="0" w:evenVBand="0" w:oddHBand="0" w:evenHBand="0" w:firstRowFirstColumn="0" w:firstRowLastColumn="0" w:lastRowFirstColumn="0" w:lastRowLastColumn="0"/>
            </w:pPr>
            <w:r>
              <w:t xml:space="preserve">Submit the Automated Test Coverage within the Monthly DDI Status Report, providing the supporting Test Case Inventory and Automation Pipeline Execution Logs, within five (5) </w:t>
            </w:r>
            <w:r>
              <w:lastRenderedPageBreak/>
              <w:t>business days after the end of the month. Where coverage is below ninety percent (90%), the report must include the current Remediation Plan and its status.</w:t>
            </w:r>
          </w:p>
        </w:tc>
      </w:tr>
      <w:tr w:rsidR="0002106C" w:rsidRPr="002C7415" w14:paraId="42FFB63B"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AAD064C" w14:textId="77777777" w:rsidR="0002106C" w:rsidRPr="002C7415" w:rsidRDefault="0002106C" w:rsidP="00DB06F0">
            <w:pPr>
              <w:rPr>
                <w:rFonts w:cs="Arial"/>
                <w:b w:val="0"/>
                <w:bCs w:val="0"/>
                <w:szCs w:val="20"/>
              </w:rPr>
            </w:pPr>
            <w:r>
              <w:rPr>
                <w:rFonts w:cs="Arial"/>
                <w:szCs w:val="20"/>
              </w:rPr>
              <w:lastRenderedPageBreak/>
              <w:t>Converged E&amp;E System and AMS Service Credit</w:t>
            </w:r>
          </w:p>
        </w:tc>
        <w:tc>
          <w:tcPr>
            <w:tcW w:w="8900" w:type="dxa"/>
          </w:tcPr>
          <w:p w14:paraId="6AD766BA"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Automated Test Coverage Rate Below Ninety Percent (90%) (Initial Service Credit):</w:t>
            </w:r>
            <w:r>
              <w:rPr>
                <w:rFonts w:cs="Arial"/>
                <w:szCs w:val="20"/>
              </w:rPr>
              <w:t xml:space="preserve"> A service credit of five thousand dollars ($5,000) applies for each monthly reporting period in which Automated Test Coverage falls below ninety percent (90%) but remains at or above eighty percent (80%)</w:t>
            </w:r>
          </w:p>
          <w:p w14:paraId="648CD498"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Automated Test Coverage Rate Below Eighty Percent (80%) (Initial Service Credit):</w:t>
            </w:r>
            <w:r>
              <w:rPr>
                <w:rFonts w:cs="Arial"/>
                <w:szCs w:val="20"/>
              </w:rPr>
              <w:t xml:space="preserve"> The service credit increases to ten thousand dollars ($10,000) for each monthly reporting period in which Automated Test Coverage falls below eighty percent (80%). </w:t>
            </w:r>
          </w:p>
          <w:p w14:paraId="09C4C222"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Low Automated Test Coverage Rate (Additional Service Credit):</w:t>
            </w:r>
            <w:r>
              <w:rPr>
                <w:rFonts w:cs="Arial"/>
                <w:szCs w:val="20"/>
              </w:rPr>
              <w:t xml:space="preserve"> An additional five thousand dollars ($5,000) applies for every thirty (30) calendar days, or portion thereof, beyond the initial thirty (30) day remediation timeframe (or the mutually agreed-upon remediation timeframe) during which Automated Test Coverage remains below ninety percent (90%). </w:t>
            </w:r>
          </w:p>
          <w:p w14:paraId="5C584FF1"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total service credit under this SLA is capped at fifty thousand dollars ($50,000) per month.</w:t>
            </w:r>
          </w:p>
        </w:tc>
      </w:tr>
    </w:tbl>
    <w:p w14:paraId="2B7BBA48" w14:textId="0BB40C3D" w:rsidR="0002106C" w:rsidRPr="002C7415" w:rsidRDefault="0002106C" w:rsidP="0002106C">
      <w:pPr>
        <w:pStyle w:val="HeadingSLA"/>
      </w:pPr>
      <w:bookmarkStart w:id="62" w:name="_Toc230258255"/>
      <w:bookmarkStart w:id="63" w:name="_Toc233199147"/>
      <w:r>
        <w:t>Converged Eligibility and Enrollment System and Appeals Management System Production Environment Deployment</w:t>
      </w:r>
      <w:bookmarkEnd w:id="62"/>
      <w:bookmarkEnd w:id="63"/>
    </w:p>
    <w:tbl>
      <w:tblPr>
        <w:tblStyle w:val="DOH-LeftHeader"/>
        <w:tblW w:w="4998" w:type="pct"/>
        <w:tblLayout w:type="fixed"/>
        <w:tblLook w:val="0480" w:firstRow="0" w:lastRow="0" w:firstColumn="1" w:lastColumn="0" w:noHBand="0" w:noVBand="1"/>
      </w:tblPr>
      <w:tblGrid>
        <w:gridCol w:w="1886"/>
        <w:gridCol w:w="8900"/>
      </w:tblGrid>
      <w:tr w:rsidR="0002106C" w:rsidRPr="002C7415" w14:paraId="014672C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4A63638" w14:textId="77777777" w:rsidR="0002106C" w:rsidRPr="002C7415" w:rsidRDefault="0002106C" w:rsidP="00DB06F0">
            <w:pPr>
              <w:rPr>
                <w:rFonts w:cs="Arial"/>
                <w:b w:val="0"/>
                <w:bCs w:val="0"/>
                <w:szCs w:val="20"/>
              </w:rPr>
            </w:pPr>
            <w:r>
              <w:rPr>
                <w:rFonts w:cs="Arial"/>
                <w:szCs w:val="20"/>
              </w:rPr>
              <w:t>Purpose</w:t>
            </w:r>
          </w:p>
        </w:tc>
        <w:tc>
          <w:tcPr>
            <w:tcW w:w="8900" w:type="dxa"/>
          </w:tcPr>
          <w:p w14:paraId="377AE8EC"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ensures that Production Environment deployments strictly adhere to the specifications and timelines defined in the Department-approved Release Plan. Reliable deployment execution is critical to maintaining operational stability and ensuring the success of all subsequent system activities. This SLA enforces technical and procedural discipline during the release process.</w:t>
            </w:r>
          </w:p>
        </w:tc>
      </w:tr>
      <w:tr w:rsidR="0002106C" w:rsidRPr="002C7415" w14:paraId="46680A4D"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6AD7231" w14:textId="77777777" w:rsidR="0002106C" w:rsidRPr="002C7415" w:rsidRDefault="0002106C" w:rsidP="00DB06F0">
            <w:pPr>
              <w:rPr>
                <w:rFonts w:cs="Arial"/>
                <w:b w:val="0"/>
                <w:bCs w:val="0"/>
                <w:szCs w:val="20"/>
              </w:rPr>
            </w:pPr>
            <w:r>
              <w:rPr>
                <w:rFonts w:cs="Arial"/>
                <w:szCs w:val="20"/>
              </w:rPr>
              <w:t>Specification</w:t>
            </w:r>
          </w:p>
        </w:tc>
        <w:tc>
          <w:tcPr>
            <w:tcW w:w="8900" w:type="dxa"/>
          </w:tcPr>
          <w:p w14:paraId="470282FD"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Production Environment is updated by the implementation of a Department-approved Release Plan and associated Release Schedule. The Release Plan strategically outlines how a product or feature is introduced to end-users and ensures all aspects of the specific Release are planned, well-coordinated, and effectively executed and describes the list of infrastructure, application, and software components to be deployed and their associated features. Non-compliance occurs if the Converged E&amp;E System or AMS components and artifacts listed on the Release Plan or instructions are not deployed per the deployment timeframe and schedule, or are deployed incorrectly. Compliance is determined by operational use of the Converged E&amp;E System and AMS Release in the Production Environment and by review of release documentation for currency and accuracy.</w:t>
            </w:r>
          </w:p>
        </w:tc>
      </w:tr>
      <w:tr w:rsidR="0002106C" w:rsidRPr="002C7415" w14:paraId="3944DF4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05FFACD" w14:textId="77777777" w:rsidR="0002106C" w:rsidRPr="002C7415" w:rsidRDefault="0002106C" w:rsidP="00DB06F0">
            <w:pPr>
              <w:rPr>
                <w:rFonts w:cs="Arial"/>
                <w:b w:val="0"/>
                <w:bCs w:val="0"/>
                <w:szCs w:val="20"/>
              </w:rPr>
            </w:pPr>
            <w:r>
              <w:rPr>
                <w:rFonts w:cs="Arial"/>
                <w:szCs w:val="20"/>
              </w:rPr>
              <w:t>Service Level</w:t>
            </w:r>
          </w:p>
        </w:tc>
        <w:tc>
          <w:tcPr>
            <w:tcW w:w="8900" w:type="dxa"/>
          </w:tcPr>
          <w:p w14:paraId="1D25413F"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Production Environment deployments must be executed correctly and per the deployment timeframe and schedule, where the Go decision was made and a Release Schedule was set.</w:t>
            </w:r>
          </w:p>
        </w:tc>
      </w:tr>
      <w:tr w:rsidR="0002106C" w:rsidRPr="002C7415" w14:paraId="0B2DAB5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235CADC" w14:textId="77777777" w:rsidR="0002106C" w:rsidRPr="002C7415" w:rsidRDefault="0002106C" w:rsidP="00DB06F0">
            <w:pPr>
              <w:rPr>
                <w:rFonts w:cs="Arial"/>
                <w:b w:val="0"/>
                <w:bCs w:val="0"/>
                <w:szCs w:val="20"/>
              </w:rPr>
            </w:pPr>
            <w:r>
              <w:rPr>
                <w:rFonts w:cs="Arial"/>
                <w:szCs w:val="20"/>
              </w:rPr>
              <w:t>Notes</w:t>
            </w:r>
          </w:p>
        </w:tc>
        <w:tc>
          <w:tcPr>
            <w:tcW w:w="8900" w:type="dxa"/>
          </w:tcPr>
          <w:p w14:paraId="04B41246"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Release Plans, Release Schedules, and Go decisions are governed by the Department-approved release management process. The Contractor must maintain the Release Plan, deployment instructions, and post-deployment validation records in a Department-accessible repository.</w:t>
            </w:r>
          </w:p>
        </w:tc>
      </w:tr>
      <w:tr w:rsidR="0002106C" w:rsidRPr="002C7415" w14:paraId="074DF80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21242DA" w14:textId="77777777" w:rsidR="0002106C" w:rsidRPr="002C7415" w:rsidRDefault="0002106C" w:rsidP="00DB06F0">
            <w:pPr>
              <w:rPr>
                <w:rFonts w:cs="Arial"/>
                <w:b w:val="0"/>
                <w:bCs w:val="0"/>
                <w:szCs w:val="20"/>
              </w:rPr>
            </w:pPr>
            <w:r>
              <w:rPr>
                <w:rFonts w:cs="Arial"/>
                <w:szCs w:val="20"/>
              </w:rPr>
              <w:t>Reporting Frequency</w:t>
            </w:r>
          </w:p>
        </w:tc>
        <w:tc>
          <w:tcPr>
            <w:tcW w:w="8900" w:type="dxa"/>
          </w:tcPr>
          <w:p w14:paraId="419B8BC6"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evaluated per deployment occurrence. The monthly DDI Status Report is delivered to the Department within five (5) business days after the end of each calendar month. This SLA is in effect after the Transition-In Cutover and continues through the Transition-Out Cutover.</w:t>
            </w:r>
          </w:p>
        </w:tc>
      </w:tr>
      <w:tr w:rsidR="0002106C" w:rsidRPr="002C7415" w14:paraId="681EF8FA"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5312139" w14:textId="77777777" w:rsidR="0002106C" w:rsidRPr="002C7415" w:rsidRDefault="0002106C" w:rsidP="00DB06F0">
            <w:pPr>
              <w:rPr>
                <w:rFonts w:cs="Arial"/>
                <w:szCs w:val="20"/>
              </w:rPr>
            </w:pPr>
            <w:r>
              <w:rPr>
                <w:rFonts w:cs="Arial"/>
                <w:szCs w:val="20"/>
              </w:rPr>
              <w:t>SLA Calculations</w:t>
            </w:r>
          </w:p>
        </w:tc>
        <w:tc>
          <w:tcPr>
            <w:tcW w:w="8900" w:type="dxa"/>
          </w:tcPr>
          <w:p w14:paraId="58D46B23"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deployment occurrence. For each Production Environment deployment, the Contractor records the Release Plan, the Release Schedule, the Go decision, the actual deployment timestamp, and the post-deployment validation outcome. Each deployment that is not executed per the deployment timeframe and schedule, or that is deployed incorrectly, counts as one (1) occurrence per affected Production environment.</w:t>
            </w:r>
          </w:p>
        </w:tc>
      </w:tr>
      <w:tr w:rsidR="0002106C" w:rsidRPr="002C7415" w14:paraId="2FEE62B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74271CE" w14:textId="77777777" w:rsidR="0002106C" w:rsidRPr="002C7415" w:rsidRDefault="0002106C" w:rsidP="00DB06F0">
            <w:pPr>
              <w:rPr>
                <w:rFonts w:cs="Arial"/>
                <w:b w:val="0"/>
                <w:bCs w:val="0"/>
                <w:szCs w:val="20"/>
              </w:rPr>
            </w:pPr>
            <w:r>
              <w:rPr>
                <w:rFonts w:cs="Arial"/>
                <w:szCs w:val="20"/>
              </w:rPr>
              <w:t>SLA Calculations Definitions</w:t>
            </w:r>
          </w:p>
        </w:tc>
        <w:tc>
          <w:tcPr>
            <w:tcW w:w="8900" w:type="dxa"/>
          </w:tcPr>
          <w:p w14:paraId="1B149D4B"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Release Plan: </w:t>
            </w:r>
            <w:r>
              <w:rPr>
                <w:rFonts w:cs="Arial"/>
                <w:szCs w:val="20"/>
              </w:rPr>
              <w:t xml:space="preserve">A Department-approved deliverable that strategically outlines how a product or feature is introduced to end-users and ensures all aspects of the specific Release are planned, well-coordinated, and effectively executed. The Release Plan must include, at a minimum, </w:t>
            </w:r>
            <w:r>
              <w:rPr>
                <w:rFonts w:cs="Arial"/>
                <w:szCs w:val="20"/>
              </w:rPr>
              <w:lastRenderedPageBreak/>
              <w:t>deployment items, the release schedule, change control, a contingency plan, assumptions, constraints, and dependencies.</w:t>
            </w:r>
          </w:p>
          <w:p w14:paraId="00E2F53B"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Release Schedule: </w:t>
            </w:r>
            <w:r>
              <w:rPr>
                <w:rFonts w:cs="Arial"/>
                <w:szCs w:val="20"/>
              </w:rPr>
              <w:t>The Department-approved schedule of planned deployment dates and activities, against which actual deployments are evaluated for timeliness. This is an element of the Release Plan.</w:t>
            </w:r>
          </w:p>
          <w:p w14:paraId="1DE687A4"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Go Decision: </w:t>
            </w:r>
            <w:r>
              <w:rPr>
                <w:rFonts w:cs="Arial"/>
                <w:szCs w:val="20"/>
              </w:rPr>
              <w:t>The Department’s formal decision to proceed with a deployment to the Production Environment, after which the Release Schedule is binding for the deployment.</w:t>
            </w:r>
          </w:p>
        </w:tc>
      </w:tr>
      <w:tr w:rsidR="0002106C" w:rsidRPr="002C7415" w14:paraId="3ADFD12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74CE38C" w14:textId="77777777" w:rsidR="0002106C" w:rsidRPr="002C7415" w:rsidRDefault="0002106C" w:rsidP="00DB06F0">
            <w:pPr>
              <w:rPr>
                <w:rFonts w:cs="Arial"/>
                <w:b w:val="0"/>
                <w:bCs w:val="0"/>
                <w:szCs w:val="20"/>
              </w:rPr>
            </w:pPr>
            <w:r>
              <w:rPr>
                <w:rFonts w:cs="Arial"/>
                <w:szCs w:val="20"/>
              </w:rPr>
              <w:lastRenderedPageBreak/>
              <w:t>Exclusions</w:t>
            </w:r>
          </w:p>
        </w:tc>
        <w:tc>
          <w:tcPr>
            <w:tcW w:w="8900" w:type="dxa"/>
          </w:tcPr>
          <w:p w14:paraId="0BC25FBF"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responsible for demonstrating any claimed exclusion.</w:t>
            </w:r>
          </w:p>
        </w:tc>
      </w:tr>
      <w:tr w:rsidR="0002106C" w:rsidRPr="002C7415" w14:paraId="2D005425"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767391B" w14:textId="77777777" w:rsidR="0002106C" w:rsidRPr="002C7415" w:rsidRDefault="0002106C" w:rsidP="00DB06F0">
            <w:pPr>
              <w:rPr>
                <w:rFonts w:cs="Arial"/>
                <w:b w:val="0"/>
                <w:bCs w:val="0"/>
                <w:szCs w:val="20"/>
              </w:rPr>
            </w:pPr>
            <w:r>
              <w:rPr>
                <w:rFonts w:cs="Arial"/>
                <w:szCs w:val="20"/>
              </w:rPr>
              <w:t>Process to Compile and Report SLA</w:t>
            </w:r>
          </w:p>
        </w:tc>
        <w:tc>
          <w:tcPr>
            <w:tcW w:w="8900" w:type="dxa"/>
          </w:tcPr>
          <w:p w14:paraId="0E069149"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Production Environment deployment, the Contractor must capture and retain: the Release Plan; the Release Schedule; the Go decision; the deployment instructions; the actual deployment timestamp; the post-deployment validation records; and any incorrect-deployment evidence. The monthly DDI Status Report aggregates these records, identifies non-compliant deployments, totals service credits accrued, and is made available to the Department on request.</w:t>
            </w:r>
          </w:p>
        </w:tc>
      </w:tr>
      <w:tr w:rsidR="0002106C" w:rsidRPr="002C7415" w14:paraId="3728311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0A8D2E2" w14:textId="77777777" w:rsidR="0002106C" w:rsidRPr="002C7415" w:rsidRDefault="0002106C" w:rsidP="00DB06F0">
            <w:pPr>
              <w:rPr>
                <w:rFonts w:cs="Arial"/>
                <w:b w:val="0"/>
                <w:bCs w:val="0"/>
                <w:szCs w:val="20"/>
              </w:rPr>
            </w:pPr>
            <w:r>
              <w:rPr>
                <w:rFonts w:cs="Arial"/>
                <w:szCs w:val="20"/>
              </w:rPr>
              <w:t>Converged E&amp;E System and AMS Service Credit</w:t>
            </w:r>
          </w:p>
        </w:tc>
        <w:tc>
          <w:tcPr>
            <w:tcW w:w="8900" w:type="dxa"/>
          </w:tcPr>
          <w:p w14:paraId="67AEC77F"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comply results in a service credit of two  hundred fifty thousand dollars ($2500,000) for each Production environment per occurrence where the Go decision was made and a Release Schedule was set.</w:t>
            </w:r>
          </w:p>
        </w:tc>
      </w:tr>
    </w:tbl>
    <w:p w14:paraId="53814DEC" w14:textId="1546410D" w:rsidR="00620CF6" w:rsidRPr="002C7415" w:rsidRDefault="00620CF6" w:rsidP="00620CF6">
      <w:pPr>
        <w:pStyle w:val="HeadingSLA"/>
      </w:pPr>
      <w:bookmarkStart w:id="64" w:name="_Toc230258256"/>
      <w:bookmarkStart w:id="65" w:name="_Toc233199148"/>
      <w:r>
        <w:t>Converged Eligibility and Enrollment System and Appeals Management System User Acceptance Testing Environment Deployment</w:t>
      </w:r>
      <w:bookmarkEnd w:id="64"/>
      <w:bookmarkEnd w:id="65"/>
    </w:p>
    <w:tbl>
      <w:tblPr>
        <w:tblStyle w:val="DOH-LeftHeader"/>
        <w:tblW w:w="4998" w:type="pct"/>
        <w:tblLayout w:type="fixed"/>
        <w:tblLook w:val="0480" w:firstRow="0" w:lastRow="0" w:firstColumn="1" w:lastColumn="0" w:noHBand="0" w:noVBand="1"/>
      </w:tblPr>
      <w:tblGrid>
        <w:gridCol w:w="1886"/>
        <w:gridCol w:w="8900"/>
      </w:tblGrid>
      <w:tr w:rsidR="00620CF6" w:rsidRPr="002C7415" w14:paraId="31FB329C"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2973944" w14:textId="77777777" w:rsidR="00620CF6" w:rsidRPr="002C7415" w:rsidRDefault="00620CF6" w:rsidP="00DB06F0">
            <w:pPr>
              <w:rPr>
                <w:rFonts w:cs="Arial"/>
                <w:b w:val="0"/>
                <w:bCs w:val="0"/>
                <w:szCs w:val="20"/>
              </w:rPr>
            </w:pPr>
            <w:r>
              <w:rPr>
                <w:rFonts w:cs="Arial"/>
                <w:szCs w:val="20"/>
              </w:rPr>
              <w:t>Purpose</w:t>
            </w:r>
          </w:p>
        </w:tc>
        <w:tc>
          <w:tcPr>
            <w:tcW w:w="8900" w:type="dxa"/>
          </w:tcPr>
          <w:p w14:paraId="1E7CBA13" w14:textId="77777777" w:rsidR="00620CF6" w:rsidRPr="002C7415"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deployments doing exactly what the approved Release Plan says they will do. When the UAT Environment is updated, the Contractor must execute the approved release cleanly and on the approved schedule; missed deployments and incorrect deployments both undermine the integrity of every downstream activity. This SLA enforces that discipline at the UAT environment level.</w:t>
            </w:r>
          </w:p>
        </w:tc>
      </w:tr>
      <w:tr w:rsidR="00620CF6" w:rsidRPr="002C7415" w14:paraId="1040323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CD15DFF" w14:textId="77777777" w:rsidR="00620CF6" w:rsidRPr="002C7415" w:rsidRDefault="00620CF6" w:rsidP="00DB06F0">
            <w:pPr>
              <w:rPr>
                <w:rFonts w:cs="Arial"/>
                <w:b w:val="0"/>
                <w:bCs w:val="0"/>
                <w:szCs w:val="20"/>
              </w:rPr>
            </w:pPr>
            <w:r>
              <w:rPr>
                <w:rFonts w:cs="Arial"/>
                <w:szCs w:val="20"/>
              </w:rPr>
              <w:t>Specification</w:t>
            </w:r>
          </w:p>
        </w:tc>
        <w:tc>
          <w:tcPr>
            <w:tcW w:w="8900" w:type="dxa"/>
          </w:tcPr>
          <w:p w14:paraId="570FB283" w14:textId="77777777" w:rsidR="00620CF6" w:rsidRPr="002C7415"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UAT Environment is updated by the implementation of a Department-approved Release Plan and associated Release Schedule. The Release Plan strategically outlines how a product or feature is introduced to end-users and ensures all aspects of the specific Release are planned, well-coordinated, and effectively executed and describes the list of infrastructure, application, and software components to be deployed and their associated features. Non-compliance occurs if the Converged E&amp;E System or AMS components and artifacts listed on the Release Plan or instructions are not deployed per the deployment timeframe and schedule, or are deployed incorrectly. Compliance is determined by operational use of the Converged E&amp;E System and AMS Release in the UAT Environment and by review of release documentation for currency and accuracy.</w:t>
            </w:r>
          </w:p>
        </w:tc>
      </w:tr>
      <w:tr w:rsidR="00620CF6" w:rsidRPr="002C7415" w14:paraId="7A4F796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9D44886" w14:textId="77777777" w:rsidR="00620CF6" w:rsidRPr="002C7415" w:rsidRDefault="00620CF6" w:rsidP="00DB06F0">
            <w:pPr>
              <w:rPr>
                <w:rFonts w:cs="Arial"/>
                <w:b w:val="0"/>
                <w:bCs w:val="0"/>
                <w:szCs w:val="20"/>
              </w:rPr>
            </w:pPr>
            <w:r>
              <w:rPr>
                <w:rFonts w:cs="Arial"/>
                <w:szCs w:val="20"/>
              </w:rPr>
              <w:t>Service Level</w:t>
            </w:r>
          </w:p>
        </w:tc>
        <w:tc>
          <w:tcPr>
            <w:tcW w:w="8900" w:type="dxa"/>
          </w:tcPr>
          <w:p w14:paraId="2FEEE18C" w14:textId="77777777" w:rsidR="00620CF6" w:rsidRPr="002C7415"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UAT Environment deployments must be executed correctly and within the scheduled release date and time, where the Go decision was made and a Release Schedule was set.</w:t>
            </w:r>
          </w:p>
        </w:tc>
      </w:tr>
      <w:tr w:rsidR="00620CF6" w:rsidRPr="002C7415" w14:paraId="31882A24"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5F1FB9A" w14:textId="77777777" w:rsidR="00620CF6" w:rsidRPr="002C7415" w:rsidRDefault="00620CF6" w:rsidP="00DB06F0">
            <w:pPr>
              <w:rPr>
                <w:rFonts w:cs="Arial"/>
                <w:b w:val="0"/>
                <w:bCs w:val="0"/>
                <w:szCs w:val="20"/>
              </w:rPr>
            </w:pPr>
            <w:r>
              <w:rPr>
                <w:rFonts w:cs="Arial"/>
                <w:szCs w:val="20"/>
              </w:rPr>
              <w:t>Notes</w:t>
            </w:r>
          </w:p>
        </w:tc>
        <w:tc>
          <w:tcPr>
            <w:tcW w:w="8900" w:type="dxa"/>
          </w:tcPr>
          <w:p w14:paraId="3F4E14FE" w14:textId="77777777" w:rsidR="00620CF6" w:rsidRPr="002C7415"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Release Plans, Release Schedules, and Go decisions are governed by the Department-approved release management process. The Contractor must maintain the Release Plan, deployment instructions, and post-deployment validation records in a Department-accessible repository.</w:t>
            </w:r>
          </w:p>
        </w:tc>
      </w:tr>
      <w:tr w:rsidR="00620CF6" w:rsidRPr="002C7415" w14:paraId="60F72F6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FC58710" w14:textId="77777777" w:rsidR="00620CF6" w:rsidRPr="002C7415" w:rsidRDefault="00620CF6" w:rsidP="00DB06F0">
            <w:pPr>
              <w:rPr>
                <w:rFonts w:cs="Arial"/>
                <w:b w:val="0"/>
                <w:bCs w:val="0"/>
                <w:szCs w:val="20"/>
              </w:rPr>
            </w:pPr>
            <w:r>
              <w:rPr>
                <w:rFonts w:cs="Arial"/>
                <w:szCs w:val="20"/>
              </w:rPr>
              <w:t>Reporting Frequency</w:t>
            </w:r>
          </w:p>
        </w:tc>
        <w:tc>
          <w:tcPr>
            <w:tcW w:w="8900" w:type="dxa"/>
          </w:tcPr>
          <w:p w14:paraId="67DB3E70" w14:textId="77777777" w:rsidR="00620CF6" w:rsidRPr="002C7415"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Compliance is evaluated per deployment occurrence. The monthly DDI Status Report is delivered to the Department within five (5) business days after the end of each calendar month. This SLA is in effect after the Transition-In Cutover and continues through the Transition-Out Cutover.</w:t>
            </w:r>
          </w:p>
        </w:tc>
      </w:tr>
      <w:tr w:rsidR="00620CF6" w:rsidRPr="002C7415" w14:paraId="3D5C50E4"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5E308D2" w14:textId="77777777" w:rsidR="00620CF6" w:rsidRPr="002C7415" w:rsidRDefault="00620CF6" w:rsidP="00DB06F0">
            <w:pPr>
              <w:rPr>
                <w:rFonts w:cs="Arial"/>
                <w:szCs w:val="20"/>
              </w:rPr>
            </w:pPr>
            <w:r>
              <w:rPr>
                <w:rFonts w:cs="Arial"/>
                <w:szCs w:val="20"/>
              </w:rPr>
              <w:t>SLA Calculations</w:t>
            </w:r>
          </w:p>
        </w:tc>
        <w:tc>
          <w:tcPr>
            <w:tcW w:w="8900" w:type="dxa"/>
          </w:tcPr>
          <w:p w14:paraId="71D617CF" w14:textId="77777777" w:rsidR="00620CF6" w:rsidRPr="002C7415"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Compliance is measured per deployment occurrence. For each UAT Environment deployment, the Contractor records the Release Plan, the Release Schedule, the Go decision, the actual deployment timestamp, and the post-deployment validation outcome. Each deployment that is not </w:t>
            </w:r>
            <w:r>
              <w:rPr>
                <w:rFonts w:cs="Arial"/>
                <w:szCs w:val="20"/>
              </w:rPr>
              <w:lastRenderedPageBreak/>
              <w:t>executed within the scheduled release date and time, or that is deployed incorrectly, counts as one occurrence per affected UAT environment.</w:t>
            </w:r>
          </w:p>
        </w:tc>
      </w:tr>
      <w:tr w:rsidR="00620CF6" w:rsidRPr="002C7415" w14:paraId="25019E9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9981BDD" w14:textId="77777777" w:rsidR="00620CF6" w:rsidRPr="002C7415" w:rsidRDefault="00620CF6" w:rsidP="00DB06F0">
            <w:pPr>
              <w:rPr>
                <w:rFonts w:cs="Arial"/>
                <w:b w:val="0"/>
                <w:bCs w:val="0"/>
                <w:szCs w:val="20"/>
              </w:rPr>
            </w:pPr>
            <w:r>
              <w:rPr>
                <w:rFonts w:cs="Arial"/>
                <w:szCs w:val="20"/>
              </w:rPr>
              <w:lastRenderedPageBreak/>
              <w:t>SLA Calculations Definitions</w:t>
            </w:r>
          </w:p>
        </w:tc>
        <w:tc>
          <w:tcPr>
            <w:tcW w:w="8900" w:type="dxa"/>
          </w:tcPr>
          <w:p w14:paraId="7B71A960" w14:textId="77777777" w:rsidR="00620CF6" w:rsidRPr="002C7415"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Release Plan: </w:t>
            </w:r>
            <w:r>
              <w:rPr>
                <w:rFonts w:cs="Arial"/>
                <w:szCs w:val="20"/>
              </w:rPr>
              <w:t>A Department-approved deliverable that strategically outlines how a product or feature is introduced to end-users and ensures all aspects of the specific Release are planned, well-coordinated, and effectively executed. The Release Plan must include, at a minimum, deployment items, the release schedule, change control, a contingency plan, assumptions, constraints, and dependencies.</w:t>
            </w:r>
          </w:p>
          <w:p w14:paraId="527BBBA3" w14:textId="77777777" w:rsidR="00620CF6" w:rsidRPr="002C7415"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Release Schedule: </w:t>
            </w:r>
            <w:r>
              <w:rPr>
                <w:rFonts w:cs="Arial"/>
                <w:szCs w:val="20"/>
              </w:rPr>
              <w:t>The Department-approved schedule of planned deployment dates and activities, against which actual deployments are evaluated for timeliness. This is an element of the Release Plan.</w:t>
            </w:r>
          </w:p>
          <w:p w14:paraId="6FDA4E7A" w14:textId="77777777" w:rsidR="00620CF6" w:rsidRPr="002C7415"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Go Decision: </w:t>
            </w:r>
            <w:r>
              <w:rPr>
                <w:rFonts w:cs="Arial"/>
                <w:szCs w:val="20"/>
              </w:rPr>
              <w:t>The Department’s formal decision to proceed with a deployment to the UAT Environment, after which the Release Schedule is binding for the deployment.</w:t>
            </w:r>
          </w:p>
        </w:tc>
      </w:tr>
      <w:tr w:rsidR="00620CF6" w:rsidRPr="002C7415" w14:paraId="46CC546C"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A2E2C39" w14:textId="77777777" w:rsidR="00620CF6" w:rsidRPr="002C7415" w:rsidRDefault="00620CF6" w:rsidP="00DB06F0">
            <w:pPr>
              <w:rPr>
                <w:rFonts w:cs="Arial"/>
                <w:b w:val="0"/>
                <w:bCs w:val="0"/>
                <w:szCs w:val="20"/>
              </w:rPr>
            </w:pPr>
            <w:r>
              <w:rPr>
                <w:rFonts w:cs="Arial"/>
                <w:szCs w:val="20"/>
              </w:rPr>
              <w:t>Exclusions</w:t>
            </w:r>
          </w:p>
        </w:tc>
        <w:tc>
          <w:tcPr>
            <w:tcW w:w="8900" w:type="dxa"/>
          </w:tcPr>
          <w:p w14:paraId="68635BF9" w14:textId="77777777" w:rsidR="00620CF6" w:rsidRPr="002C7415"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deployment failures caused by Department-directed pauses or scope changes after the Go decision. The Contractor is responsible for demonstrating any claimed exclusion.</w:t>
            </w:r>
          </w:p>
        </w:tc>
      </w:tr>
      <w:tr w:rsidR="00620CF6" w:rsidRPr="002C7415" w14:paraId="387B237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7CF7B78" w14:textId="77777777" w:rsidR="00620CF6" w:rsidRPr="002C7415" w:rsidRDefault="00620CF6" w:rsidP="00DB06F0">
            <w:pPr>
              <w:rPr>
                <w:rFonts w:cs="Arial"/>
                <w:b w:val="0"/>
                <w:bCs w:val="0"/>
                <w:szCs w:val="20"/>
              </w:rPr>
            </w:pPr>
            <w:r>
              <w:rPr>
                <w:rFonts w:cs="Arial"/>
                <w:szCs w:val="20"/>
              </w:rPr>
              <w:t>Process to Compile and Report SLA</w:t>
            </w:r>
          </w:p>
        </w:tc>
        <w:tc>
          <w:tcPr>
            <w:tcW w:w="8900" w:type="dxa"/>
          </w:tcPr>
          <w:p w14:paraId="5DC061F7" w14:textId="77777777" w:rsidR="00620CF6" w:rsidRPr="002C7415"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UAT Environment deployment, the Contractor must capture and retain: the Release Plan; the Release Schedule; the Go decision; the deployment instructions; the actual deployment timestamp; the post-deployment validation records; and any incorrect-deployment evidence. The monthly DDI Status Report aggregates these records, identifies non-compliant deployments, totals service credits accrued, and is made available to the Department on request.</w:t>
            </w:r>
          </w:p>
        </w:tc>
      </w:tr>
      <w:tr w:rsidR="00620CF6" w:rsidRPr="002C7415" w14:paraId="64261894"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70D3552" w14:textId="77777777" w:rsidR="00620CF6" w:rsidRPr="002C7415" w:rsidRDefault="00620CF6" w:rsidP="00DB06F0">
            <w:pPr>
              <w:rPr>
                <w:rFonts w:cs="Arial"/>
                <w:b w:val="0"/>
                <w:bCs w:val="0"/>
                <w:szCs w:val="20"/>
              </w:rPr>
            </w:pPr>
            <w:r>
              <w:rPr>
                <w:rFonts w:cs="Arial"/>
                <w:szCs w:val="20"/>
              </w:rPr>
              <w:t>Converged E&amp;E System and AMS Service Credit</w:t>
            </w:r>
          </w:p>
        </w:tc>
        <w:tc>
          <w:tcPr>
            <w:tcW w:w="8900" w:type="dxa"/>
          </w:tcPr>
          <w:p w14:paraId="00C36C80" w14:textId="77777777" w:rsidR="00620CF6" w:rsidRPr="002C7415"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comply results in a service credit of fifty thousand dollars ($50,000) for each UAT environment per occurrence where the Go decision was made and a Release Schedule was set.</w:t>
            </w:r>
          </w:p>
        </w:tc>
      </w:tr>
    </w:tbl>
    <w:p w14:paraId="118AD836" w14:textId="433A4EBD" w:rsidR="00620CF6" w:rsidRPr="002C7415" w:rsidRDefault="00620CF6" w:rsidP="00620CF6">
      <w:pPr>
        <w:pStyle w:val="HeadingSLA"/>
      </w:pPr>
      <w:bookmarkStart w:id="66" w:name="_Toc230258260"/>
      <w:bookmarkStart w:id="67" w:name="_Toc233199149"/>
      <w:r>
        <w:t>Requirements Management</w:t>
      </w:r>
      <w:bookmarkEnd w:id="66"/>
      <w:bookmarkEnd w:id="67"/>
    </w:p>
    <w:tbl>
      <w:tblPr>
        <w:tblStyle w:val="DOH-LeftHeader"/>
        <w:tblW w:w="4998" w:type="pct"/>
        <w:tblLayout w:type="fixed"/>
        <w:tblLook w:val="0480" w:firstRow="0" w:lastRow="0" w:firstColumn="1" w:lastColumn="0" w:noHBand="0" w:noVBand="1"/>
      </w:tblPr>
      <w:tblGrid>
        <w:gridCol w:w="1886"/>
        <w:gridCol w:w="8900"/>
      </w:tblGrid>
      <w:tr w:rsidR="00620CF6" w:rsidRPr="002C7415" w14:paraId="0CD4D46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6955AA0" w14:textId="77777777" w:rsidR="00620CF6" w:rsidRPr="002C7415" w:rsidRDefault="00620CF6" w:rsidP="00DB06F0">
            <w:pPr>
              <w:rPr>
                <w:rFonts w:cs="Arial"/>
                <w:b w:val="0"/>
                <w:bCs w:val="0"/>
                <w:szCs w:val="20"/>
              </w:rPr>
            </w:pPr>
            <w:r>
              <w:rPr>
                <w:rFonts w:cs="Arial"/>
                <w:szCs w:val="20"/>
              </w:rPr>
              <w:t>Purpose</w:t>
            </w:r>
          </w:p>
        </w:tc>
        <w:tc>
          <w:tcPr>
            <w:tcW w:w="8900" w:type="dxa"/>
          </w:tcPr>
          <w:p w14:paraId="7AC258C7" w14:textId="77777777" w:rsidR="00620CF6" w:rsidRPr="002C7415"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is to ensure the development pipeline maintains a continuous flow of well-defined, actionable work. This SLA mitigates the risk of schedule delays by requiring the Contractor to actively participate in Refinement Sessions and to consistently transition OHIP-approved use cases into the Product Backlog for development. </w:t>
            </w:r>
          </w:p>
        </w:tc>
      </w:tr>
      <w:tr w:rsidR="00620CF6" w:rsidRPr="002C7415" w14:paraId="50D52CBC"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BE4AAD0" w14:textId="77777777" w:rsidR="00620CF6" w:rsidRPr="002C7415" w:rsidRDefault="00620CF6" w:rsidP="00DB06F0">
            <w:pPr>
              <w:rPr>
                <w:rFonts w:cs="Arial"/>
                <w:b w:val="0"/>
                <w:bCs w:val="0"/>
                <w:szCs w:val="20"/>
              </w:rPr>
            </w:pPr>
            <w:r>
              <w:rPr>
                <w:rFonts w:cs="Arial"/>
                <w:szCs w:val="20"/>
              </w:rPr>
              <w:t>Specification</w:t>
            </w:r>
          </w:p>
        </w:tc>
        <w:tc>
          <w:tcPr>
            <w:tcW w:w="8900" w:type="dxa"/>
          </w:tcPr>
          <w:p w14:paraId="6E79C706" w14:textId="77777777" w:rsidR="00620CF6" w:rsidRPr="002C7415"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For any DDI work performed under the Hybrid Iterative Development methodology (defined in the OHIP Solution Delivery Domain Document, Solution Development Life Cycle [SDLC] Standard) the Contractor must allocate a minimum of ten percent (10%) of each Iteration to be available for Refinement Sessions on active DDI use cases, except where the Department requests a cancellation.</w:t>
            </w:r>
          </w:p>
        </w:tc>
      </w:tr>
      <w:tr w:rsidR="00620CF6" w:rsidRPr="002C7415" w14:paraId="020E342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D22165E" w14:textId="77777777" w:rsidR="00620CF6" w:rsidRPr="002C7415" w:rsidRDefault="00620CF6" w:rsidP="00DB06F0">
            <w:pPr>
              <w:rPr>
                <w:rFonts w:cs="Arial"/>
                <w:b w:val="0"/>
                <w:bCs w:val="0"/>
                <w:szCs w:val="20"/>
              </w:rPr>
            </w:pPr>
            <w:r>
              <w:rPr>
                <w:rFonts w:cs="Arial"/>
                <w:szCs w:val="20"/>
              </w:rPr>
              <w:t>Service Level</w:t>
            </w:r>
          </w:p>
        </w:tc>
        <w:tc>
          <w:tcPr>
            <w:tcW w:w="8900" w:type="dxa"/>
          </w:tcPr>
          <w:p w14:paraId="3FC0E778" w14:textId="77777777" w:rsidR="00620CF6" w:rsidRPr="007610E9" w:rsidRDefault="00620CF6" w:rsidP="00DB06F0">
            <w:pPr>
              <w:pStyle w:val="TableBullet"/>
              <w:cnfStyle w:val="000000000000" w:firstRow="0" w:lastRow="0" w:firstColumn="0" w:lastColumn="0" w:oddVBand="0" w:evenVBand="0" w:oddHBand="0" w:evenHBand="0" w:firstRowFirstColumn="0" w:firstRowLastColumn="0" w:lastRowFirstColumn="0" w:lastRowLastColumn="0"/>
            </w:pPr>
            <w:r>
              <w:t>At least ten percent (10%) of each Iteration is available for Refinement Sessions</w:t>
            </w:r>
          </w:p>
          <w:p w14:paraId="667CBFD5" w14:textId="77777777" w:rsidR="00620CF6" w:rsidRPr="007610E9" w:rsidRDefault="00620CF6" w:rsidP="00DB06F0">
            <w:pPr>
              <w:pStyle w:val="TableBullet"/>
              <w:cnfStyle w:val="000000000000" w:firstRow="0" w:lastRow="0" w:firstColumn="0" w:lastColumn="0" w:oddVBand="0" w:evenVBand="0" w:oddHBand="0" w:evenHBand="0" w:firstRowFirstColumn="0" w:firstRowLastColumn="0" w:lastRowFirstColumn="0" w:lastRowLastColumn="0"/>
            </w:pPr>
            <w:r>
              <w:t>The Product Backlog must contain at least two (2) Iterations’ worth of use cases with the Department’s Product Owner approval at the start of each Iteration Planning meeting</w:t>
            </w:r>
          </w:p>
          <w:p w14:paraId="5AD83508" w14:textId="77777777" w:rsidR="00620CF6" w:rsidRPr="007610E9" w:rsidRDefault="00620CF6" w:rsidP="00DB06F0">
            <w:pPr>
              <w:pStyle w:val="TableBullet"/>
              <w:cnfStyle w:val="000000000000" w:firstRow="0" w:lastRow="0" w:firstColumn="0" w:lastColumn="0" w:oddVBand="0" w:evenVBand="0" w:oddHBand="0" w:evenHBand="0" w:firstRowFirstColumn="0" w:firstRowLastColumn="0" w:lastRowFirstColumn="0" w:lastRowLastColumn="0"/>
            </w:pPr>
            <w:r>
              <w:t>Every use case that received the Department’s Product Owner approval during a Refinement Session is updated in the tracking tool before the next Iteration Planning meeting</w:t>
            </w:r>
          </w:p>
          <w:p w14:paraId="337747E7" w14:textId="77777777" w:rsidR="00620CF6" w:rsidRPr="007610E9" w:rsidRDefault="00620CF6" w:rsidP="00DB06F0">
            <w:pPr>
              <w:pStyle w:val="TableBullet"/>
              <w:cnfStyle w:val="000000000000" w:firstRow="0" w:lastRow="0" w:firstColumn="0" w:lastColumn="0" w:oddVBand="0" w:evenVBand="0" w:oddHBand="0" w:evenHBand="0" w:firstRowFirstColumn="0" w:firstRowLastColumn="0" w:lastRowFirstColumn="0" w:lastRowLastColumn="0"/>
            </w:pPr>
            <w:r>
              <w:t>Every use case discussed during a Refinement Session is reflected in the Product Backlog with current status in the tracking tool before the next Iteration Planning meeting</w:t>
            </w:r>
          </w:p>
        </w:tc>
      </w:tr>
      <w:tr w:rsidR="00620CF6" w:rsidRPr="002C7415" w14:paraId="1F6118E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5F3575D" w14:textId="77777777" w:rsidR="00620CF6" w:rsidRPr="002C7415" w:rsidRDefault="00620CF6" w:rsidP="00DB06F0">
            <w:pPr>
              <w:rPr>
                <w:rFonts w:cs="Arial"/>
                <w:b w:val="0"/>
                <w:bCs w:val="0"/>
                <w:szCs w:val="20"/>
              </w:rPr>
            </w:pPr>
            <w:r>
              <w:rPr>
                <w:rFonts w:cs="Arial"/>
                <w:szCs w:val="20"/>
              </w:rPr>
              <w:t>Notes</w:t>
            </w:r>
          </w:p>
        </w:tc>
        <w:tc>
          <w:tcPr>
            <w:tcW w:w="8900" w:type="dxa"/>
          </w:tcPr>
          <w:p w14:paraId="136B8885" w14:textId="77777777" w:rsidR="00620CF6" w:rsidRPr="002C7415" w:rsidRDefault="00620CF6"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Department’s preferred tracking tool (as identified in the OHIP Infrastructure and Operations Domain Document, Preferred Operational Tools Standard) is the system of record for all Refinement Session activity and use case status. The Contractor must give the Department direct, read-only access to the tracking tool at all times so that Refinement Session attendance, use case status changes, and Product Backlog contents can be independently observed.</w:t>
            </w:r>
          </w:p>
        </w:tc>
      </w:tr>
      <w:tr w:rsidR="00620CF6" w:rsidRPr="002C7415" w14:paraId="73414D9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B06284B" w14:textId="77777777" w:rsidR="00620CF6" w:rsidRPr="002C7415" w:rsidRDefault="00620CF6" w:rsidP="00DB06F0">
            <w:pPr>
              <w:rPr>
                <w:rFonts w:cs="Arial"/>
                <w:b w:val="0"/>
                <w:bCs w:val="0"/>
                <w:szCs w:val="20"/>
              </w:rPr>
            </w:pPr>
            <w:r>
              <w:rPr>
                <w:rFonts w:cs="Arial"/>
                <w:szCs w:val="20"/>
              </w:rPr>
              <w:t>Reporting Frequency</w:t>
            </w:r>
          </w:p>
        </w:tc>
        <w:tc>
          <w:tcPr>
            <w:tcW w:w="8900" w:type="dxa"/>
          </w:tcPr>
          <w:p w14:paraId="6644AA2C" w14:textId="77777777" w:rsidR="00620CF6" w:rsidRPr="002C7415" w:rsidRDefault="00620CF6"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Monthly. Compliance is measured for each iteration. A per-iteration compliance summary covering Refinement Session attendance, use cases discussed, post-session updates, and Product </w:t>
            </w:r>
            <w:r>
              <w:rPr>
                <w:rFonts w:cs="Arial"/>
                <w:szCs w:val="20"/>
              </w:rPr>
              <w:lastRenderedPageBreak/>
              <w:t>Backlog status must be submitted to the Department prior to each Iteration Planning meeting. A monthly roll-up of these metrics, including any service credits accrued and any Department-approved cancellations, is due within five (5) business days after the end of each calendar month in the Monthly DDI Status Report.</w:t>
            </w:r>
          </w:p>
        </w:tc>
      </w:tr>
      <w:tr w:rsidR="00620CF6" w:rsidRPr="002C7415" w14:paraId="163D0E7C"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B4ACAD6" w14:textId="77777777" w:rsidR="00620CF6" w:rsidRPr="002C7415" w:rsidRDefault="00620CF6" w:rsidP="00DB06F0">
            <w:pPr>
              <w:rPr>
                <w:rFonts w:cs="Arial"/>
                <w:szCs w:val="20"/>
              </w:rPr>
            </w:pPr>
            <w:r>
              <w:rPr>
                <w:rFonts w:cs="Arial"/>
                <w:szCs w:val="20"/>
              </w:rPr>
              <w:lastRenderedPageBreak/>
              <w:t>SLA Calculations</w:t>
            </w:r>
          </w:p>
        </w:tc>
        <w:tc>
          <w:tcPr>
            <w:tcW w:w="8900" w:type="dxa"/>
          </w:tcPr>
          <w:p w14:paraId="6F544F14" w14:textId="77777777" w:rsidR="00620CF6"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Three separate compliance checks are performed for each iteration.</w:t>
            </w:r>
          </w:p>
          <w:p w14:paraId="106A9C38" w14:textId="77777777" w:rsidR="00620CF6" w:rsidRPr="00B63C7D" w:rsidRDefault="00620CF6" w:rsidP="00DB06F0">
            <w:pPr>
              <w:pStyle w:val="TableNumber"/>
              <w:cnfStyle w:val="000000010000" w:firstRow="0" w:lastRow="0" w:firstColumn="0" w:lastColumn="0" w:oddVBand="0" w:evenVBand="0" w:oddHBand="0" w:evenHBand="1" w:firstRowFirstColumn="0" w:firstRowLastColumn="0" w:lastRowFirstColumn="0" w:lastRowLastColumn="0"/>
            </w:pPr>
            <w:r>
              <w:rPr>
                <w:b/>
              </w:rPr>
              <w:t>Backlog Inventory</w:t>
            </w:r>
            <w:r>
              <w:t xml:space="preserve">: At the start of each Iteration Planning meeting, the count of Department’s Product Owner approved use cases in the Product Backlog is compared against the two-Iteration minimum. </w:t>
            </w:r>
          </w:p>
          <w:p w14:paraId="64F7BDD3" w14:textId="77777777" w:rsidR="00620CF6" w:rsidRPr="009B0E43" w:rsidRDefault="00620CF6" w:rsidP="00DB06F0">
            <w:pPr>
              <w:pStyle w:val="TableNumber"/>
              <w:cnfStyle w:val="000000010000" w:firstRow="0" w:lastRow="0" w:firstColumn="0" w:lastColumn="0" w:oddVBand="0" w:evenVBand="0" w:oddHBand="0" w:evenHBand="1" w:firstRowFirstColumn="0" w:firstRowLastColumn="0" w:lastRowFirstColumn="0" w:lastRowLastColumn="0"/>
            </w:pPr>
            <w:r>
              <w:rPr>
                <w:b/>
              </w:rPr>
              <w:t>Backlog Updates</w:t>
            </w:r>
            <w:r>
              <w:t xml:space="preserve">: For each use case discussed during a Refinement Session in the Iteration, confirm the use case status was updated in the Product Backlog before the next Iteration Planning meeting. </w:t>
            </w:r>
          </w:p>
          <w:p w14:paraId="0F3A2B4F" w14:textId="77777777" w:rsidR="00620CF6" w:rsidRDefault="00620CF6" w:rsidP="00DB06F0">
            <w:pPr>
              <w:pStyle w:val="TableNumber"/>
              <w:cnfStyle w:val="000000010000" w:firstRow="0" w:lastRow="0" w:firstColumn="0" w:lastColumn="0" w:oddVBand="0" w:evenVBand="0" w:oddHBand="0" w:evenHBand="1" w:firstRowFirstColumn="0" w:firstRowLastColumn="0" w:lastRowFirstColumn="0" w:lastRowLastColumn="0"/>
            </w:pPr>
            <w:r>
              <w:rPr>
                <w:b/>
              </w:rPr>
              <w:t>Post-Session Updates</w:t>
            </w:r>
            <w:r>
              <w:t xml:space="preserve">: For each use case that received the Department’s Product Owner approval during a Refinement Session, confirm that updates were completed before the next Iteration Planning meeting. </w:t>
            </w:r>
          </w:p>
          <w:p w14:paraId="459C3F81" w14:textId="77777777" w:rsidR="00620CF6" w:rsidRPr="00C3538B"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Service credit calculations apply the per-Iteration and per-use case amounts in the AMS Service Credit and Converged E&amp;E System and AMS Service Credit rows.</w:t>
            </w:r>
          </w:p>
        </w:tc>
      </w:tr>
      <w:tr w:rsidR="00620CF6" w:rsidRPr="002C7415" w14:paraId="6C33BC2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F615DA0" w14:textId="77777777" w:rsidR="00620CF6" w:rsidRPr="002C7415" w:rsidRDefault="00620CF6" w:rsidP="00DB06F0">
            <w:pPr>
              <w:rPr>
                <w:rFonts w:cs="Arial"/>
                <w:b w:val="0"/>
                <w:bCs w:val="0"/>
                <w:szCs w:val="20"/>
              </w:rPr>
            </w:pPr>
            <w:r>
              <w:rPr>
                <w:rFonts w:cs="Arial"/>
                <w:szCs w:val="20"/>
              </w:rPr>
              <w:t>SLA Calculations Definitions</w:t>
            </w:r>
          </w:p>
        </w:tc>
        <w:tc>
          <w:tcPr>
            <w:tcW w:w="8900" w:type="dxa"/>
          </w:tcPr>
          <w:p w14:paraId="15518DE8" w14:textId="77777777" w:rsidR="00620CF6"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Iteration</w:t>
            </w:r>
            <w:r>
              <w:rPr>
                <w:rFonts w:cs="Arial"/>
                <w:szCs w:val="20"/>
              </w:rPr>
              <w:t xml:space="preserve">: a time-boxed design and development cycle as defined in the Contractor’s Department-approved Iteration Planning Document per the OHIP Solution Delivery Domain Document, SDLC Standard. </w:t>
            </w:r>
            <w:r>
              <w:rPr>
                <w:rFonts w:cs="Arial"/>
                <w:b/>
                <w:bCs/>
                <w:szCs w:val="20"/>
              </w:rPr>
              <w:t>Refinement Session</w:t>
            </w:r>
            <w:r>
              <w:rPr>
                <w:rFonts w:cs="Arial"/>
                <w:szCs w:val="20"/>
              </w:rPr>
              <w:t>: a working session conducted per the OHIP Solution Delivery Domain Document, SDLC Standard, and applied during Iteration Activity One (1) (Requirements) in the SDLC, in which the Contractor and the Department review candidate use cases and obtain the Department’s Product Owner approval for inclusion in upcoming Iterations.</w:t>
            </w:r>
          </w:p>
          <w:p w14:paraId="74BDBB65" w14:textId="77777777" w:rsidR="00620CF6"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Backlog Refinement</w:t>
            </w:r>
            <w:r>
              <w:rPr>
                <w:rFonts w:cs="Arial"/>
                <w:szCs w:val="20"/>
              </w:rPr>
              <w:t>: the continuous refinement activity as defined in the OHIP Solution Delivery Domain Document, SDLC Standard, and applied to maintain a current, prioritized Product Backlog throughout each Iteration.</w:t>
            </w:r>
          </w:p>
          <w:p w14:paraId="2DCB01C9" w14:textId="77777777" w:rsidR="00620CF6"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Product Backlog</w:t>
            </w:r>
            <w:r>
              <w:rPr>
                <w:rFonts w:cs="Arial"/>
                <w:szCs w:val="20"/>
              </w:rPr>
              <w:t>: as defined in the OHIP Solution Delivery Domain Document, SDLC Standard, the prioritized list of all work known to be needed in the product, serving as the single source of requirements for any changes to the product.</w:t>
            </w:r>
          </w:p>
          <w:p w14:paraId="60104BAB" w14:textId="77777777" w:rsidR="00620CF6" w:rsidRPr="002C7415"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Use Case</w:t>
            </w:r>
            <w:r>
              <w:rPr>
                <w:rFonts w:cs="Arial"/>
                <w:szCs w:val="20"/>
              </w:rPr>
              <w:t>: the unit of work, recorded in the tracking tool, meeting SMART, INVEST, and Definition of Done criteria as defined in the OHIP Solution Delivery Domain Document, SDLC Standard.</w:t>
            </w:r>
          </w:p>
        </w:tc>
      </w:tr>
      <w:tr w:rsidR="00620CF6" w:rsidRPr="002C7415" w14:paraId="644660F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7C7217B" w14:textId="77777777" w:rsidR="00620CF6" w:rsidRPr="002C7415" w:rsidRDefault="00620CF6" w:rsidP="00DB06F0">
            <w:pPr>
              <w:rPr>
                <w:rFonts w:cs="Arial"/>
                <w:b w:val="0"/>
                <w:bCs w:val="0"/>
                <w:szCs w:val="20"/>
              </w:rPr>
            </w:pPr>
            <w:r>
              <w:rPr>
                <w:rFonts w:cs="Arial"/>
                <w:szCs w:val="20"/>
              </w:rPr>
              <w:t>Exclusions</w:t>
            </w:r>
          </w:p>
        </w:tc>
        <w:tc>
          <w:tcPr>
            <w:tcW w:w="8900" w:type="dxa"/>
          </w:tcPr>
          <w:p w14:paraId="4D5C2D65" w14:textId="77777777" w:rsidR="00620CF6" w:rsidRPr="002C7415"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Refinement Session cancellations requested by the Department are excluded from the Contractor’s compliance count. The Contractor must retain the Department’s written confirmation of any cancellation it relies on as an exclusion and produce it on request.</w:t>
            </w:r>
          </w:p>
        </w:tc>
      </w:tr>
      <w:tr w:rsidR="00620CF6" w:rsidRPr="002C7415" w14:paraId="195195B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B03E04A" w14:textId="77777777" w:rsidR="00620CF6" w:rsidRPr="002C7415" w:rsidRDefault="00620CF6" w:rsidP="00DB06F0">
            <w:pPr>
              <w:rPr>
                <w:rFonts w:cs="Arial"/>
                <w:b w:val="0"/>
                <w:bCs w:val="0"/>
                <w:szCs w:val="20"/>
              </w:rPr>
            </w:pPr>
            <w:r>
              <w:rPr>
                <w:rFonts w:cs="Arial"/>
                <w:szCs w:val="20"/>
              </w:rPr>
              <w:t>Process to Compile and Report SLA</w:t>
            </w:r>
          </w:p>
        </w:tc>
        <w:tc>
          <w:tcPr>
            <w:tcW w:w="8900" w:type="dxa"/>
          </w:tcPr>
          <w:p w14:paraId="5EC065ED" w14:textId="77777777" w:rsidR="00620CF6"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For each iteration, the Contractor must: </w:t>
            </w:r>
          </w:p>
          <w:p w14:paraId="1613166F" w14:textId="77777777" w:rsidR="00620CF6" w:rsidRPr="00B22835" w:rsidRDefault="00620CF6" w:rsidP="00DB06F0">
            <w:pPr>
              <w:pStyle w:val="TableBullet"/>
              <w:cnfStyle w:val="000000000000" w:firstRow="0" w:lastRow="0" w:firstColumn="0" w:lastColumn="0" w:oddVBand="0" w:evenVBand="0" w:oddHBand="0" w:evenHBand="0" w:firstRowFirstColumn="0" w:firstRowLastColumn="0" w:lastRowFirstColumn="0" w:lastRowLastColumn="0"/>
            </w:pPr>
            <w:r>
              <w:t xml:space="preserve">Record Refinement Session attendance, agendas, and outcomes; </w:t>
            </w:r>
          </w:p>
          <w:p w14:paraId="755051EC" w14:textId="77777777" w:rsidR="00620CF6" w:rsidRPr="00B22835" w:rsidRDefault="00620CF6" w:rsidP="00DB06F0">
            <w:pPr>
              <w:pStyle w:val="TableBullet"/>
              <w:cnfStyle w:val="000000000000" w:firstRow="0" w:lastRow="0" w:firstColumn="0" w:lastColumn="0" w:oddVBand="0" w:evenVBand="0" w:oddHBand="0" w:evenHBand="0" w:firstRowFirstColumn="0" w:firstRowLastColumn="0" w:lastRowFirstColumn="0" w:lastRowLastColumn="0"/>
            </w:pPr>
            <w:r>
              <w:t xml:space="preserve">Extract the list of use cases discussed from the tracking tool, including post-session updates and the Product Backlog status changes; </w:t>
            </w:r>
          </w:p>
          <w:p w14:paraId="2563D461" w14:textId="77777777" w:rsidR="00620CF6" w:rsidRPr="00B22835" w:rsidRDefault="00620CF6" w:rsidP="00DB06F0">
            <w:pPr>
              <w:pStyle w:val="TableBullet"/>
              <w:cnfStyle w:val="000000000000" w:firstRow="0" w:lastRow="0" w:firstColumn="0" w:lastColumn="0" w:oddVBand="0" w:evenVBand="0" w:oddHBand="0" w:evenHBand="0" w:firstRowFirstColumn="0" w:firstRowLastColumn="0" w:lastRowFirstColumn="0" w:lastRowLastColumn="0"/>
            </w:pPr>
            <w:r>
              <w:t xml:space="preserve">Reconcile that list against the Iteration’s Refinement Sessions; and </w:t>
            </w:r>
          </w:p>
          <w:p w14:paraId="01D75AA5" w14:textId="77777777" w:rsidR="00620CF6" w:rsidRPr="00B22835" w:rsidRDefault="00620CF6" w:rsidP="00DB06F0">
            <w:pPr>
              <w:pStyle w:val="TableBullet"/>
              <w:cnfStyle w:val="000000000000" w:firstRow="0" w:lastRow="0" w:firstColumn="0" w:lastColumn="0" w:oddVBand="0" w:evenVBand="0" w:oddHBand="0" w:evenHBand="0" w:firstRowFirstColumn="0" w:firstRowLastColumn="0" w:lastRowFirstColumn="0" w:lastRowLastColumn="0"/>
            </w:pPr>
            <w:r>
              <w:t>Submit a per-Iteration compliance report covering the three (3) compliance checks listed in SLA Calculations.</w:t>
            </w:r>
          </w:p>
          <w:p w14:paraId="3DBD1168" w14:textId="77777777" w:rsidR="00620CF6" w:rsidRPr="002C7415"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monthly roll-up, summarizing Iteration-level compliance, service credits accrued, and any Department-approved cancellations, is due within five (5) business days after the end of each calendar month within the Monthly DDI Status Report.</w:t>
            </w:r>
          </w:p>
        </w:tc>
      </w:tr>
      <w:tr w:rsidR="00620CF6" w:rsidRPr="002C7415" w14:paraId="7E22F31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9E9F455" w14:textId="77777777" w:rsidR="00620CF6" w:rsidRPr="002C7415" w:rsidRDefault="00620CF6" w:rsidP="00DB06F0">
            <w:pPr>
              <w:rPr>
                <w:rFonts w:cs="Arial"/>
                <w:b w:val="0"/>
                <w:bCs w:val="0"/>
                <w:szCs w:val="20"/>
              </w:rPr>
            </w:pPr>
            <w:r>
              <w:rPr>
                <w:rFonts w:cs="Arial"/>
                <w:szCs w:val="20"/>
              </w:rPr>
              <w:t>AMS Service Credit</w:t>
            </w:r>
          </w:p>
        </w:tc>
        <w:tc>
          <w:tcPr>
            <w:tcW w:w="8900" w:type="dxa"/>
          </w:tcPr>
          <w:p w14:paraId="4F4F5312" w14:textId="77777777" w:rsidR="00620CF6"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Insufficient Use Cases (Initial Service Credit):</w:t>
            </w:r>
            <w:r>
              <w:rPr>
                <w:rFonts w:cs="Arial"/>
                <w:szCs w:val="20"/>
              </w:rPr>
              <w:t xml:space="preserve"> A service credit of two thousand five hundred dollars ($2,500) per iteration applies where the Contractor’s cancellation of Refinement Sessions results in fewer than two (2) Iterations’ worth of OHIP-approved use cases in the Product Backlog at the start of the next Iteration Planning meeting.</w:t>
            </w:r>
          </w:p>
          <w:p w14:paraId="3132AC7C" w14:textId="77777777" w:rsidR="00620CF6"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Missed Use Case Update (Initial Service Credit): </w:t>
            </w:r>
            <w:r>
              <w:rPr>
                <w:rFonts w:cs="Arial"/>
                <w:szCs w:val="20"/>
              </w:rPr>
              <w:t xml:space="preserve">A service credit of five hundred dollars ($500) per use case per Iteration applies for each use case that received the Department’s Product </w:t>
            </w:r>
            <w:r>
              <w:rPr>
                <w:rFonts w:cs="Arial"/>
                <w:szCs w:val="20"/>
              </w:rPr>
              <w:lastRenderedPageBreak/>
              <w:t>Owner approval during a Refinement Session but is not updated in the tracking tool before the next Iteration Planning meeting.</w:t>
            </w:r>
          </w:p>
          <w:p w14:paraId="000FEDD0" w14:textId="77777777" w:rsidR="00620CF6" w:rsidRPr="002C7415" w:rsidRDefault="00620CF6"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Missed Backlog Use Case (Initial Service Credit):</w:t>
            </w:r>
            <w:r>
              <w:rPr>
                <w:rFonts w:cs="Arial"/>
                <w:szCs w:val="20"/>
              </w:rPr>
              <w:t xml:space="preserve"> A service credit of five hundred dollars ($500) per use case per Iteration applies where a discussed use case is not updated in the tracking tool Product Backlog before the next Iteration Planning meeting.</w:t>
            </w:r>
          </w:p>
        </w:tc>
      </w:tr>
      <w:tr w:rsidR="00620CF6" w:rsidRPr="002C7415" w14:paraId="272B53C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DD4B1D8" w14:textId="77777777" w:rsidR="00620CF6" w:rsidRPr="002C7415" w:rsidRDefault="00620CF6" w:rsidP="00DB06F0">
            <w:pPr>
              <w:rPr>
                <w:rFonts w:cs="Arial"/>
                <w:b w:val="0"/>
                <w:bCs w:val="0"/>
                <w:szCs w:val="20"/>
              </w:rPr>
            </w:pPr>
            <w:r>
              <w:rPr>
                <w:rFonts w:cs="Arial"/>
                <w:szCs w:val="20"/>
              </w:rPr>
              <w:lastRenderedPageBreak/>
              <w:t>Converged E&amp;E System and AMS Service Credit</w:t>
            </w:r>
          </w:p>
        </w:tc>
        <w:tc>
          <w:tcPr>
            <w:tcW w:w="8900" w:type="dxa"/>
          </w:tcPr>
          <w:p w14:paraId="03B76FBC" w14:textId="77777777" w:rsidR="00620CF6"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Insufficient Use Cases (Initial Service Credit):</w:t>
            </w:r>
            <w:r>
              <w:rPr>
                <w:rFonts w:cs="Arial"/>
                <w:szCs w:val="20"/>
              </w:rPr>
              <w:t xml:space="preserve"> A service credit of five thousand dollars ($5,000) per Iteration applies where the Contractor’s cancellation of Refinement Sessions results in fewer than two (2) Iterations’ worth of Department-approved use cases in the Product Backlog at the start of the next Iteration Planning meeting.</w:t>
            </w:r>
          </w:p>
          <w:p w14:paraId="2F461E9E" w14:textId="77777777" w:rsidR="00620CF6"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Missed Use Case Update (Initial Service Credit): </w:t>
            </w:r>
            <w:r>
              <w:rPr>
                <w:rFonts w:cs="Arial"/>
                <w:szCs w:val="20"/>
              </w:rPr>
              <w:t xml:space="preserve">A service credit of five hundred dollars ($500) per use case per Iteration applies for each use case that received the Department’s Product Owner approval during a Refinement Session but is not updated in the tracking tool before the next Iteration Planning meeting. </w:t>
            </w:r>
          </w:p>
          <w:p w14:paraId="30116A64" w14:textId="77777777" w:rsidR="00620CF6" w:rsidRPr="002C7415" w:rsidRDefault="00620CF6"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Missed Backlog Update Use Case (Initial Service Credit):</w:t>
            </w:r>
            <w:r>
              <w:rPr>
                <w:rFonts w:cs="Arial"/>
                <w:szCs w:val="20"/>
              </w:rPr>
              <w:t xml:space="preserve"> Service credit of five  hundred dollars ($500) per use case per Iteration applies where a discussed use case is not updated in the tracking tool Product Backlog before the next Iteration Planning meeting.</w:t>
            </w:r>
          </w:p>
        </w:tc>
      </w:tr>
    </w:tbl>
    <w:p w14:paraId="6CEE96F3" w14:textId="2EEB7949" w:rsidR="009B060F" w:rsidRPr="002C7415" w:rsidRDefault="009B060F" w:rsidP="009B060F">
      <w:pPr>
        <w:pStyle w:val="HeadingSLA"/>
      </w:pPr>
      <w:bookmarkStart w:id="68" w:name="_Toc230258257"/>
      <w:bookmarkStart w:id="69" w:name="_Toc233199150"/>
      <w:r>
        <w:t>Converged Eligibility and Enrollment System and Appeals Management System Environment Schedule</w:t>
      </w:r>
      <w:bookmarkEnd w:id="68"/>
      <w:bookmarkEnd w:id="69"/>
    </w:p>
    <w:tbl>
      <w:tblPr>
        <w:tblStyle w:val="DOH-LeftHeader"/>
        <w:tblW w:w="4998" w:type="pct"/>
        <w:tblLayout w:type="fixed"/>
        <w:tblLook w:val="0480" w:firstRow="0" w:lastRow="0" w:firstColumn="1" w:lastColumn="0" w:noHBand="0" w:noVBand="1"/>
      </w:tblPr>
      <w:tblGrid>
        <w:gridCol w:w="1886"/>
        <w:gridCol w:w="8900"/>
      </w:tblGrid>
      <w:tr w:rsidR="009B060F" w:rsidRPr="002C7415" w14:paraId="4778261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821E749" w14:textId="77777777" w:rsidR="009B060F" w:rsidRPr="002C7415" w:rsidRDefault="009B060F" w:rsidP="00DB06F0">
            <w:pPr>
              <w:rPr>
                <w:rFonts w:cs="Arial"/>
                <w:b w:val="0"/>
                <w:bCs w:val="0"/>
                <w:szCs w:val="20"/>
              </w:rPr>
            </w:pPr>
            <w:r>
              <w:rPr>
                <w:rFonts w:cs="Arial"/>
                <w:szCs w:val="20"/>
              </w:rPr>
              <w:t>Purpose</w:t>
            </w:r>
          </w:p>
        </w:tc>
        <w:tc>
          <w:tcPr>
            <w:tcW w:w="8900" w:type="dxa"/>
          </w:tcPr>
          <w:p w14:paraId="67B28A7F" w14:textId="77777777" w:rsidR="009B060F" w:rsidRPr="002C7415" w:rsidRDefault="009B060F"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the Contractor adhering to the deployment and refresh schedule the Department has approved. The Release Schedule is the Department’s plan for change; if the Contractor consistently misses the planned dates, the Department loses the ability to synchronize its own work, communications, and dependent systems. This SLA enforces schedule discipline.</w:t>
            </w:r>
          </w:p>
        </w:tc>
      </w:tr>
      <w:tr w:rsidR="009B060F" w:rsidRPr="002C7415" w14:paraId="5A512BB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75944A6" w14:textId="77777777" w:rsidR="009B060F" w:rsidRPr="002C7415" w:rsidRDefault="009B060F" w:rsidP="00DB06F0">
            <w:pPr>
              <w:rPr>
                <w:rFonts w:cs="Arial"/>
                <w:b w:val="0"/>
                <w:bCs w:val="0"/>
                <w:szCs w:val="20"/>
              </w:rPr>
            </w:pPr>
            <w:r>
              <w:rPr>
                <w:rFonts w:cs="Arial"/>
                <w:szCs w:val="20"/>
              </w:rPr>
              <w:t>Specification</w:t>
            </w:r>
          </w:p>
        </w:tc>
        <w:tc>
          <w:tcPr>
            <w:tcW w:w="8900" w:type="dxa"/>
          </w:tcPr>
          <w:p w14:paraId="66AB726A" w14:textId="77777777" w:rsidR="009B060F" w:rsidRPr="002C7415" w:rsidRDefault="009B060F"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Environment deployment and refresh schedule compliance is assessed by tracking the implementation of a Department-approved Release Plan, as outlined in the approved Release Schedule. The Release Plan must be completed (with the Release Plan work item status of “Deployment Completed”) within five (5) business days of the calendar date specified in the Approved Start Deployment attribute of the Release Plan for the Production or UAT Environment. </w:t>
            </w:r>
          </w:p>
        </w:tc>
      </w:tr>
      <w:tr w:rsidR="009B060F" w:rsidRPr="002C7415" w14:paraId="348A120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707ECB0" w14:textId="77777777" w:rsidR="009B060F" w:rsidRPr="002C7415" w:rsidRDefault="009B060F" w:rsidP="00DB06F0">
            <w:pPr>
              <w:rPr>
                <w:rFonts w:cs="Arial"/>
                <w:b w:val="0"/>
                <w:bCs w:val="0"/>
                <w:szCs w:val="20"/>
              </w:rPr>
            </w:pPr>
            <w:r>
              <w:rPr>
                <w:rFonts w:cs="Arial"/>
                <w:szCs w:val="20"/>
              </w:rPr>
              <w:t>Service Level</w:t>
            </w:r>
          </w:p>
        </w:tc>
        <w:tc>
          <w:tcPr>
            <w:tcW w:w="8900" w:type="dxa"/>
          </w:tcPr>
          <w:p w14:paraId="061025E2" w14:textId="77777777" w:rsidR="009B060F" w:rsidRPr="002C7415" w:rsidRDefault="009B060F"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Release Plans must be completed within five (5) business days of the Approved Start Deployment date for the Production or UAT Environment, and the Department-approved Release Schedule must be adhered to for all deployments unless a written exception is granted.</w:t>
            </w:r>
          </w:p>
        </w:tc>
      </w:tr>
      <w:tr w:rsidR="009B060F" w:rsidRPr="002C7415" w14:paraId="6647724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FE1DECC" w14:textId="77777777" w:rsidR="009B060F" w:rsidRPr="002C7415" w:rsidRDefault="009B060F" w:rsidP="00DB06F0">
            <w:pPr>
              <w:rPr>
                <w:rFonts w:cs="Arial"/>
                <w:b w:val="0"/>
                <w:bCs w:val="0"/>
                <w:szCs w:val="20"/>
              </w:rPr>
            </w:pPr>
            <w:r>
              <w:rPr>
                <w:rFonts w:cs="Arial"/>
                <w:szCs w:val="20"/>
              </w:rPr>
              <w:t>Notes</w:t>
            </w:r>
          </w:p>
        </w:tc>
        <w:tc>
          <w:tcPr>
            <w:tcW w:w="8900" w:type="dxa"/>
          </w:tcPr>
          <w:p w14:paraId="072D0C8F" w14:textId="77777777" w:rsidR="009B060F" w:rsidRPr="002C7415" w:rsidRDefault="009B060F"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Release Schedule, which details planned deployment dates and activities, must be submitted quarterly by the Contractor, reviewed and approved by the Department, and adhered to for all deployments unless an exception is granted in writing.</w:t>
            </w:r>
          </w:p>
        </w:tc>
      </w:tr>
      <w:tr w:rsidR="009B060F" w:rsidRPr="002C7415" w14:paraId="40FC288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DF7438A" w14:textId="77777777" w:rsidR="009B060F" w:rsidRPr="002C7415" w:rsidRDefault="009B060F" w:rsidP="00DB06F0">
            <w:pPr>
              <w:rPr>
                <w:rFonts w:cs="Arial"/>
                <w:b w:val="0"/>
                <w:bCs w:val="0"/>
                <w:szCs w:val="20"/>
              </w:rPr>
            </w:pPr>
            <w:r>
              <w:rPr>
                <w:rFonts w:cs="Arial"/>
                <w:szCs w:val="20"/>
              </w:rPr>
              <w:t>Reporting Frequency</w:t>
            </w:r>
          </w:p>
        </w:tc>
        <w:tc>
          <w:tcPr>
            <w:tcW w:w="8900" w:type="dxa"/>
          </w:tcPr>
          <w:p w14:paraId="71E6DEBF" w14:textId="77777777" w:rsidR="009B060F" w:rsidRPr="002C7415" w:rsidRDefault="009B060F"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Compliance is evaluated per Release Plan. The monthly DDI Status Report is delivered to the Department within five (5) business days after the end of each calendar month.</w:t>
            </w:r>
          </w:p>
        </w:tc>
      </w:tr>
      <w:tr w:rsidR="009B060F" w:rsidRPr="002C7415" w14:paraId="0F8A6AC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4AB35C8" w14:textId="77777777" w:rsidR="009B060F" w:rsidRPr="002C7415" w:rsidRDefault="009B060F" w:rsidP="00DB06F0">
            <w:pPr>
              <w:rPr>
                <w:rFonts w:cs="Arial"/>
                <w:szCs w:val="20"/>
              </w:rPr>
            </w:pPr>
            <w:r>
              <w:rPr>
                <w:rFonts w:cs="Arial"/>
                <w:szCs w:val="20"/>
              </w:rPr>
              <w:t>SLA Calculations</w:t>
            </w:r>
          </w:p>
        </w:tc>
        <w:tc>
          <w:tcPr>
            <w:tcW w:w="8900" w:type="dxa"/>
          </w:tcPr>
          <w:p w14:paraId="573B0DBA" w14:textId="77777777" w:rsidR="009B060F" w:rsidRPr="002C7415" w:rsidRDefault="009B060F"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Release Plan. For each Release Plan, the Contractor records the Approved Start Deployment date and the date the Release Plan reached “Deployment Completed” status. A Release Plan is non-compliant if completion occurs more than five (5) business days after the Approved Start Deployment date. Once a Release Plan becomes non-compliant, an additional credit accrues for each additional business day, or portion thereof, until completion.</w:t>
            </w:r>
          </w:p>
        </w:tc>
      </w:tr>
      <w:tr w:rsidR="009B060F" w:rsidRPr="002C7415" w14:paraId="002C53C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C2EC502" w14:textId="77777777" w:rsidR="009B060F" w:rsidRPr="002C7415" w:rsidRDefault="009B060F" w:rsidP="00DB06F0">
            <w:pPr>
              <w:rPr>
                <w:rFonts w:cs="Arial"/>
                <w:b w:val="0"/>
                <w:bCs w:val="0"/>
                <w:szCs w:val="20"/>
              </w:rPr>
            </w:pPr>
            <w:r>
              <w:rPr>
                <w:rFonts w:cs="Arial"/>
                <w:szCs w:val="20"/>
              </w:rPr>
              <w:t>SLA Calculations Definitions</w:t>
            </w:r>
          </w:p>
        </w:tc>
        <w:tc>
          <w:tcPr>
            <w:tcW w:w="8900" w:type="dxa"/>
          </w:tcPr>
          <w:p w14:paraId="3948B578" w14:textId="77777777" w:rsidR="009B060F" w:rsidRPr="002C7415" w:rsidRDefault="009B060F"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Release Plan: </w:t>
            </w:r>
            <w:r>
              <w:rPr>
                <w:rFonts w:cs="Arial"/>
                <w:szCs w:val="20"/>
              </w:rPr>
              <w:t>A Department-approved deliverable that strategically outlines how a product or feature is introduced to end-users and ensures all aspects of the specific Release are planned, well-coordinated, and effectively executed. The Release Plan must include, at a minimum, deployment items, the release schedule, change control, a contingency plan, assumptions, constraints, and dependencies.</w:t>
            </w:r>
          </w:p>
          <w:p w14:paraId="35668AF8" w14:textId="77777777" w:rsidR="009B060F" w:rsidRPr="002C7415" w:rsidRDefault="009B060F"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lastRenderedPageBreak/>
              <w:t xml:space="preserve">Release Schedule: </w:t>
            </w:r>
            <w:r>
              <w:rPr>
                <w:rFonts w:cs="Arial"/>
                <w:szCs w:val="20"/>
              </w:rPr>
              <w:t>The Department-approved schedule of planned deployment dates and activities, against which actual deployments are evaluated for timeliness. This is an element of the Release Plan.</w:t>
            </w:r>
          </w:p>
          <w:p w14:paraId="39EE25C9" w14:textId="77777777" w:rsidR="009B060F" w:rsidRPr="002C7415" w:rsidRDefault="009B060F"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Deployment Completed: </w:t>
            </w:r>
            <w:r>
              <w:rPr>
                <w:rFonts w:cs="Arial"/>
                <w:szCs w:val="20"/>
              </w:rPr>
              <w:t>The Release Plan work item status indicating that the deployment has been successfully executed and validated.</w:t>
            </w:r>
          </w:p>
        </w:tc>
      </w:tr>
      <w:tr w:rsidR="009B060F" w:rsidRPr="002C7415" w14:paraId="391D533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F95F4BF" w14:textId="77777777" w:rsidR="009B060F" w:rsidRPr="002C7415" w:rsidRDefault="009B060F" w:rsidP="00DB06F0">
            <w:pPr>
              <w:rPr>
                <w:rFonts w:cs="Arial"/>
                <w:b w:val="0"/>
                <w:bCs w:val="0"/>
                <w:szCs w:val="20"/>
              </w:rPr>
            </w:pPr>
            <w:r>
              <w:rPr>
                <w:rFonts w:cs="Arial"/>
                <w:szCs w:val="20"/>
              </w:rPr>
              <w:lastRenderedPageBreak/>
              <w:t>Exclusions</w:t>
            </w:r>
          </w:p>
        </w:tc>
        <w:tc>
          <w:tcPr>
            <w:tcW w:w="8900" w:type="dxa"/>
          </w:tcPr>
          <w:p w14:paraId="76DB10DC" w14:textId="77777777" w:rsidR="009B060F" w:rsidRDefault="009B060F"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following are excluded from this SLA:</w:t>
            </w:r>
          </w:p>
          <w:p w14:paraId="4D22CF77" w14:textId="77777777" w:rsidR="009B060F" w:rsidRDefault="009B060F" w:rsidP="00DB06F0">
            <w:pPr>
              <w:pStyle w:val="TableBullet"/>
              <w:cnfStyle w:val="000000010000" w:firstRow="0" w:lastRow="0" w:firstColumn="0" w:lastColumn="0" w:oddVBand="0" w:evenVBand="0" w:oddHBand="0" w:evenHBand="1" w:firstRowFirstColumn="0" w:firstRowLastColumn="0" w:lastRowFirstColumn="0" w:lastRowLastColumn="0"/>
            </w:pPr>
            <w:r>
              <w:t>Production deployment activities scheduled and performed outside of the operational maintenance window</w:t>
            </w:r>
          </w:p>
          <w:p w14:paraId="4B7DF8B3" w14:textId="77777777" w:rsidR="009B060F" w:rsidRDefault="009B060F" w:rsidP="00DB06F0">
            <w:pPr>
              <w:pStyle w:val="TableBullet"/>
              <w:cnfStyle w:val="000000010000" w:firstRow="0" w:lastRow="0" w:firstColumn="0" w:lastColumn="0" w:oddVBand="0" w:evenVBand="0" w:oddHBand="0" w:evenHBand="1" w:firstRowFirstColumn="0" w:firstRowLastColumn="0" w:lastRowFirstColumn="0" w:lastRowLastColumn="0"/>
            </w:pPr>
            <w:r>
              <w:t>Exceptions to the minimum five (5) business days advance notice for UAT deployment of a specific Converged E&amp;E System and AMS Release</w:t>
            </w:r>
          </w:p>
          <w:p w14:paraId="3ABAB728" w14:textId="77777777" w:rsidR="009B060F" w:rsidRDefault="009B060F" w:rsidP="00DB06F0">
            <w:pPr>
              <w:pStyle w:val="TableBullet"/>
              <w:cnfStyle w:val="000000010000" w:firstRow="0" w:lastRow="0" w:firstColumn="0" w:lastColumn="0" w:oddVBand="0" w:evenVBand="0" w:oddHBand="0" w:evenHBand="1" w:firstRowFirstColumn="0" w:firstRowLastColumn="0" w:lastRowFirstColumn="0" w:lastRowLastColumn="0"/>
            </w:pPr>
            <w:r>
              <w:t>Release Plans containing exceptional factors that extend the duration of deployment activities, including release synchronization or merge activities that must be performed sequentially, notice-related components deployed the day after the regular deployment, and deployments involving concurrent changes to both the Converged E&amp;E System or AMS and a third-party system that may be delayed due to resource availability</w:t>
            </w:r>
          </w:p>
          <w:p w14:paraId="281141FD" w14:textId="77777777" w:rsidR="009B060F" w:rsidRPr="00136E9D" w:rsidRDefault="009B060F"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Excluded conditions must be documented on the Release Plan.</w:t>
            </w:r>
          </w:p>
        </w:tc>
      </w:tr>
      <w:tr w:rsidR="009B060F" w:rsidRPr="002C7415" w14:paraId="50A16AA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50D2ED5" w14:textId="77777777" w:rsidR="009B060F" w:rsidRPr="002C7415" w:rsidRDefault="009B060F" w:rsidP="00DB06F0">
            <w:pPr>
              <w:rPr>
                <w:rFonts w:cs="Arial"/>
                <w:b w:val="0"/>
                <w:bCs w:val="0"/>
                <w:szCs w:val="20"/>
              </w:rPr>
            </w:pPr>
            <w:r>
              <w:rPr>
                <w:rFonts w:cs="Arial"/>
                <w:szCs w:val="20"/>
              </w:rPr>
              <w:t>Process to Compile and Report SLA</w:t>
            </w:r>
          </w:p>
        </w:tc>
        <w:tc>
          <w:tcPr>
            <w:tcW w:w="8900" w:type="dxa"/>
          </w:tcPr>
          <w:p w14:paraId="55CA656A" w14:textId="77777777" w:rsidR="009B060F" w:rsidRPr="002C7415" w:rsidRDefault="009B060F"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Release Plan, the Contractor must capture and retain: the Release Plan itself with its Approved Start Deployment attribute; the Release Schedule entry; the work item status history; the actual deployment completion timestamp; and any documented exceptional factors that apply. The monthly DDI Status Report aggregates these records, identifies non-compliant Release Plans, totals service credits accrued, and is made available to the Department on request.</w:t>
            </w:r>
          </w:p>
        </w:tc>
      </w:tr>
      <w:tr w:rsidR="009B060F" w:rsidRPr="002C7415" w14:paraId="281F1A1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B8545A9" w14:textId="77777777" w:rsidR="009B060F" w:rsidRPr="002C7415" w:rsidRDefault="009B060F" w:rsidP="00DB06F0">
            <w:pPr>
              <w:rPr>
                <w:rFonts w:cs="Arial"/>
                <w:b w:val="0"/>
                <w:bCs w:val="0"/>
                <w:szCs w:val="20"/>
              </w:rPr>
            </w:pPr>
            <w:r>
              <w:rPr>
                <w:rFonts w:cs="Arial"/>
                <w:szCs w:val="20"/>
              </w:rPr>
              <w:t>Converged E&amp;E System and AMS Service Credit</w:t>
            </w:r>
          </w:p>
        </w:tc>
        <w:tc>
          <w:tcPr>
            <w:tcW w:w="8900" w:type="dxa"/>
          </w:tcPr>
          <w:p w14:paraId="22CE38B1" w14:textId="77777777" w:rsidR="009B060F" w:rsidRDefault="009B060F"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Release (Initial Service Credit):</w:t>
            </w:r>
            <w:r>
              <w:rPr>
                <w:rFonts w:cs="Arial"/>
                <w:szCs w:val="20"/>
              </w:rPr>
              <w:t xml:space="preserve"> Failure to comply results in a service credit of ten thousand dollars ($10,000) for Production and all UAT environments beginning five (5) business days after the Approved Start Deployment Date. The Approved Start Deployment Date is Day Zero (0).</w:t>
            </w:r>
          </w:p>
          <w:p w14:paraId="5C619F0A" w14:textId="77777777" w:rsidR="009B060F" w:rsidRPr="002C7415" w:rsidRDefault="009B060F"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Delay (Additional Service Credit):</w:t>
            </w:r>
            <w:r>
              <w:rPr>
                <w:rFonts w:cs="Arial"/>
                <w:szCs w:val="20"/>
              </w:rPr>
              <w:t xml:space="preserve"> If the approved code and updates have not been deployed to the target environment(s) within five (5) business days of the Approved Start Deployment date for the Production or UAT Environment, an additional service credit of one thousand dollars ($1,000) accrues for each additional day, or portion thereof, per environment, until the release is completed.</w:t>
            </w:r>
          </w:p>
        </w:tc>
      </w:tr>
    </w:tbl>
    <w:p w14:paraId="5D5F6B57" w14:textId="1A98AA15" w:rsidR="008E1773" w:rsidRPr="002C7415" w:rsidRDefault="008E1773" w:rsidP="008E1773">
      <w:pPr>
        <w:pStyle w:val="HeadingSLA"/>
      </w:pPr>
      <w:bookmarkStart w:id="70" w:name="_Toc230258274"/>
      <w:bookmarkStart w:id="71" w:name="_Toc233199151"/>
      <w:r>
        <w:t>Go-Live Deadline</w:t>
      </w:r>
      <w:bookmarkEnd w:id="70"/>
      <w:bookmarkEnd w:id="71"/>
    </w:p>
    <w:tbl>
      <w:tblPr>
        <w:tblStyle w:val="DOH-LeftHeader"/>
        <w:tblW w:w="4998" w:type="pct"/>
        <w:tblLook w:val="0480" w:firstRow="0" w:lastRow="0" w:firstColumn="1" w:lastColumn="0" w:noHBand="0" w:noVBand="1"/>
      </w:tblPr>
      <w:tblGrid>
        <w:gridCol w:w="1886"/>
        <w:gridCol w:w="8900"/>
      </w:tblGrid>
      <w:tr w:rsidR="008E1773" w:rsidRPr="002C7415" w14:paraId="4CE5879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0A5CF55" w14:textId="77777777" w:rsidR="008E1773" w:rsidRPr="002C7415" w:rsidRDefault="008E1773" w:rsidP="00DB06F0">
            <w:pPr>
              <w:rPr>
                <w:rFonts w:cs="Arial"/>
                <w:szCs w:val="20"/>
              </w:rPr>
            </w:pPr>
            <w:r>
              <w:rPr>
                <w:rFonts w:cs="Arial"/>
                <w:szCs w:val="20"/>
              </w:rPr>
              <w:t>Purpose</w:t>
            </w:r>
          </w:p>
        </w:tc>
        <w:tc>
          <w:tcPr>
            <w:tcW w:w="8900" w:type="dxa"/>
          </w:tcPr>
          <w:p w14:paraId="640FCAD7"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ensures the Converged E&amp;E System is fully operational and ready to serve enrollees, members, and all system users on the required Go-Live Date. The objective is to confirm that on July 1, 2030, the Converged E&amp;E System can accept applications, process renewals, complete enrollment transactions, and exchange data with downstream partners across all covered programs so that coverage is delivered without disruption.</w:t>
            </w:r>
          </w:p>
        </w:tc>
      </w:tr>
      <w:tr w:rsidR="008E1773" w:rsidRPr="002C7415" w14:paraId="68127D8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C8EFAB4" w14:textId="77777777" w:rsidR="008E1773" w:rsidRPr="002C7415" w:rsidRDefault="008E1773" w:rsidP="00DB06F0">
            <w:pPr>
              <w:rPr>
                <w:rFonts w:cs="Arial"/>
                <w:szCs w:val="20"/>
              </w:rPr>
            </w:pPr>
            <w:r>
              <w:rPr>
                <w:rFonts w:cs="Arial"/>
                <w:szCs w:val="20"/>
              </w:rPr>
              <w:t>Specification</w:t>
            </w:r>
          </w:p>
        </w:tc>
        <w:tc>
          <w:tcPr>
            <w:tcW w:w="8900" w:type="dxa"/>
          </w:tcPr>
          <w:p w14:paraId="34349F3D"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deliver a Converged E&amp;E System that is fully operational in the Production environment no later than July 1, 2030, which is the Go-Live date. On that date, the Converged E&amp;E System must be able to process new applications, renewals, and enrollment transactions for Medicaid, Child Health Plus (CHPlus), Basic Health Program (BHP), and Qualified Health Plans (QHPs).</w:t>
            </w:r>
          </w:p>
          <w:p w14:paraId="61CDA473"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“Fully operational” means the Converged E&amp;E System is able to accept and process new applications submitted through all approved intake channels, including online portals, call center, paper, and interfaces with external systems. The Converged E&amp;E System can (a) process renewals and redeterminations for existing enrollees in accordance with program requirements, (b) execute enrollment transactions, including plan selection, enrollment confirmations, disenrollments, and transfers between programs, and (c) transmit required data to downstream systems such as MMIS, carriers, and the federal hub to effectuate coverage. The Converged E&amp;E </w:t>
            </w:r>
            <w:r>
              <w:rPr>
                <w:rFonts w:cs="Arial"/>
                <w:szCs w:val="20"/>
              </w:rPr>
              <w:lastRenderedPageBreak/>
              <w:t>System must also meet all applicable SLAs for system availability, performance, and response time as of the Go-Live date.</w:t>
            </w:r>
          </w:p>
          <w:p w14:paraId="292ABFF2"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Go-Live readiness must be validated through successful completion of UAT, successful Operational Readiness Review (ORR), and receipt of written Go-Live authorization from the Department. The Go-Live date may only be extended with prior written approval from the Department.</w:t>
            </w:r>
          </w:p>
        </w:tc>
      </w:tr>
      <w:tr w:rsidR="008E1773" w:rsidRPr="002C7415" w14:paraId="70620EA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866A359" w14:textId="77777777" w:rsidR="008E1773" w:rsidRPr="002C7415" w:rsidRDefault="008E1773" w:rsidP="00DB06F0">
            <w:pPr>
              <w:rPr>
                <w:rFonts w:cs="Arial"/>
                <w:szCs w:val="20"/>
              </w:rPr>
            </w:pPr>
            <w:r>
              <w:rPr>
                <w:rFonts w:cs="Arial"/>
                <w:szCs w:val="20"/>
              </w:rPr>
              <w:lastRenderedPageBreak/>
              <w:t>Service Level</w:t>
            </w:r>
          </w:p>
        </w:tc>
        <w:tc>
          <w:tcPr>
            <w:tcW w:w="8900" w:type="dxa"/>
          </w:tcPr>
          <w:p w14:paraId="0495581D"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Converged E&amp;E System must be fully operational in the Production environment and capable of processing applications, renewals, and enrollment transactions for Medicaid, CHPlus, BHP, and QHPs on or before July 1, 2030.</w:t>
            </w:r>
          </w:p>
        </w:tc>
      </w:tr>
      <w:tr w:rsidR="008E1773" w:rsidRPr="002C7415" w14:paraId="6207248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CD8E665" w14:textId="77777777" w:rsidR="008E1773" w:rsidRPr="002C7415" w:rsidRDefault="008E1773" w:rsidP="00DB06F0">
            <w:pPr>
              <w:rPr>
                <w:rFonts w:cs="Arial"/>
                <w:szCs w:val="20"/>
              </w:rPr>
            </w:pPr>
            <w:r>
              <w:rPr>
                <w:rFonts w:cs="Arial"/>
                <w:szCs w:val="20"/>
              </w:rPr>
              <w:t>Notes</w:t>
            </w:r>
          </w:p>
        </w:tc>
        <w:tc>
          <w:tcPr>
            <w:tcW w:w="8900" w:type="dxa"/>
          </w:tcPr>
          <w:p w14:paraId="280BA6B5"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Go-Live readiness is confirmed only after the Department issues written Go-Live authorization, which follows successful UAT and ORR completion and resolution of all Severity 1 and Severity 2 defects. Any change to the Go-Live date requires prior written Department approval. If the Converged E&amp;E System has not achieved Go-Live within thirty (30) calendar days of the Go-Live date, the Department reserves the right to pursue additional remedies as specified in the Contract, including, but not limited to, termination for cause.</w:t>
            </w:r>
          </w:p>
        </w:tc>
      </w:tr>
      <w:tr w:rsidR="008E1773" w:rsidRPr="002C7415" w14:paraId="0B05C2A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711206A" w14:textId="77777777" w:rsidR="008E1773" w:rsidRPr="002C7415" w:rsidRDefault="008E1773" w:rsidP="00DB06F0">
            <w:pPr>
              <w:rPr>
                <w:rFonts w:cs="Arial"/>
                <w:szCs w:val="20"/>
              </w:rPr>
            </w:pPr>
            <w:r>
              <w:rPr>
                <w:rFonts w:cs="Arial"/>
                <w:szCs w:val="20"/>
              </w:rPr>
              <w:t>Reporting Frequency</w:t>
            </w:r>
          </w:p>
        </w:tc>
        <w:tc>
          <w:tcPr>
            <w:tcW w:w="8900" w:type="dxa"/>
          </w:tcPr>
          <w:p w14:paraId="77156662"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Reporting is tied to the single July 1, 2030, Go-Live milestone. The Contractor must provide weekly Go-Live readiness status reports beginning ninety (90) calendar days prior to the Go-Live Date and daily readiness status reports during the final thirty (30) calendar days before Go-Live. Final compliance evidence and the Go-Live artifact package must be submitted on or before the Go-Live date.</w:t>
            </w:r>
          </w:p>
        </w:tc>
      </w:tr>
      <w:tr w:rsidR="008E1773" w:rsidRPr="002C7415" w14:paraId="78BD3DF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70A3119" w14:textId="77777777" w:rsidR="008E1773" w:rsidRPr="002C7415" w:rsidRDefault="008E1773" w:rsidP="00DB06F0">
            <w:pPr>
              <w:rPr>
                <w:rFonts w:cs="Arial"/>
                <w:szCs w:val="20"/>
              </w:rPr>
            </w:pPr>
            <w:r>
              <w:rPr>
                <w:rFonts w:cs="Arial"/>
                <w:szCs w:val="20"/>
              </w:rPr>
              <w:t>SLA Calculations</w:t>
            </w:r>
          </w:p>
        </w:tc>
        <w:tc>
          <w:tcPr>
            <w:tcW w:w="8900" w:type="dxa"/>
          </w:tcPr>
          <w:p w14:paraId="5D0A8C82"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binary and is assessed as of the Go-Live date. The SLA is met if, on or before July 1, 2030, the Department has issued written Go-Live authorization and the Converged E&amp;E System is processing live transactions in the Production environment for all covered programs (i.e., Medicaid, CHPlus, BHP, and QHPs). If Go-Live has not occurred by July 1, 2030, the SLA is in breach and per-day service credits accrue from July 2, 2030, until the system is fully operational and Go-Live is confirmed in writing by the Department.</w:t>
            </w:r>
          </w:p>
        </w:tc>
      </w:tr>
      <w:tr w:rsidR="008E1773" w:rsidRPr="002C7415" w14:paraId="52B49147"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EFE949B" w14:textId="77777777" w:rsidR="008E1773" w:rsidRPr="002C7415" w:rsidRDefault="008E1773" w:rsidP="00DB06F0">
            <w:pPr>
              <w:rPr>
                <w:rFonts w:cs="Arial"/>
                <w:szCs w:val="20"/>
              </w:rPr>
            </w:pPr>
            <w:r>
              <w:rPr>
                <w:rFonts w:cs="Arial"/>
                <w:szCs w:val="20"/>
              </w:rPr>
              <w:t>SLA Calculations Definitions</w:t>
            </w:r>
          </w:p>
        </w:tc>
        <w:tc>
          <w:tcPr>
            <w:tcW w:w="8900" w:type="dxa"/>
          </w:tcPr>
          <w:p w14:paraId="5797C590"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Go-Live Date: </w:t>
            </w:r>
            <w:r>
              <w:rPr>
                <w:rFonts w:cs="Arial"/>
                <w:szCs w:val="20"/>
              </w:rPr>
              <w:t>July 1, 2030. The date by which the Converged E&amp;E System must be fully operational in the Production environment.</w:t>
            </w:r>
          </w:p>
          <w:p w14:paraId="74831B8C"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Fully Operational: </w:t>
            </w:r>
            <w:r>
              <w:rPr>
                <w:rFonts w:cs="Arial"/>
                <w:szCs w:val="20"/>
              </w:rPr>
              <w:t>The Converged E&amp;E System can accept and process new applications, renewals, and enrollment transactions across Medicaid, CHPlus, BHP, and QHPs; transmit required data to downstream systems including MMIS, carriers, and the federal hub; and meet all applicable performance, availability, and response time SLAs.</w:t>
            </w:r>
          </w:p>
          <w:p w14:paraId="64C4BBD3"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Production Environment: </w:t>
            </w:r>
            <w:r>
              <w:rPr>
                <w:rFonts w:cs="Arial"/>
                <w:szCs w:val="20"/>
              </w:rPr>
              <w:t>The live operating environment in which real applications, renewals, and enrollment transactions for enrollees are processed.</w:t>
            </w:r>
          </w:p>
          <w:p w14:paraId="6A667221"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Covered Programs: </w:t>
            </w:r>
            <w:r>
              <w:rPr>
                <w:rFonts w:cs="Arial"/>
                <w:szCs w:val="20"/>
              </w:rPr>
              <w:t>Medicaid, CHPlus, BHP, and QHPs.</w:t>
            </w:r>
          </w:p>
          <w:p w14:paraId="77354C14"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Go-Live Authorization: </w:t>
            </w:r>
            <w:r>
              <w:rPr>
                <w:rFonts w:cs="Arial"/>
                <w:szCs w:val="20"/>
              </w:rPr>
              <w:t>Written confirmation from the Department authorizing the Contractor to proceed with production deployment, issued only after successful UAT and ORR completion and resolution of all Severity 1 and Severity 2 defects.</w:t>
            </w:r>
          </w:p>
        </w:tc>
      </w:tr>
      <w:tr w:rsidR="008E1773" w:rsidRPr="002C7415" w14:paraId="7ECDD36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4362DED" w14:textId="77777777" w:rsidR="008E1773" w:rsidRPr="002C7415" w:rsidRDefault="008E1773" w:rsidP="00DB06F0">
            <w:pPr>
              <w:rPr>
                <w:rFonts w:cs="Arial"/>
                <w:szCs w:val="20"/>
              </w:rPr>
            </w:pPr>
            <w:r>
              <w:rPr>
                <w:rFonts w:cs="Arial"/>
                <w:szCs w:val="20"/>
              </w:rPr>
              <w:t>Exclusions</w:t>
            </w:r>
          </w:p>
        </w:tc>
        <w:tc>
          <w:tcPr>
            <w:tcW w:w="8900" w:type="dxa"/>
          </w:tcPr>
          <w:p w14:paraId="5D8CD4D5"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is responsible for demonstrating any claimed exclusion by providing written Department authorization for the event. </w:t>
            </w:r>
          </w:p>
        </w:tc>
      </w:tr>
      <w:tr w:rsidR="008E1773" w:rsidRPr="002C7415" w14:paraId="3A4C0F3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934296E" w14:textId="77777777" w:rsidR="008E1773" w:rsidRPr="002C7415" w:rsidRDefault="008E1773" w:rsidP="00DB06F0">
            <w:pPr>
              <w:rPr>
                <w:rFonts w:cs="Arial"/>
                <w:szCs w:val="20"/>
              </w:rPr>
            </w:pPr>
            <w:r>
              <w:rPr>
                <w:rFonts w:cs="Arial"/>
                <w:szCs w:val="20"/>
              </w:rPr>
              <w:t>Process to Compile and Report SLA</w:t>
            </w:r>
          </w:p>
        </w:tc>
        <w:tc>
          <w:tcPr>
            <w:tcW w:w="8900" w:type="dxa"/>
          </w:tcPr>
          <w:p w14:paraId="21262320"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compile a Go-Live Readiness Package and submit it to the Department on or before the Go-Live Date. The package must include each of the following artifacts:</w:t>
            </w:r>
          </w:p>
          <w:p w14:paraId="4F1E4503" w14:textId="77777777" w:rsidR="008E1773" w:rsidRPr="002E0682" w:rsidRDefault="008E1773" w:rsidP="00DB06F0">
            <w:pPr>
              <w:pStyle w:val="TableNumber"/>
              <w:numPr>
                <w:ilvl w:val="0"/>
                <w:numId w:val="15"/>
              </w:numPr>
              <w:cnfStyle w:val="000000000000" w:firstRow="0" w:lastRow="0" w:firstColumn="0" w:lastColumn="0" w:oddVBand="0" w:evenVBand="0" w:oddHBand="0" w:evenHBand="0" w:firstRowFirstColumn="0" w:firstRowLastColumn="0" w:lastRowFirstColumn="0" w:lastRowLastColumn="0"/>
            </w:pPr>
            <w:r>
              <w:t>Department-approved Go-Live Readiness Checklist confirming all Go-Live criteria have been satisfied, including UAT sign-off, ORR completion, and resolution of all Severity 1 and Severity 2 defects.</w:t>
            </w:r>
          </w:p>
          <w:p w14:paraId="574A5B61" w14:textId="77777777" w:rsidR="008E1773" w:rsidRPr="002C7415" w:rsidRDefault="008E1773" w:rsidP="00DB06F0">
            <w:pPr>
              <w:pStyle w:val="TableNumber"/>
              <w:cnfStyle w:val="000000000000" w:firstRow="0" w:lastRow="0" w:firstColumn="0" w:lastColumn="0" w:oddVBand="0" w:evenVBand="0" w:oddHBand="0" w:evenHBand="0" w:firstRowFirstColumn="0" w:firstRowLastColumn="0" w:lastRowFirstColumn="0" w:lastRowLastColumn="0"/>
            </w:pPr>
            <w:r>
              <w:t>Written Go-Live Authorization from the Department confirming approval to proceed with production deployment.</w:t>
            </w:r>
          </w:p>
          <w:p w14:paraId="5AA08987" w14:textId="77777777" w:rsidR="008E1773" w:rsidRPr="002C7415" w:rsidRDefault="008E1773" w:rsidP="00DB06F0">
            <w:pPr>
              <w:pStyle w:val="TableNumber"/>
              <w:cnfStyle w:val="000000000000" w:firstRow="0" w:lastRow="0" w:firstColumn="0" w:lastColumn="0" w:oddVBand="0" w:evenVBand="0" w:oddHBand="0" w:evenHBand="0" w:firstRowFirstColumn="0" w:firstRowLastColumn="0" w:lastRowFirstColumn="0" w:lastRowLastColumn="0"/>
            </w:pPr>
            <w:r>
              <w:t>Production Deployment Confirmation Report, including system-generated evidence such as deployment tool output, server logs, or automation confirmation, that all Converged E&amp;E System components have been successfully deployed to the Production environment.</w:t>
            </w:r>
          </w:p>
          <w:p w14:paraId="5BC8F275" w14:textId="77777777" w:rsidR="008E1773" w:rsidRPr="002C7415" w:rsidRDefault="008E1773" w:rsidP="00DB06F0">
            <w:pPr>
              <w:pStyle w:val="TableNumber"/>
              <w:cnfStyle w:val="000000000000" w:firstRow="0" w:lastRow="0" w:firstColumn="0" w:lastColumn="0" w:oddVBand="0" w:evenVBand="0" w:oddHBand="0" w:evenHBand="0" w:firstRowFirstColumn="0" w:firstRowLastColumn="0" w:lastRowFirstColumn="0" w:lastRowLastColumn="0"/>
            </w:pPr>
            <w:r>
              <w:lastRenderedPageBreak/>
              <w:t>Post Go-Live Validation Report demonstrating successful E2E transaction processing for each program (Medicaid, CHPlus, BHP, QHPs), including evidence of at least one (1) completed new application, renewal, and enrollment transaction per program.</w:t>
            </w:r>
          </w:p>
          <w:p w14:paraId="470A5A5B" w14:textId="77777777" w:rsidR="008E1773" w:rsidRPr="002C7415" w:rsidRDefault="008E1773" w:rsidP="00DB06F0">
            <w:pPr>
              <w:pStyle w:val="TableNumber"/>
              <w:cnfStyle w:val="000000000000" w:firstRow="0" w:lastRow="0" w:firstColumn="0" w:lastColumn="0" w:oddVBand="0" w:evenVBand="0" w:oddHBand="0" w:evenHBand="0" w:firstRowFirstColumn="0" w:firstRowLastColumn="0" w:lastRowFirstColumn="0" w:lastRowLastColumn="0"/>
            </w:pPr>
            <w:r>
              <w:t>Downstream System Integration Confirmation demonstrating that required data transmissions to MMIS, carriers, and the federal hub are operational and processing as expected.</w:t>
            </w:r>
          </w:p>
          <w:p w14:paraId="73392574" w14:textId="77777777" w:rsidR="008E1773" w:rsidRPr="002C7415" w:rsidRDefault="008E1773" w:rsidP="00DB06F0">
            <w:pPr>
              <w:pStyle w:val="TableNumber"/>
              <w:cnfStyle w:val="000000000000" w:firstRow="0" w:lastRow="0" w:firstColumn="0" w:lastColumn="0" w:oddVBand="0" w:evenVBand="0" w:oddHBand="0" w:evenHBand="0" w:firstRowFirstColumn="0" w:firstRowLastColumn="0" w:lastRowFirstColumn="0" w:lastRowLastColumn="0"/>
            </w:pPr>
            <w:r>
              <w:t>Updated IMS reflecting the actual Go-Live Date and any variances from the approved baseline schedule.</w:t>
            </w:r>
          </w:p>
          <w:p w14:paraId="725ECF85"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pPr>
            <w:r>
              <w:t>Reports must be submitted in a format that allows for full independent validation by the Department.</w:t>
            </w:r>
          </w:p>
        </w:tc>
      </w:tr>
      <w:tr w:rsidR="008E1773" w:rsidRPr="002C7415" w14:paraId="5103BB5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2F15C9F" w14:textId="77777777" w:rsidR="008E1773" w:rsidRPr="002C7415" w:rsidRDefault="008E1773" w:rsidP="00DB06F0">
            <w:pPr>
              <w:rPr>
                <w:rFonts w:cs="Arial"/>
                <w:szCs w:val="20"/>
              </w:rPr>
            </w:pPr>
            <w:r>
              <w:rPr>
                <w:rFonts w:cs="Arial"/>
                <w:szCs w:val="20"/>
              </w:rPr>
              <w:lastRenderedPageBreak/>
              <w:t>Converged E&amp;E System and AMS Service Credit</w:t>
            </w:r>
          </w:p>
        </w:tc>
        <w:tc>
          <w:tcPr>
            <w:tcW w:w="8900" w:type="dxa"/>
          </w:tcPr>
          <w:p w14:paraId="507B01D9" w14:textId="77777777" w:rsidR="008E1773"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Missed Go-Live (Initial Service Credit):</w:t>
            </w:r>
            <w:r>
              <w:rPr>
                <w:rFonts w:cs="Arial"/>
                <w:szCs w:val="20"/>
              </w:rPr>
              <w:t xml:space="preserve"> Failure to achieve Go-Live by July 1, 2030, will result in a service credit of one million dollars ($1,000,000). </w:t>
            </w:r>
          </w:p>
          <w:p w14:paraId="1A02C39E" w14:textId="77777777" w:rsidR="008E1773"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Delay (Additional Service Credit):</w:t>
            </w:r>
            <w:r>
              <w:rPr>
                <w:rFonts w:cs="Arial"/>
                <w:szCs w:val="20"/>
              </w:rPr>
              <w:t xml:space="preserve"> For each additional calendar day, or portion of a day, beyond the Go-Live Date that the Converged E&amp;E System is not fully operational, an additional service credit of one hundred thousand dollars ($100,000) is applied per each calendar day after July 1, 2030. </w:t>
            </w:r>
          </w:p>
          <w:p w14:paraId="77173972"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Excessive Delay</w:t>
            </w:r>
            <w:r>
              <w:rPr>
                <w:rFonts w:cs="Arial"/>
                <w:szCs w:val="20"/>
              </w:rPr>
              <w:t>: If the Converged E&amp;E System has not achieved Go-Live within thirty (30) calendar days of the scheduled Go-Live Date, the Department reserves the right to pursue additional remedies as specified in the Contract, including, but not limited to, termination for cause.</w:t>
            </w:r>
          </w:p>
        </w:tc>
      </w:tr>
    </w:tbl>
    <w:p w14:paraId="6DF943DC" w14:textId="6DC1A2D2" w:rsidR="008E1773" w:rsidRPr="002C7415" w:rsidRDefault="008E1773" w:rsidP="008E1773">
      <w:pPr>
        <w:pStyle w:val="HeadingSLA"/>
      </w:pPr>
      <w:bookmarkStart w:id="72" w:name="_Toc230258275"/>
      <w:bookmarkStart w:id="73" w:name="_Toc233199152"/>
      <w:r>
        <w:t>Open Enrollment 2030 Readiness</w:t>
      </w:r>
      <w:bookmarkEnd w:id="72"/>
      <w:bookmarkEnd w:id="73"/>
    </w:p>
    <w:tbl>
      <w:tblPr>
        <w:tblStyle w:val="DOH-LeftHeader"/>
        <w:tblW w:w="5000" w:type="pct"/>
        <w:tblLook w:val="0480" w:firstRow="0" w:lastRow="0" w:firstColumn="1" w:lastColumn="0" w:noHBand="0" w:noVBand="1"/>
      </w:tblPr>
      <w:tblGrid>
        <w:gridCol w:w="1887"/>
        <w:gridCol w:w="8903"/>
      </w:tblGrid>
      <w:tr w:rsidR="008E1773" w:rsidRPr="002C7415" w14:paraId="4CE8362E" w14:textId="77777777" w:rsidTr="00DB06F0">
        <w:tc>
          <w:tcPr>
            <w:cnfStyle w:val="001000000000" w:firstRow="0" w:lastRow="0" w:firstColumn="1" w:lastColumn="0" w:oddVBand="0" w:evenVBand="0" w:oddHBand="0" w:evenHBand="0" w:firstRowFirstColumn="0" w:firstRowLastColumn="0" w:lastRowFirstColumn="0" w:lastRowLastColumn="0"/>
            <w:tcW w:w="1887" w:type="dxa"/>
          </w:tcPr>
          <w:p w14:paraId="0EAD4E3A" w14:textId="77777777" w:rsidR="008E1773" w:rsidRPr="002C7415" w:rsidRDefault="008E1773" w:rsidP="00DB06F0">
            <w:pPr>
              <w:rPr>
                <w:rFonts w:cs="Arial"/>
                <w:szCs w:val="20"/>
              </w:rPr>
            </w:pPr>
            <w:r>
              <w:rPr>
                <w:rFonts w:cs="Arial"/>
                <w:szCs w:val="20"/>
              </w:rPr>
              <w:t>Purpose</w:t>
            </w:r>
          </w:p>
        </w:tc>
        <w:tc>
          <w:tcPr>
            <w:tcW w:w="8903" w:type="dxa"/>
          </w:tcPr>
          <w:p w14:paraId="299ED1ED"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ensures the Converged E&amp;E System is fully ready to support Open Enrollment for Coverage Year 2031, which begins November 1, 2030. The objective is to confirm that the covered populations can be migrated, notified, and auto renewed per policy and program schedules  so that members maintain coverage without interruption as the new Coverage Year begins.</w:t>
            </w:r>
          </w:p>
        </w:tc>
      </w:tr>
      <w:tr w:rsidR="008E1773" w:rsidRPr="002C7415" w14:paraId="5AE7D8CA"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7" w:type="dxa"/>
          </w:tcPr>
          <w:p w14:paraId="03736EB0" w14:textId="77777777" w:rsidR="008E1773" w:rsidRPr="002C7415" w:rsidRDefault="008E1773" w:rsidP="00DB06F0">
            <w:pPr>
              <w:rPr>
                <w:rFonts w:cs="Arial"/>
                <w:szCs w:val="20"/>
              </w:rPr>
            </w:pPr>
            <w:r>
              <w:rPr>
                <w:rFonts w:cs="Arial"/>
                <w:szCs w:val="20"/>
              </w:rPr>
              <w:t>Specification</w:t>
            </w:r>
          </w:p>
        </w:tc>
        <w:tc>
          <w:tcPr>
            <w:tcW w:w="8903" w:type="dxa"/>
          </w:tcPr>
          <w:p w14:paraId="7E69FF98"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ensure the Converged E&amp;E System is fully prepared to support Open Enrollment for Coverage Year 2031 (Coverage Year 2031), which begins November 1, 2030. Readiness requires compliance with the three (3) sequential milestones described below.</w:t>
            </w:r>
          </w:p>
          <w:p w14:paraId="437F6A1F"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Milestone 1, Population Availability. </w:t>
            </w:r>
            <w:r>
              <w:rPr>
                <w:rFonts w:cs="Arial"/>
                <w:szCs w:val="20"/>
              </w:rPr>
              <w:t>All QHP, BHP, CHPlus, and Medicaid populations must be migrated to and fully available within the Converged E&amp;E System no later than September 1, 2030. “Fully available” means the system can display accurate eligibility and enrollment records for all individuals in the QHP, BHP, CHPlus, and Medicaid populations; process eligibility determinations, plan selections, and enrollment transactions for each population; support renewal and redetermination processing for existing enrollees across all populations; and transmit enrollment and eligibility data to downstream systems such as MMIS, carriers, and the federal hub for all populations.</w:t>
            </w:r>
          </w:p>
          <w:p w14:paraId="0A170381"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Milestone 2, Auto-Renewal Notice Generation. </w:t>
            </w:r>
            <w:r>
              <w:rPr>
                <w:rFonts w:cs="Arial"/>
                <w:szCs w:val="20"/>
              </w:rPr>
              <w:t>The Converged E&amp;E System must generate and distribute auto-renewal notices to all eligible enrollees in the QHP, BHP, CHPlus, and MAGI Medicaid populations no later than October 1, 2030. Notice generation must identify all enrollees eligible for auto-renewal in accordance with Department-approved business rules and program requirements, produce notices that comply with Department-approved notice templates, content, and language access requirements, and distribute notices through all required channels including mail and electronic delivery within the timeframes specified by the Department.</w:t>
            </w:r>
          </w:p>
          <w:p w14:paraId="2FEE0FFB"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Milestone 3, Auto-Renewal Processing. </w:t>
            </w:r>
            <w:r>
              <w:rPr>
                <w:rFonts w:cs="Arial"/>
                <w:szCs w:val="20"/>
              </w:rPr>
              <w:t xml:space="preserve">The Converged E&amp;E System must execute auto-renewal processing for all eligible enrollees no later than November 1, 2030, coinciding with the start of Open Enrollment for Coverage Year 2031. Auto-renewal processing must automatically re-enroll eligible individuals into the individuals current or mapped plan for Coverage Year 2031 in accordance with Department-approved auto-renewal logic, generate enrollment transactions and </w:t>
            </w:r>
            <w:r>
              <w:rPr>
                <w:rFonts w:cs="Arial"/>
                <w:szCs w:val="20"/>
              </w:rPr>
              <w:lastRenderedPageBreak/>
              <w:t>transmit the transactions to carriers and downstream systems to effectuate continued coverage, and identify and flag individuals who are not eligible for auto-renewal for manual review or active re-enrollment.</w:t>
            </w:r>
          </w:p>
        </w:tc>
      </w:tr>
      <w:tr w:rsidR="008E1773" w:rsidRPr="002C7415" w14:paraId="601FE827" w14:textId="77777777" w:rsidTr="00DB06F0">
        <w:tc>
          <w:tcPr>
            <w:cnfStyle w:val="001000000000" w:firstRow="0" w:lastRow="0" w:firstColumn="1" w:lastColumn="0" w:oddVBand="0" w:evenVBand="0" w:oddHBand="0" w:evenHBand="0" w:firstRowFirstColumn="0" w:firstRowLastColumn="0" w:lastRowFirstColumn="0" w:lastRowLastColumn="0"/>
            <w:tcW w:w="1887" w:type="dxa"/>
          </w:tcPr>
          <w:p w14:paraId="0B74979A" w14:textId="77777777" w:rsidR="008E1773" w:rsidRPr="002C7415" w:rsidRDefault="008E1773" w:rsidP="00DB06F0">
            <w:pPr>
              <w:rPr>
                <w:rFonts w:cs="Arial"/>
                <w:szCs w:val="20"/>
              </w:rPr>
            </w:pPr>
            <w:r>
              <w:rPr>
                <w:rFonts w:cs="Arial"/>
                <w:szCs w:val="20"/>
              </w:rPr>
              <w:lastRenderedPageBreak/>
              <w:t>Service Level</w:t>
            </w:r>
          </w:p>
        </w:tc>
        <w:tc>
          <w:tcPr>
            <w:tcW w:w="8903" w:type="dxa"/>
          </w:tcPr>
          <w:p w14:paraId="12E896BC"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Milestone 1 (Population Availability): </w:t>
            </w:r>
            <w:r>
              <w:rPr>
                <w:rFonts w:cs="Arial"/>
                <w:szCs w:val="20"/>
              </w:rPr>
              <w:t>All required QHP, BHP, CHPlus, and Medicaid populations fully available in the Converged E&amp;E System on or before September 1, 2030.</w:t>
            </w:r>
          </w:p>
          <w:p w14:paraId="7FEB6F14"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Milestone 2 (Auto-Renewal Notice Generation): </w:t>
            </w:r>
            <w:r>
              <w:rPr>
                <w:rFonts w:cs="Arial"/>
                <w:szCs w:val="20"/>
              </w:rPr>
              <w:t>Auto-renewal notices generated and distributed to all eligible enrollees on or before October 1, 2030.</w:t>
            </w:r>
          </w:p>
          <w:p w14:paraId="061148BB"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Milestone 3 (Auto-Renewal Processing): </w:t>
            </w:r>
            <w:r>
              <w:rPr>
                <w:rFonts w:cs="Arial"/>
                <w:szCs w:val="20"/>
              </w:rPr>
              <w:t>Auto-renewal processing executed for all eligible enrollees on or before November 1, 2030.</w:t>
            </w:r>
          </w:p>
        </w:tc>
      </w:tr>
      <w:tr w:rsidR="008E1773" w:rsidRPr="002C7415" w14:paraId="7D45DCE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7" w:type="dxa"/>
          </w:tcPr>
          <w:p w14:paraId="4319FF2D" w14:textId="77777777" w:rsidR="008E1773" w:rsidRPr="002C7415" w:rsidRDefault="008E1773" w:rsidP="00DB06F0">
            <w:pPr>
              <w:rPr>
                <w:rFonts w:cs="Arial"/>
                <w:szCs w:val="20"/>
              </w:rPr>
            </w:pPr>
            <w:r>
              <w:rPr>
                <w:rFonts w:cs="Arial"/>
                <w:szCs w:val="20"/>
              </w:rPr>
              <w:t>Notes</w:t>
            </w:r>
          </w:p>
        </w:tc>
        <w:tc>
          <w:tcPr>
            <w:tcW w:w="8903" w:type="dxa"/>
          </w:tcPr>
          <w:p w14:paraId="575F4779"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Service credits under each milestone are cumulative. The three milestones are sequential and dependent, so a delay in an earlier milestone places downstream milestones at risk. If the Contractor fails to achieve Milestone 1 readiness within thirty (30) calendar days of the applicable deadline, the Department reserves the right to pursue additional remedies as specified in the Contract, including, but not limited to, termination for cause.</w:t>
            </w:r>
          </w:p>
        </w:tc>
      </w:tr>
      <w:tr w:rsidR="008E1773" w:rsidRPr="002C7415" w14:paraId="02F0C95A" w14:textId="77777777" w:rsidTr="00DB06F0">
        <w:tc>
          <w:tcPr>
            <w:cnfStyle w:val="001000000000" w:firstRow="0" w:lastRow="0" w:firstColumn="1" w:lastColumn="0" w:oddVBand="0" w:evenVBand="0" w:oddHBand="0" w:evenHBand="0" w:firstRowFirstColumn="0" w:firstRowLastColumn="0" w:lastRowFirstColumn="0" w:lastRowLastColumn="0"/>
            <w:tcW w:w="1887" w:type="dxa"/>
          </w:tcPr>
          <w:p w14:paraId="7C384BA0" w14:textId="77777777" w:rsidR="008E1773" w:rsidRPr="002C7415" w:rsidRDefault="008E1773" w:rsidP="00DB06F0">
            <w:pPr>
              <w:rPr>
                <w:rFonts w:cs="Arial"/>
                <w:szCs w:val="20"/>
              </w:rPr>
            </w:pPr>
            <w:r>
              <w:rPr>
                <w:rFonts w:cs="Arial"/>
                <w:szCs w:val="20"/>
              </w:rPr>
              <w:t>Reporting Frequency</w:t>
            </w:r>
          </w:p>
        </w:tc>
        <w:tc>
          <w:tcPr>
            <w:tcW w:w="8903" w:type="dxa"/>
          </w:tcPr>
          <w:p w14:paraId="16BA44DE"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Reporting is tied to each of the three (3) Open Enrollment 2030 readiness milestones. The Contractor must provide weekly readiness status reports beginning sixty (60) calendar days before each milestone deadline and daily readiness status reports during the final fourteen (14) calendar days before each milestone. Compliance evidence and the artifact package for each milestone must be submitted on or before the respective milestone deadline.</w:t>
            </w:r>
          </w:p>
        </w:tc>
      </w:tr>
      <w:tr w:rsidR="008E1773" w:rsidRPr="002C7415" w14:paraId="4FFBDE4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7" w:type="dxa"/>
          </w:tcPr>
          <w:p w14:paraId="6A6926DC" w14:textId="77777777" w:rsidR="008E1773" w:rsidRPr="002C7415" w:rsidRDefault="008E1773" w:rsidP="00DB06F0">
            <w:pPr>
              <w:rPr>
                <w:rFonts w:cs="Arial"/>
                <w:szCs w:val="20"/>
              </w:rPr>
            </w:pPr>
            <w:r>
              <w:rPr>
                <w:rFonts w:cs="Arial"/>
                <w:szCs w:val="20"/>
              </w:rPr>
              <w:t>SLA Calculations</w:t>
            </w:r>
          </w:p>
        </w:tc>
        <w:tc>
          <w:tcPr>
            <w:tcW w:w="8903" w:type="dxa"/>
          </w:tcPr>
          <w:p w14:paraId="5F04A35C"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assessed separately for each of the three (3) milestones on its respective deadline date. For each milestone, the SLA is met if the required functionality is delivered and confirmed in the Converged E&amp;E System on or before the applicable deadline: September 1, 2030, for Milestone One (1), October 1, 2030, for Milestone Two (2), and November 1, 2030, for Milestone Three (3). If a milestone is missed, per-day service credits accrue from the day after the deadline until the milestone is fully achieved and confirmed by the Department. Service credits across the three (3) milestones are cumulative.</w:t>
            </w:r>
          </w:p>
        </w:tc>
      </w:tr>
      <w:tr w:rsidR="008E1773" w:rsidRPr="002C7415" w14:paraId="5340C0C4" w14:textId="77777777" w:rsidTr="00DB06F0">
        <w:tc>
          <w:tcPr>
            <w:cnfStyle w:val="001000000000" w:firstRow="0" w:lastRow="0" w:firstColumn="1" w:lastColumn="0" w:oddVBand="0" w:evenVBand="0" w:oddHBand="0" w:evenHBand="0" w:firstRowFirstColumn="0" w:firstRowLastColumn="0" w:lastRowFirstColumn="0" w:lastRowLastColumn="0"/>
            <w:tcW w:w="1887" w:type="dxa"/>
          </w:tcPr>
          <w:p w14:paraId="0C8C4708" w14:textId="77777777" w:rsidR="008E1773" w:rsidRPr="002C7415" w:rsidRDefault="008E1773" w:rsidP="00DB06F0">
            <w:pPr>
              <w:rPr>
                <w:rFonts w:cs="Arial"/>
                <w:szCs w:val="20"/>
              </w:rPr>
            </w:pPr>
            <w:r>
              <w:rPr>
                <w:rFonts w:cs="Arial"/>
                <w:szCs w:val="20"/>
              </w:rPr>
              <w:t>SLA Calculations Definitions</w:t>
            </w:r>
          </w:p>
        </w:tc>
        <w:tc>
          <w:tcPr>
            <w:tcW w:w="8903" w:type="dxa"/>
          </w:tcPr>
          <w:p w14:paraId="7C8DB892"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Open Enrollment for Coverage Year 2031 (Coverage Year 2031): </w:t>
            </w:r>
            <w:r>
              <w:rPr>
                <w:rFonts w:cs="Arial"/>
                <w:szCs w:val="20"/>
              </w:rPr>
              <w:t>The annual enrollment period that begins November 1, 2030, and during which eligible individuals may enroll in or change their health coverage for the 2031 plan year.</w:t>
            </w:r>
          </w:p>
          <w:p w14:paraId="63EEC1DB"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Covered Populations: </w:t>
            </w:r>
            <w:r>
              <w:rPr>
                <w:rFonts w:cs="Arial"/>
                <w:szCs w:val="20"/>
              </w:rPr>
              <w:t>QHP, BHP, CHPlus, and Medicaid enrollees.</w:t>
            </w:r>
          </w:p>
          <w:p w14:paraId="598FE279"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Fully Available: </w:t>
            </w:r>
            <w:r>
              <w:rPr>
                <w:rFonts w:cs="Arial"/>
                <w:szCs w:val="20"/>
              </w:rPr>
              <w:t>The Converged E&amp;E System can display accurate eligibility and enrollment records for all individuals; process eligibility determinations, plan selections, and enrollment transactions; support renewals and redeterminations; and transmit data to downstream systems including MMIS, carriers, and the federal hub for each covered population.</w:t>
            </w:r>
          </w:p>
          <w:p w14:paraId="7FF015B8"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Auto-Renewal: </w:t>
            </w:r>
            <w:r>
              <w:rPr>
                <w:rFonts w:cs="Arial"/>
                <w:szCs w:val="20"/>
              </w:rPr>
              <w:t>The automatic re-enrollment of an eligible individual into their current or mapped plan for the next Coverage Year using Department-approved business rules and auto-renewal logic.</w:t>
            </w:r>
          </w:p>
          <w:p w14:paraId="387E24E9"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Milestone One (1): </w:t>
            </w:r>
            <w:r>
              <w:rPr>
                <w:rFonts w:cs="Arial"/>
                <w:szCs w:val="20"/>
              </w:rPr>
              <w:t>Population Availability, deadline September 1, 2030.</w:t>
            </w:r>
          </w:p>
          <w:p w14:paraId="5A5ADC3B"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Milestone Two (2): </w:t>
            </w:r>
            <w:r>
              <w:rPr>
                <w:rFonts w:cs="Arial"/>
                <w:szCs w:val="20"/>
              </w:rPr>
              <w:t>Auto-Renewal Notice Generation, deadline October 1, 2030.</w:t>
            </w:r>
          </w:p>
          <w:p w14:paraId="6ABF9840"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Milestone Three (3): </w:t>
            </w:r>
            <w:r>
              <w:rPr>
                <w:rFonts w:cs="Arial"/>
                <w:szCs w:val="20"/>
              </w:rPr>
              <w:t>Auto-Renewal Processing, deadline November 1, 2030.</w:t>
            </w:r>
          </w:p>
        </w:tc>
      </w:tr>
      <w:tr w:rsidR="008E1773" w:rsidRPr="002C7415" w14:paraId="7EB2813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7" w:type="dxa"/>
          </w:tcPr>
          <w:p w14:paraId="76300028" w14:textId="77777777" w:rsidR="008E1773" w:rsidRPr="002C7415" w:rsidRDefault="008E1773" w:rsidP="00DB06F0">
            <w:pPr>
              <w:rPr>
                <w:rFonts w:cs="Arial"/>
                <w:szCs w:val="20"/>
              </w:rPr>
            </w:pPr>
            <w:r>
              <w:rPr>
                <w:rFonts w:cs="Arial"/>
                <w:szCs w:val="20"/>
              </w:rPr>
              <w:t>Exclusions</w:t>
            </w:r>
          </w:p>
        </w:tc>
        <w:tc>
          <w:tcPr>
            <w:tcW w:w="8903" w:type="dxa"/>
          </w:tcPr>
          <w:p w14:paraId="2A830062"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responsible for demonstrating any claimed exclusion by providing written Department authorization for the event.</w:t>
            </w:r>
          </w:p>
        </w:tc>
      </w:tr>
      <w:tr w:rsidR="008E1773" w:rsidRPr="002C7415" w14:paraId="14EB71BA" w14:textId="77777777" w:rsidTr="00DB06F0">
        <w:tc>
          <w:tcPr>
            <w:cnfStyle w:val="001000000000" w:firstRow="0" w:lastRow="0" w:firstColumn="1" w:lastColumn="0" w:oddVBand="0" w:evenVBand="0" w:oddHBand="0" w:evenHBand="0" w:firstRowFirstColumn="0" w:firstRowLastColumn="0" w:lastRowFirstColumn="0" w:lastRowLastColumn="0"/>
            <w:tcW w:w="1887" w:type="dxa"/>
          </w:tcPr>
          <w:p w14:paraId="211353F3" w14:textId="77777777" w:rsidR="008E1773" w:rsidRPr="002C7415" w:rsidRDefault="008E1773" w:rsidP="00DB06F0">
            <w:pPr>
              <w:rPr>
                <w:rFonts w:cs="Arial"/>
                <w:szCs w:val="20"/>
              </w:rPr>
            </w:pPr>
            <w:r>
              <w:rPr>
                <w:rFonts w:cs="Arial"/>
                <w:szCs w:val="20"/>
              </w:rPr>
              <w:t>Process to Compile and Report SLA</w:t>
            </w:r>
          </w:p>
        </w:tc>
        <w:tc>
          <w:tcPr>
            <w:tcW w:w="8903" w:type="dxa"/>
          </w:tcPr>
          <w:p w14:paraId="7D88639F"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milestone, the Contractor must compile and submit the applicable readiness package to the Department on or before the milestone deadline. Across the three (3) milestones, the Contractor must provide the following artifacts:</w:t>
            </w:r>
          </w:p>
          <w:p w14:paraId="7462BC80" w14:textId="77777777" w:rsidR="008E1773" w:rsidRPr="002C7415" w:rsidRDefault="008E1773" w:rsidP="00247A54">
            <w:pPr>
              <w:pStyle w:val="TableBullet"/>
              <w:cnfStyle w:val="000000000000" w:firstRow="0" w:lastRow="0" w:firstColumn="0" w:lastColumn="0" w:oddVBand="0" w:evenVBand="0" w:oddHBand="0" w:evenHBand="0" w:firstRowFirstColumn="0" w:firstRowLastColumn="0" w:lastRowFirstColumn="0" w:lastRowLastColumn="0"/>
            </w:pPr>
            <w:r>
              <w:rPr>
                <w:b/>
                <w:bCs/>
              </w:rPr>
              <w:t>Population Migration and Readiness Report</w:t>
            </w:r>
            <w:r>
              <w:t xml:space="preserve"> confirming that all QHP, BHP, CHPlus, and Medicaid populations have been successfully migrated and are fully available in the Converged E&amp;E System, including record counts, data validation results, and reconciliation evidence against source systems.</w:t>
            </w:r>
          </w:p>
          <w:p w14:paraId="0AE67084" w14:textId="77777777" w:rsidR="008E1773" w:rsidRPr="002C7415" w:rsidRDefault="008E1773" w:rsidP="00247A54">
            <w:pPr>
              <w:pStyle w:val="TableBullet"/>
              <w:cnfStyle w:val="000000000000" w:firstRow="0" w:lastRow="0" w:firstColumn="0" w:lastColumn="0" w:oddVBand="0" w:evenVBand="0" w:oddHBand="0" w:evenHBand="0" w:firstRowFirstColumn="0" w:firstRowLastColumn="0" w:lastRowFirstColumn="0" w:lastRowLastColumn="0"/>
            </w:pPr>
            <w:r>
              <w:rPr>
                <w:b/>
                <w:bCs/>
              </w:rPr>
              <w:lastRenderedPageBreak/>
              <w:t>Department-approved Open Enrollment Readiness Checklist</w:t>
            </w:r>
            <w:r>
              <w:t xml:space="preserve"> confirming all Open Enrollment prerequisites have been satisfied, including UAT sign-off for Open Enrollment-specific functionality, resolution of all Severity 1 and Severity 2 defects impacting Open Enrollment, and confirmation of system capacity to handle projected Open Enrollment transaction volumes.</w:t>
            </w:r>
          </w:p>
          <w:p w14:paraId="45772EBA" w14:textId="77777777" w:rsidR="008E1773" w:rsidRPr="002C7415" w:rsidRDefault="008E1773" w:rsidP="00247A54">
            <w:pPr>
              <w:pStyle w:val="TableBullet"/>
              <w:cnfStyle w:val="000000000000" w:firstRow="0" w:lastRow="0" w:firstColumn="0" w:lastColumn="0" w:oddVBand="0" w:evenVBand="0" w:oddHBand="0" w:evenHBand="0" w:firstRowFirstColumn="0" w:firstRowLastColumn="0" w:lastRowFirstColumn="0" w:lastRowLastColumn="0"/>
            </w:pPr>
            <w:r>
              <w:rPr>
                <w:b/>
                <w:bCs/>
              </w:rPr>
              <w:t>Auto-Renewal Notice Generation Report</w:t>
            </w:r>
            <w:r>
              <w:t xml:space="preserve"> documenting the total number of notices generated per population, distribution channel, and date of distribution, along with sample notices demonstrating compliance with Department-approved templates and language access requirements.</w:t>
            </w:r>
          </w:p>
          <w:p w14:paraId="084866F2" w14:textId="77777777" w:rsidR="008E1773" w:rsidRPr="002C7415" w:rsidRDefault="008E1773" w:rsidP="00247A54">
            <w:pPr>
              <w:pStyle w:val="TableBullet"/>
              <w:cnfStyle w:val="000000000000" w:firstRow="0" w:lastRow="0" w:firstColumn="0" w:lastColumn="0" w:oddVBand="0" w:evenVBand="0" w:oddHBand="0" w:evenHBand="0" w:firstRowFirstColumn="0" w:firstRowLastColumn="0" w:lastRowFirstColumn="0" w:lastRowLastColumn="0"/>
            </w:pPr>
            <w:r>
              <w:rPr>
                <w:b/>
                <w:bCs/>
              </w:rPr>
              <w:t>Auto-Renewal Processing Confirmation Report</w:t>
            </w:r>
            <w:r>
              <w:t xml:space="preserve"> documenting the number of enrollees auto-renewed per population, enrollment transactions transmitted to carriers and downstream systems, and identification of individuals flagged for manual review or active re-enrollment.</w:t>
            </w:r>
          </w:p>
          <w:p w14:paraId="5CA20F6E" w14:textId="77777777" w:rsidR="008E1773" w:rsidRPr="002C7415" w:rsidRDefault="008E1773" w:rsidP="00247A54">
            <w:pPr>
              <w:pStyle w:val="TableBullet"/>
              <w:cnfStyle w:val="000000000000" w:firstRow="0" w:lastRow="0" w:firstColumn="0" w:lastColumn="0" w:oddVBand="0" w:evenVBand="0" w:oddHBand="0" w:evenHBand="0" w:firstRowFirstColumn="0" w:firstRowLastColumn="0" w:lastRowFirstColumn="0" w:lastRowLastColumn="0"/>
            </w:pPr>
            <w:r>
              <w:rPr>
                <w:b/>
                <w:bCs/>
              </w:rPr>
              <w:t>Downstream System Integration Confirmation</w:t>
            </w:r>
            <w:r>
              <w:t xml:space="preserve"> demonstrating that enrollment and eligibility data transmissions to MMIS, carriers, and the federal hub are operational and processing correctly for all populations.</w:t>
            </w:r>
          </w:p>
          <w:p w14:paraId="5036CDAB" w14:textId="77777777" w:rsidR="008E1773" w:rsidRPr="002C7415" w:rsidRDefault="008E1773" w:rsidP="00247A54">
            <w:pPr>
              <w:pStyle w:val="TableBullet"/>
              <w:cnfStyle w:val="000000000000" w:firstRow="0" w:lastRow="0" w:firstColumn="0" w:lastColumn="0" w:oddVBand="0" w:evenVBand="0" w:oddHBand="0" w:evenHBand="0" w:firstRowFirstColumn="0" w:firstRowLastColumn="0" w:lastRowFirstColumn="0" w:lastRowLastColumn="0"/>
            </w:pPr>
            <w:r>
              <w:rPr>
                <w:b/>
                <w:bCs/>
              </w:rPr>
              <w:t>Updated IMS</w:t>
            </w:r>
            <w:r>
              <w:t xml:space="preserve"> reflecting actual completion dates for each milestone and any variances from the approved baseline schedule, including a change log documenting date modifications, reasons for change, and Department approvals.</w:t>
            </w:r>
          </w:p>
          <w:p w14:paraId="617D09BD"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Reports must be submitted in a format that allows for full independent validation by the Department.</w:t>
            </w:r>
          </w:p>
        </w:tc>
      </w:tr>
      <w:tr w:rsidR="008E1773" w:rsidRPr="002C7415" w14:paraId="6BC75E4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7" w:type="dxa"/>
          </w:tcPr>
          <w:p w14:paraId="2776ACC9" w14:textId="77777777" w:rsidR="008E1773" w:rsidRPr="002C7415" w:rsidRDefault="008E1773" w:rsidP="00DB06F0">
            <w:pPr>
              <w:rPr>
                <w:rFonts w:cs="Arial"/>
                <w:szCs w:val="20"/>
              </w:rPr>
            </w:pPr>
            <w:r>
              <w:rPr>
                <w:rFonts w:cs="Arial"/>
                <w:szCs w:val="20"/>
              </w:rPr>
              <w:lastRenderedPageBreak/>
              <w:t>Converged E&amp;E System and AMS Service Credit</w:t>
            </w:r>
          </w:p>
        </w:tc>
        <w:tc>
          <w:tcPr>
            <w:tcW w:w="8903" w:type="dxa"/>
          </w:tcPr>
          <w:p w14:paraId="0ECF680D"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b/>
                <w:bCs/>
              </w:rPr>
              <w:t xml:space="preserve">Milestone One (1), Population Availability (September 1, 2030): </w:t>
            </w:r>
            <w:r>
              <w:rPr>
                <w:rFonts w:cs="Arial"/>
                <w:szCs w:val="20"/>
              </w:rPr>
              <w:t>Failure to make all populations fully available by September 1, 2030, will result in a service credit of five hundred thousand dollars ($500,000). For each additional calendar day, or portion thereof past the deadline, an additional service credit of fifty thousand dollars ($50,000) per day will be applied.</w:t>
            </w:r>
          </w:p>
          <w:p w14:paraId="45D763B5"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Milestone Two (2), Auto-Renewal Notice Generation (October 1, 2030): </w:t>
            </w:r>
            <w:r>
              <w:rPr>
                <w:rFonts w:cs="Arial"/>
                <w:szCs w:val="20"/>
              </w:rPr>
              <w:t>Failure to generate and distribute auto-renewal notices by October 1, 2030, will result in a service credit of five hundred thousand dollars ($500,000). For each additional calendar day, or portion thereof past the deadline, an additional service credit of fifty thousand dollars ($50,000) per day will be applied.</w:t>
            </w:r>
          </w:p>
          <w:p w14:paraId="7318FE4D"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Milestone Three (3), Auto-Renewal Processing (November 1, 2030): </w:t>
            </w:r>
            <w:r>
              <w:rPr>
                <w:rFonts w:cs="Arial"/>
                <w:szCs w:val="20"/>
              </w:rPr>
              <w:t>Failure to complete auto-renewal processing by November 1, 2030, will result in a service credit of two hundred fifty thousand dollars ($250,000). For each additional calendar day, or portion thereof past the deadline, an additional service credit of fifty thousand dollars ($50,000) per day will be applied.</w:t>
            </w:r>
          </w:p>
          <w:p w14:paraId="20E0D13A"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Service credits under each milestone are cumulative.</w:t>
            </w:r>
          </w:p>
        </w:tc>
      </w:tr>
    </w:tbl>
    <w:p w14:paraId="5A78E38B" w14:textId="77777777" w:rsidR="008E1773" w:rsidRPr="005562EB" w:rsidRDefault="008E1773" w:rsidP="008E1773"/>
    <w:p w14:paraId="213F73EC" w14:textId="197F81FA" w:rsidR="00CE5273" w:rsidRDefault="00CE5273" w:rsidP="00CE5273">
      <w:pPr>
        <w:pStyle w:val="Heading2"/>
      </w:pPr>
      <w:bookmarkStart w:id="74" w:name="_Toc233199153"/>
      <w:r>
        <w:t>Compliance and Legal</w:t>
      </w:r>
      <w:bookmarkEnd w:id="74"/>
    </w:p>
    <w:p w14:paraId="08357CA0" w14:textId="061FF589" w:rsidR="007C7095" w:rsidRPr="002C7415" w:rsidRDefault="007C7095" w:rsidP="007C7095">
      <w:pPr>
        <w:pStyle w:val="HeadingSLA"/>
      </w:pPr>
      <w:bookmarkStart w:id="75" w:name="_Toc233199154"/>
      <w:r>
        <w:t>Timely and Accurate Invoicing</w:t>
      </w:r>
      <w:bookmarkEnd w:id="45"/>
      <w:bookmarkEnd w:id="75"/>
    </w:p>
    <w:tbl>
      <w:tblPr>
        <w:tblStyle w:val="DOH-LeftHeader"/>
        <w:tblW w:w="4998" w:type="pct"/>
        <w:tblLayout w:type="fixed"/>
        <w:tblLook w:val="0480" w:firstRow="0" w:lastRow="0" w:firstColumn="1" w:lastColumn="0" w:noHBand="0" w:noVBand="1"/>
      </w:tblPr>
      <w:tblGrid>
        <w:gridCol w:w="1886"/>
        <w:gridCol w:w="8900"/>
      </w:tblGrid>
      <w:tr w:rsidR="007C7095" w:rsidRPr="002C7415" w14:paraId="2AB5891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6FAB3E9" w14:textId="77777777" w:rsidR="007C7095" w:rsidRPr="002C7415" w:rsidRDefault="007C7095" w:rsidP="00DB06F0">
            <w:pPr>
              <w:rPr>
                <w:rFonts w:cs="Arial"/>
                <w:b w:val="0"/>
                <w:bCs w:val="0"/>
                <w:szCs w:val="20"/>
              </w:rPr>
            </w:pPr>
            <w:r>
              <w:rPr>
                <w:rFonts w:cs="Arial"/>
                <w:szCs w:val="20"/>
              </w:rPr>
              <w:t>Purpose</w:t>
            </w:r>
          </w:p>
        </w:tc>
        <w:tc>
          <w:tcPr>
            <w:tcW w:w="8900" w:type="dxa"/>
          </w:tcPr>
          <w:p w14:paraId="5AD4A472"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This SLA establishes the standard for predictable and reliable financial reporting from the Contractor. Timely and accurate invoicing is necessary to ensure the Department can effectively manage the approved project budget, secure applicable federal funding, and accurately track total project expenditures. Delays or inaccuracies in invoicing obscure the Department’s visibility into unspent allocated funds, hindering the timely reallocation of resources to other critical project areas. </w:t>
            </w:r>
          </w:p>
        </w:tc>
      </w:tr>
      <w:tr w:rsidR="007C7095" w:rsidRPr="002C7415" w14:paraId="361703B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1595C33" w14:textId="77777777" w:rsidR="007C7095" w:rsidRPr="002C7415" w:rsidRDefault="007C7095" w:rsidP="00DB06F0">
            <w:pPr>
              <w:rPr>
                <w:rFonts w:cs="Arial"/>
                <w:b w:val="0"/>
                <w:bCs w:val="0"/>
                <w:szCs w:val="20"/>
              </w:rPr>
            </w:pPr>
            <w:r>
              <w:rPr>
                <w:rFonts w:cs="Arial"/>
                <w:szCs w:val="20"/>
              </w:rPr>
              <w:t>Specification</w:t>
            </w:r>
          </w:p>
        </w:tc>
        <w:tc>
          <w:tcPr>
            <w:tcW w:w="8900" w:type="dxa"/>
          </w:tcPr>
          <w:p w14:paraId="2C32DB62"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must submit accurate, complete, and Department-ready invoices for all billable services in accordance with the Contract and all Department, State, and federal invoicing, cost allocation, and documentation guidelines. The Contractor should ensure the initial invoice submission is accurate, includes all required attachments, and is submitted per the Contract </w:t>
            </w:r>
            <w:r>
              <w:rPr>
                <w:rFonts w:cs="Arial"/>
                <w:szCs w:val="20"/>
              </w:rPr>
              <w:lastRenderedPageBreak/>
              <w:t>timeliness requirements. If the invoice is rejected by the Department due to Contractor errors, the resubmitted invoice must be timely and resolve the identified errors.</w:t>
            </w:r>
          </w:p>
        </w:tc>
      </w:tr>
      <w:tr w:rsidR="007C7095" w:rsidRPr="002C7415" w14:paraId="469BB0D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BF53C8C" w14:textId="77777777" w:rsidR="007C7095" w:rsidRPr="002C7415" w:rsidRDefault="007C7095" w:rsidP="00DB06F0">
            <w:pPr>
              <w:rPr>
                <w:rFonts w:cs="Arial"/>
                <w:b w:val="0"/>
                <w:bCs w:val="0"/>
                <w:szCs w:val="20"/>
              </w:rPr>
            </w:pPr>
            <w:r>
              <w:rPr>
                <w:rFonts w:cs="Arial"/>
                <w:szCs w:val="20"/>
              </w:rPr>
              <w:lastRenderedPageBreak/>
              <w:t>Service Level</w:t>
            </w:r>
          </w:p>
        </w:tc>
        <w:tc>
          <w:tcPr>
            <w:tcW w:w="8900" w:type="dxa"/>
          </w:tcPr>
          <w:p w14:paraId="7A2096E1" w14:textId="77777777" w:rsidR="007C7095" w:rsidRPr="002C7415" w:rsidRDefault="007C7095"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submit a complete and accurate invoice within thirty (30) calendar days following the end of the applicable billing period.</w:t>
            </w:r>
          </w:p>
          <w:p w14:paraId="4F4935A4" w14:textId="77777777" w:rsidR="007C7095" w:rsidRPr="006818B3" w:rsidRDefault="007C7095"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Invoices requiring correction due to Contractor error must be resubmitted within thirty (30) calendar days of Department notification of the deficiency.</w:t>
            </w:r>
          </w:p>
        </w:tc>
      </w:tr>
      <w:tr w:rsidR="007C7095" w:rsidRPr="002C7415" w14:paraId="4795ACDC"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DDB0C67" w14:textId="77777777" w:rsidR="007C7095" w:rsidRPr="002C7415" w:rsidRDefault="007C7095" w:rsidP="00DB06F0">
            <w:pPr>
              <w:rPr>
                <w:rFonts w:cs="Arial"/>
                <w:b w:val="0"/>
                <w:bCs w:val="0"/>
                <w:szCs w:val="20"/>
              </w:rPr>
            </w:pPr>
            <w:r>
              <w:rPr>
                <w:rFonts w:cs="Arial"/>
                <w:szCs w:val="20"/>
              </w:rPr>
              <w:t>Notes</w:t>
            </w:r>
          </w:p>
        </w:tc>
        <w:tc>
          <w:tcPr>
            <w:tcW w:w="8900" w:type="dxa"/>
          </w:tcPr>
          <w:p w14:paraId="3777BA63" w14:textId="77777777" w:rsidR="007C7095" w:rsidRPr="002C7415" w:rsidRDefault="007C7095"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All invoices must be accompanied by the required deliverables and supporting documentation. Invoices submitted without the required verification documents will be rejected and will not be processed for payment. Upon request, the Contractor must promptly provide supplemental documentation detailing the completed work, including, but not limited to, subcontractor invoices and timesheets.</w:t>
            </w:r>
          </w:p>
          <w:p w14:paraId="0736422F" w14:textId="77777777" w:rsidR="007C7095" w:rsidRPr="002C7415" w:rsidRDefault="007C7095"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Invoices must be created and submitted per individual scope area (e.g., PM, Transition-In). However, the Contractor may bundle deliverables for related scope areas into a single invoice when mutually agreed upon with, or directed by, the Department in writing.</w:t>
            </w:r>
          </w:p>
        </w:tc>
      </w:tr>
      <w:tr w:rsidR="007C7095" w:rsidRPr="002C7415" w14:paraId="69FE1EB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4155F12" w14:textId="77777777" w:rsidR="007C7095" w:rsidRPr="002C7415" w:rsidRDefault="007C7095" w:rsidP="00DB06F0">
            <w:pPr>
              <w:rPr>
                <w:rFonts w:cs="Arial"/>
                <w:b w:val="0"/>
                <w:bCs w:val="0"/>
                <w:szCs w:val="20"/>
              </w:rPr>
            </w:pPr>
            <w:r>
              <w:rPr>
                <w:rFonts w:cs="Arial"/>
                <w:szCs w:val="20"/>
              </w:rPr>
              <w:t>Reporting Frequency</w:t>
            </w:r>
          </w:p>
        </w:tc>
        <w:tc>
          <w:tcPr>
            <w:tcW w:w="8900" w:type="dxa"/>
            <w:tcBorders>
              <w:bottom w:val="single" w:sz="4" w:space="0" w:color="auto"/>
            </w:tcBorders>
          </w:tcPr>
          <w:p w14:paraId="52ED05A3"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per invoicing period. The Contractor must report compliance for this SLA in the Weekly and Monthly Status Reports.</w:t>
            </w:r>
          </w:p>
        </w:tc>
      </w:tr>
      <w:tr w:rsidR="007C7095" w:rsidRPr="002C7415" w14:paraId="5E0323C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4ED773F" w14:textId="77777777" w:rsidR="007C7095" w:rsidRPr="002C7415" w:rsidRDefault="007C7095" w:rsidP="00DB06F0">
            <w:pPr>
              <w:rPr>
                <w:rFonts w:cs="Arial"/>
                <w:szCs w:val="20"/>
              </w:rPr>
            </w:pPr>
            <w:r>
              <w:rPr>
                <w:rFonts w:cs="Arial"/>
                <w:szCs w:val="20"/>
              </w:rPr>
              <w:t>SLA Calculations</w:t>
            </w:r>
          </w:p>
        </w:tc>
        <w:tc>
          <w:tcPr>
            <w:tcW w:w="8900" w:type="dxa"/>
            <w:tcBorders>
              <w:bottom w:val="nil"/>
            </w:tcBorders>
          </w:tcPr>
          <w:p w14:paraId="35049623"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rPr>
            </w:pPr>
            <w:r>
              <w:rPr>
                <w:rFonts w:cs="Arial"/>
              </w:rPr>
              <w:t>Compliance is evaluated for each invoice based on two (2) potential points of failure: initial submission and resubmission timeliness, and error-free invoice details and attachments. A service credit applies if the SLA is breached at either point.</w:t>
            </w:r>
          </w:p>
          <w:p w14:paraId="0C0085EC" w14:textId="77777777" w:rsidR="007C7095" w:rsidRDefault="007C7095" w:rsidP="00DB06F0">
            <w:pPr>
              <w:cnfStyle w:val="000000010000" w:firstRow="0" w:lastRow="0" w:firstColumn="0" w:lastColumn="0" w:oddVBand="0" w:evenVBand="0" w:oddHBand="0" w:evenHBand="1" w:firstRowFirstColumn="0" w:firstRowLastColumn="0" w:lastRowFirstColumn="0" w:lastRowLastColumn="0"/>
              <w:rPr>
                <w:rFonts w:cs="Arial"/>
              </w:rPr>
            </w:pPr>
            <w:r>
              <w:rPr>
                <w:rFonts w:cs="Arial"/>
                <w:b/>
                <w:bCs/>
              </w:rPr>
              <w:t>Initial Submission Timeliness</w:t>
            </w:r>
            <w:r>
              <w:rPr>
                <w:rFonts w:cs="Arial"/>
              </w:rPr>
              <w:t>: An invoice that is submitted more than thirty (30) calendar days after the end of the billing period, results in applying the initial timeliness service credit.</w:t>
            </w:r>
          </w:p>
          <w:p w14:paraId="0B1E73F9" w14:textId="77777777" w:rsidR="007C7095" w:rsidRPr="00FA610E"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Initial Submission Quality: </w:t>
            </w:r>
            <w:r>
              <w:rPr>
                <w:rFonts w:cs="Arial"/>
                <w:szCs w:val="20"/>
              </w:rPr>
              <w:t>An invoice that is rejected due to a material issue and a revision is required by the Contractor, results in applying the initial quality service credit.</w:t>
            </w:r>
          </w:p>
          <w:p w14:paraId="2A53C4A4"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Resubmission Timeliness &amp; Quality: </w:t>
            </w:r>
            <w:r>
              <w:rPr>
                <w:rFonts w:cs="Arial"/>
                <w:szCs w:val="20"/>
              </w:rPr>
              <w:t>If an invoice is rejected due to Contractor errors, and/or the corrected version is resubmitted more than thirty (30) calendar days after the Department’s notification of errors, the additional service credit is also applied.</w:t>
            </w:r>
          </w:p>
          <w:p w14:paraId="6AAB8F5B"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p>
          <w:p w14:paraId="52A796B6"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t>Example:</w:t>
            </w:r>
          </w:p>
          <w:p w14:paraId="024D993D" w14:textId="77777777" w:rsidR="007C7095" w:rsidRPr="002C7415" w:rsidRDefault="007C7095" w:rsidP="00DB06F0">
            <w:pPr>
              <w:pStyle w:val="TableBullet"/>
              <w:cnfStyle w:val="000000010000" w:firstRow="0" w:lastRow="0" w:firstColumn="0" w:lastColumn="0" w:oddVBand="0" w:evenVBand="0" w:oddHBand="0" w:evenHBand="1" w:firstRowFirstColumn="0" w:firstRowLastColumn="0" w:lastRowFirstColumn="0" w:lastRowLastColumn="0"/>
            </w:pPr>
            <w:r>
              <w:t>Billable work is completed 4/30/2030.</w:t>
            </w:r>
          </w:p>
          <w:p w14:paraId="75FC79D2" w14:textId="77777777" w:rsidR="007C7095" w:rsidRPr="002C7415" w:rsidRDefault="007C7095" w:rsidP="00DB06F0">
            <w:pPr>
              <w:pStyle w:val="TableBullet"/>
              <w:cnfStyle w:val="000000010000" w:firstRow="0" w:lastRow="0" w:firstColumn="0" w:lastColumn="0" w:oddVBand="0" w:evenVBand="0" w:oddHBand="0" w:evenHBand="1" w:firstRowFirstColumn="0" w:firstRowLastColumn="0" w:lastRowFirstColumn="0" w:lastRowLastColumn="0"/>
            </w:pPr>
            <w:r>
              <w:t>Invoice is due Monday 5/30/2030.</w:t>
            </w:r>
          </w:p>
          <w:p w14:paraId="71DA6420"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Scenario A (meets):</w:t>
            </w:r>
            <w:r>
              <w:rPr>
                <w:rFonts w:cs="Arial"/>
                <w:szCs w:val="20"/>
              </w:rPr>
              <w:t xml:space="preserve"> Contractor submits the invoice on Friday May 27, 2030. The required detail and attachments are included. The SLA is met.</w:t>
            </w:r>
          </w:p>
          <w:p w14:paraId="624013B0" w14:textId="77777777" w:rsidR="007C7095" w:rsidRPr="00B81CEB"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Scenario B (late submission/initial timeliness service credit):</w:t>
            </w:r>
            <w:r>
              <w:rPr>
                <w:rFonts w:cs="Arial"/>
                <w:szCs w:val="20"/>
              </w:rPr>
              <w:t xml:space="preserve"> Contractor submits the invoice on Thursday June 3, 2030 and all the required timesheets are included and no errors are identified but the resubmission happens more than thirty (30) calendar days </w:t>
            </w:r>
            <w:r>
              <w:rPr>
                <w:rFonts w:cs="Arial"/>
              </w:rPr>
              <w:t>after the end of the billing period</w:t>
            </w:r>
            <w:r>
              <w:rPr>
                <w:rFonts w:cs="Arial"/>
                <w:szCs w:val="20"/>
              </w:rPr>
              <w:t>. The initial quality service credit of ten percent (10%) of the invoice amount is applied.</w:t>
            </w:r>
          </w:p>
          <w:p w14:paraId="4F402EB6"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Scenario C (missing attachments/initial quality service credit)</w:t>
            </w:r>
            <w:r>
              <w:rPr>
                <w:rFonts w:cs="Arial"/>
                <w:szCs w:val="20"/>
              </w:rPr>
              <w:t xml:space="preserve">: The Contractor submits the invoice on Friday May 27, 2030. The required </w:t>
            </w:r>
            <w:bookmarkStart w:id="76" w:name="_Int_xCxq4lbY"/>
            <w:r>
              <w:rPr>
                <w:rFonts w:cs="Arial"/>
                <w:szCs w:val="20"/>
              </w:rPr>
              <w:t>attachments</w:t>
            </w:r>
            <w:bookmarkEnd w:id="76"/>
            <w:r>
              <w:rPr>
                <w:rFonts w:cs="Arial"/>
                <w:szCs w:val="20"/>
              </w:rPr>
              <w:t xml:space="preserve"> for timesheets are not included. The initial quality service credit of zero point five percent (0.5%) of the invoice amount is applied.</w:t>
            </w:r>
          </w:p>
          <w:p w14:paraId="6C4CEBE8"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Scenario D (late submission/additional service credit)</w:t>
            </w:r>
            <w:r>
              <w:rPr>
                <w:rFonts w:cs="Arial"/>
                <w:szCs w:val="20"/>
              </w:rPr>
              <w:t>: The Department notifies the Contractor of errors on Tuesday May 31, 2030. The Contractor resubmits the invoice on Tuesday July 5, 2030. All identified errors have been corrected but the resubmission happens in more than thirty (30) calendar days after Department notification. The additional service credit of two percent (2%) of the invoice amount is also applied on top of any previously incurred service credits.</w:t>
            </w:r>
          </w:p>
        </w:tc>
      </w:tr>
      <w:tr w:rsidR="007C7095" w:rsidRPr="002C7415" w14:paraId="0F7AD89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9809D47" w14:textId="77777777" w:rsidR="007C7095" w:rsidRPr="002C7415" w:rsidRDefault="007C7095" w:rsidP="00DB06F0">
            <w:pPr>
              <w:rPr>
                <w:rFonts w:cs="Arial"/>
                <w:b w:val="0"/>
                <w:bCs w:val="0"/>
                <w:szCs w:val="20"/>
              </w:rPr>
            </w:pPr>
            <w:r>
              <w:rPr>
                <w:rFonts w:cs="Arial"/>
                <w:szCs w:val="20"/>
              </w:rPr>
              <w:t>SLA Calculations Definitions</w:t>
            </w:r>
          </w:p>
        </w:tc>
        <w:tc>
          <w:tcPr>
            <w:tcW w:w="8900" w:type="dxa"/>
            <w:tcBorders>
              <w:top w:val="nil"/>
            </w:tcBorders>
          </w:tcPr>
          <w:p w14:paraId="161E7CAB"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Business Day</w:t>
            </w:r>
            <w:r>
              <w:rPr>
                <w:rFonts w:cs="Arial"/>
                <w:szCs w:val="20"/>
              </w:rPr>
              <w:t xml:space="preserve"> – All days between and including Monday through Friday, excluding state and federal holidays</w:t>
            </w:r>
          </w:p>
          <w:p w14:paraId="2AA177BA"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Calendar Day</w:t>
            </w:r>
            <w:r>
              <w:rPr>
                <w:rFonts w:cs="Arial"/>
                <w:szCs w:val="20"/>
              </w:rPr>
              <w:t xml:space="preserve"> – All days in a month, from 12:00 a.m. through 11:59 p.m. Eastern Standard/Daylight Time, including weekends and state and federal holidays</w:t>
            </w:r>
          </w:p>
        </w:tc>
      </w:tr>
      <w:tr w:rsidR="007C7095" w:rsidRPr="002C7415" w14:paraId="4978CE9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6D4C1CB" w14:textId="77777777" w:rsidR="007C7095" w:rsidRPr="002C7415" w:rsidRDefault="007C7095" w:rsidP="00DB06F0">
            <w:pPr>
              <w:rPr>
                <w:rFonts w:cs="Arial"/>
                <w:b w:val="0"/>
                <w:bCs w:val="0"/>
                <w:szCs w:val="20"/>
              </w:rPr>
            </w:pPr>
            <w:r>
              <w:rPr>
                <w:rFonts w:cs="Arial"/>
                <w:szCs w:val="20"/>
              </w:rPr>
              <w:lastRenderedPageBreak/>
              <w:t>Exclusions</w:t>
            </w:r>
          </w:p>
        </w:tc>
        <w:tc>
          <w:tcPr>
            <w:tcW w:w="8900" w:type="dxa"/>
          </w:tcPr>
          <w:p w14:paraId="5B1B82E1"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rPr>
            </w:pPr>
            <w:r>
              <w:rPr>
                <w:rFonts w:cs="Arial"/>
              </w:rPr>
              <w:t xml:space="preserve">In the event of a </w:t>
            </w:r>
            <w:bookmarkStart w:id="77" w:name="_Int_oyCBqK0c"/>
            <w:r>
              <w:rPr>
                <w:rFonts w:cs="Arial"/>
              </w:rPr>
              <w:t>Department</w:t>
            </w:r>
            <w:bookmarkEnd w:id="77"/>
            <w:r>
              <w:rPr>
                <w:rFonts w:cs="Arial"/>
              </w:rPr>
              <w:t>-approved written waiver to delay or defer a specific invoice submission, the Contractor will not be subject to the service credits for that instance. The Contractor is responsible for demonstrating that a claimed exclusion applies by providing the official written waiver documentation for the record.</w:t>
            </w:r>
          </w:p>
        </w:tc>
      </w:tr>
      <w:tr w:rsidR="007C7095" w:rsidRPr="002C7415" w14:paraId="601E917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A99B944" w14:textId="77777777" w:rsidR="007C7095" w:rsidRPr="002C7415" w:rsidRDefault="007C7095" w:rsidP="00DB06F0">
            <w:pPr>
              <w:rPr>
                <w:rFonts w:cs="Arial"/>
                <w:b w:val="0"/>
                <w:bCs w:val="0"/>
                <w:szCs w:val="20"/>
              </w:rPr>
            </w:pPr>
            <w:r>
              <w:rPr>
                <w:rFonts w:cs="Arial"/>
                <w:szCs w:val="20"/>
              </w:rPr>
              <w:t>Process to Compile and Report SLA</w:t>
            </w:r>
          </w:p>
        </w:tc>
        <w:tc>
          <w:tcPr>
            <w:tcW w:w="8900" w:type="dxa"/>
          </w:tcPr>
          <w:p w14:paraId="366533B4"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an invoice register to track all submissions. For each reporting period, the Contractor must:</w:t>
            </w:r>
          </w:p>
          <w:p w14:paraId="637D5D99" w14:textId="77777777" w:rsidR="007C7095" w:rsidRPr="002C7415" w:rsidRDefault="007C7095" w:rsidP="00DB06F0">
            <w:pPr>
              <w:pStyle w:val="TableBullet"/>
              <w:cnfStyle w:val="000000000000" w:firstRow="0" w:lastRow="0" w:firstColumn="0" w:lastColumn="0" w:oddVBand="0" w:evenVBand="0" w:oddHBand="0" w:evenHBand="0" w:firstRowFirstColumn="0" w:firstRowLastColumn="0" w:lastRowFirstColumn="0" w:lastRowLastColumn="0"/>
            </w:pPr>
            <w:r>
              <w:t>Document the submission date and final status (e.g. accepted, rejected) of every invoice.</w:t>
            </w:r>
          </w:p>
          <w:p w14:paraId="5B7CB549" w14:textId="77777777" w:rsidR="007C7095" w:rsidRPr="002C7415" w:rsidRDefault="007C7095" w:rsidP="00DB06F0">
            <w:pPr>
              <w:pStyle w:val="TableBullet"/>
              <w:cnfStyle w:val="000000000000" w:firstRow="0" w:lastRow="0" w:firstColumn="0" w:lastColumn="0" w:oddVBand="0" w:evenVBand="0" w:oddHBand="0" w:evenHBand="0" w:firstRowFirstColumn="0" w:firstRowLastColumn="0" w:lastRowFirstColumn="0" w:lastRowLastColumn="0"/>
            </w:pPr>
            <w:r>
              <w:t>For any rejected invoice, document the date the Department sent the notification of deficiency and the date the corrected invoice was resubmitted.</w:t>
            </w:r>
          </w:p>
          <w:p w14:paraId="5A439147" w14:textId="77777777" w:rsidR="007C7095" w:rsidRPr="002C7415" w:rsidRDefault="007C7095" w:rsidP="00DB06F0">
            <w:pPr>
              <w:pStyle w:val="TableBullet"/>
              <w:cnfStyle w:val="000000000000" w:firstRow="0" w:lastRow="0" w:firstColumn="0" w:lastColumn="0" w:oddVBand="0" w:evenVBand="0" w:oddHBand="0" w:evenHBand="0" w:firstRowFirstColumn="0" w:firstRowLastColumn="0" w:lastRowFirstColumn="0" w:lastRowLastColumn="0"/>
            </w:pPr>
            <w:r>
              <w:t>Calculate and list any service credits accrued due to the breach of either initial or extended timeliness and/or accuracy.</w:t>
            </w:r>
          </w:p>
          <w:p w14:paraId="6D292FE0" w14:textId="77777777" w:rsidR="007C7095" w:rsidRPr="002C7415" w:rsidRDefault="007C7095" w:rsidP="00DB06F0">
            <w:pPr>
              <w:pStyle w:val="TableBullet"/>
              <w:cnfStyle w:val="000000000000" w:firstRow="0" w:lastRow="0" w:firstColumn="0" w:lastColumn="0" w:oddVBand="0" w:evenVBand="0" w:oddHBand="0" w:evenHBand="0" w:firstRowFirstColumn="0" w:firstRowLastColumn="0" w:lastRowFirstColumn="0" w:lastRowLastColumn="0"/>
            </w:pPr>
            <w:r>
              <w:t>Report this SLA compliance data in the Weekly and Monthly Status Reports.</w:t>
            </w:r>
          </w:p>
        </w:tc>
      </w:tr>
      <w:tr w:rsidR="007C7095" w:rsidRPr="002C7415" w14:paraId="2D525CE1"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FBF946B" w14:textId="77777777" w:rsidR="007C7095" w:rsidRPr="002C7415" w:rsidRDefault="007C7095" w:rsidP="00DB06F0">
            <w:pPr>
              <w:rPr>
                <w:rFonts w:cs="Arial"/>
                <w:b w:val="0"/>
                <w:bCs w:val="0"/>
                <w:szCs w:val="20"/>
              </w:rPr>
            </w:pPr>
            <w:r>
              <w:rPr>
                <w:rFonts w:cs="Arial"/>
                <w:szCs w:val="20"/>
              </w:rPr>
              <w:t>Converged E&amp;E System and AMS Service Credit</w:t>
            </w:r>
          </w:p>
        </w:tc>
        <w:tc>
          <w:tcPr>
            <w:tcW w:w="8900" w:type="dxa"/>
          </w:tcPr>
          <w:p w14:paraId="43AD8EF5"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Missed Submission (Initial Timeliness Service Credit): </w:t>
            </w:r>
            <w:r>
              <w:rPr>
                <w:rFonts w:cs="Arial"/>
                <w:szCs w:val="20"/>
              </w:rPr>
              <w:t>Failure to comply with the initial invoice submission timeliness requirements in this SLA will result in a service credit of ten percent (10%) of the invoice amount for each invoice that is initially submitted after the thirty (30) calendar days due date.</w:t>
            </w:r>
          </w:p>
          <w:p w14:paraId="74522EC8" w14:textId="77777777" w:rsidR="007C7095" w:rsidRPr="00731878"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Inaccurate/Incomplete Submission (Initial Quality Service Credit:</w:t>
            </w:r>
            <w:r>
              <w:rPr>
                <w:rFonts w:cs="Arial"/>
                <w:szCs w:val="20"/>
              </w:rPr>
              <w:t xml:space="preserve"> Failure to comply with the initial invoice submission quality  requirements in this SLA will result in a service credit of zero point five percent (0.5%) of the invoice amount for each invoice that requires resubmission due to Contractor error.</w:t>
            </w:r>
          </w:p>
          <w:p w14:paraId="0FD9B06F"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Late Resubmission (Additional Service Credit): </w:t>
            </w:r>
            <w:r>
              <w:rPr>
                <w:rFonts w:cs="Arial"/>
                <w:szCs w:val="20"/>
              </w:rPr>
              <w:t>Failure to resubmit the corrected invoice within the three (3) business day grace period and/or with all identified errors resolved will result in an additional service credit of two percent (2%) of the invoice amount for each invoice.</w:t>
            </w:r>
          </w:p>
        </w:tc>
      </w:tr>
    </w:tbl>
    <w:p w14:paraId="0276E667" w14:textId="20CACAA4" w:rsidR="007C7095" w:rsidRPr="002C7415" w:rsidRDefault="007C7095" w:rsidP="007C7095">
      <w:pPr>
        <w:pStyle w:val="HeadingSLA"/>
      </w:pPr>
      <w:bookmarkStart w:id="78" w:name="_Toc233199155"/>
      <w:bookmarkEnd w:id="46"/>
      <w:r>
        <w:t>Budget and Cost Documentation Updates</w:t>
      </w:r>
      <w:bookmarkEnd w:id="78"/>
    </w:p>
    <w:tbl>
      <w:tblPr>
        <w:tblStyle w:val="DOH-LeftHeader"/>
        <w:tblW w:w="4998" w:type="pct"/>
        <w:tblLayout w:type="fixed"/>
        <w:tblLook w:val="0480" w:firstRow="0" w:lastRow="0" w:firstColumn="1" w:lastColumn="0" w:noHBand="0" w:noVBand="1"/>
      </w:tblPr>
      <w:tblGrid>
        <w:gridCol w:w="1886"/>
        <w:gridCol w:w="8900"/>
      </w:tblGrid>
      <w:tr w:rsidR="007C7095" w:rsidRPr="002C7415" w14:paraId="0E631D6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6719FF6" w14:textId="77777777" w:rsidR="007C7095" w:rsidRPr="002C7415" w:rsidRDefault="007C7095" w:rsidP="00DB06F0">
            <w:pPr>
              <w:rPr>
                <w:rFonts w:cs="Arial"/>
                <w:b w:val="0"/>
                <w:bCs w:val="0"/>
                <w:szCs w:val="20"/>
              </w:rPr>
            </w:pPr>
            <w:r>
              <w:rPr>
                <w:rFonts w:cs="Arial"/>
                <w:szCs w:val="20"/>
              </w:rPr>
              <w:t>Purpose</w:t>
            </w:r>
          </w:p>
        </w:tc>
        <w:tc>
          <w:tcPr>
            <w:tcW w:w="8900" w:type="dxa"/>
          </w:tcPr>
          <w:p w14:paraId="70127017"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makes sure the Contractor provides budget and cost updates on time. The Department and CMS use this information to track project spending, manage the budget, and review requests for federal funding.</w:t>
            </w:r>
          </w:p>
        </w:tc>
      </w:tr>
      <w:tr w:rsidR="007C7095" w:rsidRPr="002C7415" w14:paraId="39F4D62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B6B42B3" w14:textId="77777777" w:rsidR="007C7095" w:rsidRPr="002C7415" w:rsidRDefault="007C7095" w:rsidP="00DB06F0">
            <w:pPr>
              <w:rPr>
                <w:rFonts w:cs="Arial"/>
                <w:b w:val="0"/>
                <w:bCs w:val="0"/>
                <w:szCs w:val="20"/>
              </w:rPr>
            </w:pPr>
            <w:r>
              <w:rPr>
                <w:rFonts w:cs="Arial"/>
                <w:szCs w:val="20"/>
              </w:rPr>
              <w:t>Specification</w:t>
            </w:r>
          </w:p>
        </w:tc>
        <w:tc>
          <w:tcPr>
            <w:tcW w:w="8900" w:type="dxa"/>
          </w:tcPr>
          <w:p w14:paraId="2CEA7770" w14:textId="77777777" w:rsidR="007C7095" w:rsidRPr="002C7415" w:rsidRDefault="007C7095"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update and submit all budget and cost documentation every two (2) weeks (every fourteen [14] calendar days).</w:t>
            </w:r>
          </w:p>
        </w:tc>
      </w:tr>
      <w:tr w:rsidR="007C7095" w:rsidRPr="002C7415" w14:paraId="6C15535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0C9A265" w14:textId="77777777" w:rsidR="007C7095" w:rsidRPr="002C7415" w:rsidRDefault="007C7095" w:rsidP="00DB06F0">
            <w:pPr>
              <w:rPr>
                <w:rFonts w:cs="Arial"/>
                <w:b w:val="0"/>
                <w:bCs w:val="0"/>
                <w:szCs w:val="20"/>
              </w:rPr>
            </w:pPr>
            <w:r>
              <w:rPr>
                <w:rFonts w:cs="Arial"/>
                <w:szCs w:val="20"/>
              </w:rPr>
              <w:t>Service Level</w:t>
            </w:r>
          </w:p>
        </w:tc>
        <w:tc>
          <w:tcPr>
            <w:tcW w:w="8900" w:type="dxa"/>
          </w:tcPr>
          <w:p w14:paraId="52679D96" w14:textId="77777777" w:rsidR="007C7095" w:rsidRPr="002C7415" w:rsidRDefault="007C7095"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Updated budget and cost documentation must be submitted every two (2) weeks.</w:t>
            </w:r>
          </w:p>
        </w:tc>
      </w:tr>
      <w:tr w:rsidR="007C7095" w:rsidRPr="002C7415" w14:paraId="3E06D44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92C1438" w14:textId="77777777" w:rsidR="007C7095" w:rsidRPr="002C7415" w:rsidRDefault="007C7095" w:rsidP="00DB06F0">
            <w:pPr>
              <w:rPr>
                <w:rFonts w:cs="Arial"/>
                <w:b w:val="0"/>
                <w:bCs w:val="0"/>
                <w:szCs w:val="20"/>
              </w:rPr>
            </w:pPr>
            <w:r>
              <w:rPr>
                <w:rFonts w:cs="Arial"/>
                <w:szCs w:val="20"/>
              </w:rPr>
              <w:t>Notes</w:t>
            </w:r>
          </w:p>
        </w:tc>
        <w:tc>
          <w:tcPr>
            <w:tcW w:w="8900" w:type="dxa"/>
          </w:tcPr>
          <w:p w14:paraId="7B105E83" w14:textId="77777777" w:rsidR="007C7095" w:rsidRPr="002C7415" w:rsidRDefault="007C7095"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All cost tracking must follow the rules in the approved Budget Management Plan. Any changes to how costs are managed must be approved through the Project Change Control Process.</w:t>
            </w:r>
          </w:p>
        </w:tc>
      </w:tr>
      <w:tr w:rsidR="007C7095" w:rsidRPr="002C7415" w14:paraId="0C0BE03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70B92F9" w14:textId="77777777" w:rsidR="007C7095" w:rsidRPr="002C7415" w:rsidRDefault="007C7095" w:rsidP="00DB06F0">
            <w:pPr>
              <w:rPr>
                <w:rFonts w:cs="Arial"/>
                <w:b w:val="0"/>
                <w:bCs w:val="0"/>
                <w:szCs w:val="20"/>
              </w:rPr>
            </w:pPr>
            <w:r>
              <w:rPr>
                <w:rFonts w:cs="Arial"/>
                <w:szCs w:val="20"/>
              </w:rPr>
              <w:t>Reporting Frequency</w:t>
            </w:r>
          </w:p>
        </w:tc>
        <w:tc>
          <w:tcPr>
            <w:tcW w:w="8900" w:type="dxa"/>
          </w:tcPr>
          <w:p w14:paraId="02121DBF" w14:textId="77777777" w:rsidR="007C7095" w:rsidRPr="002C7415" w:rsidRDefault="007C7095"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A report is due every two (2) weeks. </w:t>
            </w:r>
          </w:p>
        </w:tc>
      </w:tr>
      <w:tr w:rsidR="007C7095" w:rsidRPr="002C7415" w14:paraId="1105469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EA53775" w14:textId="77777777" w:rsidR="007C7095" w:rsidRPr="002C7415" w:rsidRDefault="007C7095" w:rsidP="00DB06F0">
            <w:pPr>
              <w:rPr>
                <w:rFonts w:cs="Arial"/>
                <w:szCs w:val="20"/>
              </w:rPr>
            </w:pPr>
            <w:r>
              <w:rPr>
                <w:rFonts w:cs="Arial"/>
                <w:szCs w:val="20"/>
              </w:rPr>
              <w:t>SLA Calculations</w:t>
            </w:r>
          </w:p>
        </w:tc>
        <w:tc>
          <w:tcPr>
            <w:tcW w:w="8900" w:type="dxa"/>
          </w:tcPr>
          <w:p w14:paraId="634D6B0B" w14:textId="77777777" w:rsidR="007C7095" w:rsidRPr="002C7415" w:rsidRDefault="007C7095"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Measuring SLA compliance is determined as follows:</w:t>
            </w:r>
          </w:p>
          <w:p w14:paraId="2C1076F7"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Find the Due Date</w:t>
            </w:r>
            <w:r>
              <w:rPr>
                <w:rFonts w:cs="Arial"/>
                <w:szCs w:val="20"/>
              </w:rPr>
              <w:t>: The documentation is due fourteen (14) calendar days after the most recent prior submission.</w:t>
            </w:r>
          </w:p>
          <w:p w14:paraId="0EB09FC6"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Check for a Breach</w:t>
            </w:r>
            <w:r>
              <w:rPr>
                <w:rFonts w:cs="Arial"/>
                <w:szCs w:val="20"/>
              </w:rPr>
              <w:t>: If the documentation is submitted late, an initial service credit applies.</w:t>
            </w:r>
          </w:p>
          <w:p w14:paraId="28EE31B1"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Check for an Extended Breach</w:t>
            </w:r>
            <w:r>
              <w:rPr>
                <w:rFonts w:cs="Arial"/>
                <w:szCs w:val="20"/>
              </w:rPr>
              <w:t>: If the documentation is more than five (5) business days late, an additional service credit applies for each business day starting on Day Six (6).</w:t>
            </w:r>
          </w:p>
          <w:p w14:paraId="54F52712"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p>
          <w:p w14:paraId="5BE8BA39" w14:textId="77777777" w:rsidR="007C7095" w:rsidRPr="009B4BA5" w:rsidRDefault="007C7095" w:rsidP="00DB06F0">
            <w:pPr>
              <w:cnfStyle w:val="000000010000" w:firstRow="0" w:lastRow="0" w:firstColumn="0" w:lastColumn="0" w:oddVBand="0" w:evenVBand="0" w:oddHBand="0" w:evenHBand="1" w:firstRowFirstColumn="0" w:firstRowLastColumn="0" w:lastRowFirstColumn="0" w:lastRowLastColumn="0"/>
              <w:rPr>
                <w:b/>
                <w:bCs/>
              </w:rPr>
            </w:pPr>
            <w:r>
              <w:rPr>
                <w:b/>
                <w:bCs/>
              </w:rPr>
              <w:t>Example</w:t>
            </w:r>
          </w:p>
          <w:p w14:paraId="0A3D1100" w14:textId="77777777" w:rsidR="007C7095" w:rsidRPr="002C7415" w:rsidRDefault="007C7095" w:rsidP="00DB06F0">
            <w:pPr>
              <w:pStyle w:val="TableBullet"/>
              <w:cnfStyle w:val="000000010000" w:firstRow="0" w:lastRow="0" w:firstColumn="0" w:lastColumn="0" w:oddVBand="0" w:evenVBand="0" w:oddHBand="0" w:evenHBand="1" w:firstRowFirstColumn="0" w:firstRowLastColumn="0" w:lastRowFirstColumn="0" w:lastRowLastColumn="0"/>
            </w:pPr>
            <w:r>
              <w:t>Last Submission Date: Monday, May 10</w:t>
            </w:r>
          </w:p>
          <w:p w14:paraId="63C1DCE1" w14:textId="77777777" w:rsidR="007C7095" w:rsidRPr="002C7415" w:rsidRDefault="007C7095" w:rsidP="00DB06F0">
            <w:pPr>
              <w:pStyle w:val="TableBullet"/>
              <w:cnfStyle w:val="000000010000" w:firstRow="0" w:lastRow="0" w:firstColumn="0" w:lastColumn="0" w:oddVBand="0" w:evenVBand="0" w:oddHBand="0" w:evenHBand="1" w:firstRowFirstColumn="0" w:firstRowLastColumn="0" w:lastRowFirstColumn="0" w:lastRowLastColumn="0"/>
            </w:pPr>
            <w:r>
              <w:t>Due Date: Monday, May 24</w:t>
            </w:r>
          </w:p>
          <w:p w14:paraId="1F438034"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Scenario One (1) (Met):</w:t>
            </w:r>
            <w:r>
              <w:rPr>
                <w:rFonts w:cs="Arial"/>
                <w:szCs w:val="20"/>
              </w:rPr>
              <w:t xml:space="preserve"> Contractor submits on May 24. The SLA is met.</w:t>
            </w:r>
          </w:p>
          <w:p w14:paraId="7B9A03E8"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Scenario Two (2) (Initial Breach):</w:t>
            </w:r>
            <w:r>
              <w:rPr>
                <w:rFonts w:cs="Arial"/>
                <w:szCs w:val="20"/>
              </w:rPr>
              <w:t xml:space="preserve"> Contractor submits on Friday, May 28 (4 business days late). The Initial Credit of two thousand five hundred dollars ($2,500) applies.</w:t>
            </w:r>
          </w:p>
          <w:p w14:paraId="5E94E440"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lastRenderedPageBreak/>
              <w:t>Scenario Three (3) (Extended Breach</w:t>
            </w:r>
            <w:r>
              <w:rPr>
                <w:rFonts w:cs="Arial"/>
                <w:szCs w:val="20"/>
              </w:rPr>
              <w:t>): Contractor submits on Tuesday, June 2 (seven [7] business days late). The service credit of two thousand five hundred dollars ($2,500) applies, plus an additional service credit for two (2) days (seven [7] days late – five [5]-day grace period = two [2] days). The additional service credit is two (2) x one thousand dollars ($1,000) = two thousand dollars ($2,000). Total service credit is four thousand five hundred dollars ($4,500).</w:t>
            </w:r>
          </w:p>
        </w:tc>
      </w:tr>
      <w:tr w:rsidR="007C7095" w:rsidRPr="002C7415" w14:paraId="7F5ECAD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271D272" w14:textId="77777777" w:rsidR="007C7095" w:rsidRPr="002C7415" w:rsidRDefault="007C7095" w:rsidP="00DB06F0">
            <w:pPr>
              <w:rPr>
                <w:rFonts w:cs="Arial"/>
                <w:b w:val="0"/>
                <w:bCs w:val="0"/>
                <w:szCs w:val="20"/>
              </w:rPr>
            </w:pPr>
            <w:r>
              <w:rPr>
                <w:rFonts w:cs="Arial"/>
                <w:szCs w:val="20"/>
              </w:rPr>
              <w:lastRenderedPageBreak/>
              <w:t>SLA Calculations Definitions</w:t>
            </w:r>
          </w:p>
        </w:tc>
        <w:tc>
          <w:tcPr>
            <w:tcW w:w="8900" w:type="dxa"/>
          </w:tcPr>
          <w:p w14:paraId="33A30CBF"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Business Day</w:t>
            </w:r>
            <w:r>
              <w:rPr>
                <w:rFonts w:cs="Arial"/>
                <w:szCs w:val="20"/>
              </w:rPr>
              <w:t>: Any Monday through Friday that is not a State-observed holiday.</w:t>
            </w:r>
          </w:p>
          <w:p w14:paraId="112CD11C"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Calendar Day</w:t>
            </w:r>
            <w:r>
              <w:rPr>
                <w:rFonts w:cs="Arial"/>
                <w:szCs w:val="20"/>
              </w:rPr>
              <w:t>: Every day, including weekends and holidays.</w:t>
            </w:r>
          </w:p>
        </w:tc>
      </w:tr>
      <w:tr w:rsidR="007C7095" w:rsidRPr="002C7415" w14:paraId="77703391"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299096C" w14:textId="77777777" w:rsidR="007C7095" w:rsidRPr="002C7415" w:rsidRDefault="007C7095" w:rsidP="00DB06F0">
            <w:pPr>
              <w:rPr>
                <w:rFonts w:cs="Arial"/>
                <w:b w:val="0"/>
                <w:bCs w:val="0"/>
                <w:szCs w:val="20"/>
              </w:rPr>
            </w:pPr>
            <w:r>
              <w:rPr>
                <w:rFonts w:cs="Arial"/>
                <w:szCs w:val="20"/>
              </w:rPr>
              <w:t>Exclusions</w:t>
            </w:r>
          </w:p>
        </w:tc>
        <w:tc>
          <w:tcPr>
            <w:tcW w:w="8900" w:type="dxa"/>
          </w:tcPr>
          <w:p w14:paraId="740B7ABA"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a late submission if the Department gives written instruction to delay or skip the scheduled report.</w:t>
            </w:r>
          </w:p>
        </w:tc>
      </w:tr>
      <w:tr w:rsidR="007C7095" w:rsidRPr="002C7415" w14:paraId="5DE3B31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6774793" w14:textId="77777777" w:rsidR="007C7095" w:rsidRPr="002C7415" w:rsidRDefault="007C7095" w:rsidP="00DB06F0">
            <w:pPr>
              <w:rPr>
                <w:rFonts w:cs="Arial"/>
                <w:b w:val="0"/>
                <w:bCs w:val="0"/>
                <w:szCs w:val="20"/>
              </w:rPr>
            </w:pPr>
            <w:r>
              <w:rPr>
                <w:rFonts w:cs="Arial"/>
                <w:szCs w:val="20"/>
              </w:rPr>
              <w:t>Process to Compile and Report SLA</w:t>
            </w:r>
          </w:p>
        </w:tc>
        <w:tc>
          <w:tcPr>
            <w:tcW w:w="8900" w:type="dxa"/>
          </w:tcPr>
          <w:p w14:paraId="49019CA8"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will use the Weekly and Monthly Status reports to list any late budget documents and to calculate the total applicable service credits for the period.</w:t>
            </w:r>
          </w:p>
        </w:tc>
      </w:tr>
      <w:tr w:rsidR="007C7095" w:rsidRPr="002C7415" w14:paraId="2B7395DD"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35A864D" w14:textId="77777777" w:rsidR="007C7095" w:rsidRPr="002C7415" w:rsidRDefault="007C7095" w:rsidP="00DB06F0">
            <w:pPr>
              <w:rPr>
                <w:rFonts w:cs="Arial"/>
                <w:b w:val="0"/>
                <w:bCs w:val="0"/>
                <w:szCs w:val="20"/>
              </w:rPr>
            </w:pPr>
            <w:r>
              <w:rPr>
                <w:rFonts w:cs="Arial"/>
                <w:szCs w:val="20"/>
              </w:rPr>
              <w:t>Converged E&amp;E System and AMS Service Credit</w:t>
            </w:r>
          </w:p>
        </w:tc>
        <w:tc>
          <w:tcPr>
            <w:tcW w:w="8900" w:type="dxa"/>
          </w:tcPr>
          <w:p w14:paraId="42DEDEA3"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rPr>
            </w:pPr>
            <w:r>
              <w:rPr>
                <w:rFonts w:cs="Arial"/>
                <w:b/>
              </w:rPr>
              <w:t xml:space="preserve">Late Submission (Initial </w:t>
            </w:r>
            <w:r>
              <w:rPr>
                <w:rFonts w:cs="Arial"/>
                <w:b/>
                <w:bCs/>
              </w:rPr>
              <w:t>Service Credit</w:t>
            </w:r>
            <w:r>
              <w:rPr>
                <w:rFonts w:cs="Arial"/>
                <w:b/>
              </w:rPr>
              <w:t>)</w:t>
            </w:r>
            <w:r>
              <w:rPr>
                <w:rFonts w:cs="Arial"/>
              </w:rPr>
              <w:t>: Twenty-five hundred dollars ($2,500) for each late submission.</w:t>
            </w:r>
          </w:p>
          <w:p w14:paraId="7B0FE290"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rPr>
            </w:pPr>
            <w:r>
              <w:rPr>
                <w:rFonts w:cs="Arial"/>
                <w:b/>
              </w:rPr>
              <w:t>Excessive Lateness (Additional Service Credit)</w:t>
            </w:r>
            <w:r>
              <w:rPr>
                <w:rFonts w:cs="Arial"/>
              </w:rPr>
              <w:t xml:space="preserve">: An additional one thousand dollars ($1,000) per business day for submissions that are more than five (5) business days late. </w:t>
            </w:r>
          </w:p>
        </w:tc>
      </w:tr>
    </w:tbl>
    <w:p w14:paraId="2AC44CE8" w14:textId="35372A37" w:rsidR="005562EB" w:rsidRPr="002C7415" w:rsidRDefault="005562EB" w:rsidP="00CB1E19">
      <w:pPr>
        <w:pStyle w:val="HeadingSLA"/>
      </w:pPr>
      <w:bookmarkStart w:id="79" w:name="_Toc233199156"/>
      <w:r>
        <w:t>Quality Assurance and Independent Verification and Validation Compliance</w:t>
      </w:r>
      <w:bookmarkEnd w:id="47"/>
      <w:bookmarkEnd w:id="79"/>
    </w:p>
    <w:tbl>
      <w:tblPr>
        <w:tblStyle w:val="DOH-LeftHeader"/>
        <w:tblW w:w="4998" w:type="pct"/>
        <w:tblLayout w:type="fixed"/>
        <w:tblLook w:val="0480" w:firstRow="0" w:lastRow="0" w:firstColumn="1" w:lastColumn="0" w:noHBand="0" w:noVBand="1"/>
      </w:tblPr>
      <w:tblGrid>
        <w:gridCol w:w="1886"/>
        <w:gridCol w:w="8900"/>
      </w:tblGrid>
      <w:tr w:rsidR="005562EB" w:rsidRPr="002C7415" w14:paraId="15EBFDA4"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78501D15" w14:textId="77777777" w:rsidR="005562EB" w:rsidRPr="002C7415" w:rsidRDefault="005562EB" w:rsidP="002413AA">
            <w:pPr>
              <w:rPr>
                <w:rFonts w:cs="Arial"/>
                <w:b w:val="0"/>
                <w:bCs w:val="0"/>
                <w:szCs w:val="20"/>
              </w:rPr>
            </w:pPr>
            <w:r>
              <w:rPr>
                <w:rFonts w:cs="Arial"/>
                <w:szCs w:val="20"/>
              </w:rPr>
              <w:t>Purpose</w:t>
            </w:r>
          </w:p>
        </w:tc>
        <w:tc>
          <w:tcPr>
            <w:tcW w:w="8900" w:type="dxa"/>
          </w:tcPr>
          <w:p w14:paraId="3478B607" w14:textId="222BB849"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defines the requirements for the Contractor’s cooperation, collaboration, and communication with independent QA and Independent Verification and Validation (IV&amp;V) vendors. These oversight entities monitor the project for risk, policy and procedure compliance, and evaluate financial and schedule performance. </w:t>
            </w:r>
          </w:p>
        </w:tc>
      </w:tr>
      <w:tr w:rsidR="005562EB" w:rsidRPr="002C7415" w14:paraId="3327AF44"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96E40EA" w14:textId="77777777" w:rsidR="005562EB" w:rsidRPr="002C7415" w:rsidRDefault="005562EB" w:rsidP="002413AA">
            <w:pPr>
              <w:rPr>
                <w:rFonts w:cs="Arial"/>
                <w:b w:val="0"/>
                <w:bCs w:val="0"/>
                <w:szCs w:val="20"/>
              </w:rPr>
            </w:pPr>
            <w:r>
              <w:rPr>
                <w:rFonts w:cs="Arial"/>
                <w:szCs w:val="20"/>
              </w:rPr>
              <w:t>Specification</w:t>
            </w:r>
          </w:p>
        </w:tc>
        <w:tc>
          <w:tcPr>
            <w:tcW w:w="8900" w:type="dxa"/>
          </w:tcPr>
          <w:p w14:paraId="35BD1DA9" w14:textId="5B4E72F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required to collaborate with and support the Department’s designated QA vendor and any future IV&amp;V vendor throughout the entire project life cycle. This collaboration includes, but is not limited to, providing timely access to all project artifacts, deliverables, test results, and personnel, as well as participating in all requested interviews, assessments, and meetings.</w:t>
            </w:r>
          </w:p>
        </w:tc>
      </w:tr>
      <w:tr w:rsidR="005562EB" w:rsidRPr="002C7415" w14:paraId="2D0D87EB"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147B9980" w14:textId="77777777" w:rsidR="005562EB" w:rsidRPr="002C7415" w:rsidRDefault="005562EB" w:rsidP="002413AA">
            <w:pPr>
              <w:rPr>
                <w:rFonts w:cs="Arial"/>
                <w:b w:val="0"/>
                <w:bCs w:val="0"/>
                <w:szCs w:val="20"/>
              </w:rPr>
            </w:pPr>
            <w:r>
              <w:rPr>
                <w:rFonts w:cs="Arial"/>
                <w:szCs w:val="20"/>
              </w:rPr>
              <w:t>Service Level</w:t>
            </w:r>
          </w:p>
        </w:tc>
        <w:tc>
          <w:tcPr>
            <w:tcW w:w="8900" w:type="dxa"/>
          </w:tcPr>
          <w:p w14:paraId="64BC7626" w14:textId="77777777"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Contractor must respond to all information requests and findings from the QA and/or IV&amp;V vendor within five (5) business days of the request receipt, unless a different timeframe is specified in a formal written request from the Department.</w:t>
            </w:r>
          </w:p>
        </w:tc>
      </w:tr>
      <w:tr w:rsidR="005562EB" w:rsidRPr="002C7415" w14:paraId="3566C5D1"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B23FC5D" w14:textId="77777777" w:rsidR="005562EB" w:rsidRPr="002C7415" w:rsidRDefault="005562EB" w:rsidP="002413AA">
            <w:pPr>
              <w:rPr>
                <w:rFonts w:cs="Arial"/>
                <w:b w:val="0"/>
                <w:bCs w:val="0"/>
                <w:szCs w:val="20"/>
              </w:rPr>
            </w:pPr>
            <w:r>
              <w:rPr>
                <w:rFonts w:cs="Arial"/>
                <w:szCs w:val="20"/>
              </w:rPr>
              <w:t>Notes</w:t>
            </w:r>
          </w:p>
        </w:tc>
        <w:tc>
          <w:tcPr>
            <w:tcW w:w="8900" w:type="dxa"/>
          </w:tcPr>
          <w:p w14:paraId="2E956C41" w14:textId="6B086265"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 is not required to onboard an IV&amp;V vendor as defined in 45 CFR § 95.626 , at this time, but reserves the right to do so.</w:t>
            </w:r>
          </w:p>
        </w:tc>
      </w:tr>
      <w:tr w:rsidR="005562EB" w:rsidRPr="002C7415" w14:paraId="6A817F3E"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42BFB25A"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4F29EEDA" w14:textId="77777777" w:rsidR="005562EB"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w:t>
            </w:r>
          </w:p>
          <w:p w14:paraId="16BCF7F7" w14:textId="77777777" w:rsidR="005562EB" w:rsidRPr="002C7415" w:rsidRDefault="005562EB" w:rsidP="002413AA">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 log documenting all QA and/or IV&amp;V requests, including the response dates. The Contractor must monitor and report the status of all open and recently closed QA/IV&amp;V requests in the Weekly and Monthly Status Reports.</w:t>
            </w:r>
          </w:p>
        </w:tc>
      </w:tr>
      <w:tr w:rsidR="005562EB" w:rsidRPr="002C7415" w14:paraId="149259A0"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4FB566D" w14:textId="77777777" w:rsidR="005562EB" w:rsidRPr="002C7415" w:rsidRDefault="005562EB" w:rsidP="002413AA">
            <w:pPr>
              <w:rPr>
                <w:rFonts w:cs="Arial"/>
                <w:szCs w:val="20"/>
              </w:rPr>
            </w:pPr>
            <w:r>
              <w:rPr>
                <w:rFonts w:cs="Arial"/>
                <w:szCs w:val="20"/>
              </w:rPr>
              <w:t>SLA Calculations</w:t>
            </w:r>
          </w:p>
        </w:tc>
        <w:tc>
          <w:tcPr>
            <w:tcW w:w="8900" w:type="dxa"/>
          </w:tcPr>
          <w:p w14:paraId="392F5277"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on a per request basis by comparing the Response Date to the required Due Date.</w:t>
            </w:r>
          </w:p>
          <w:p w14:paraId="677B61EA"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Identify Due Date</w:t>
            </w:r>
            <w:r>
              <w:rPr>
                <w:rFonts w:cs="Arial"/>
                <w:szCs w:val="20"/>
              </w:rPr>
              <w:t>: The due date is five (5) business days after the request or finding is received.</w:t>
            </w:r>
          </w:p>
          <w:p w14:paraId="0368412D" w14:textId="7ADFFAB0" w:rsidR="005562EB" w:rsidRPr="002C7415" w:rsidRDefault="005562EB" w:rsidP="00891A95">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Evaluate Compliance</w:t>
            </w:r>
            <w:r>
              <w:rPr>
                <w:rFonts w:cs="Arial"/>
                <w:szCs w:val="20"/>
              </w:rPr>
              <w:t>: If the Contractor’s complete response is submitted on or before the Due Date, the SLA is met. If there is no response or the response is submitted after the Due Date, the SLA is breached. Calculate the number of business days between the Due Date and the Response Date. The initial service credit is calculated by multiplying the number of additional business days beyond the five (5) business days response period x twenty-five hundred dollars ($2,500) per business day. Service credits are applied beginning with the sixth business day from the request receipt until the response is submitted.</w:t>
            </w:r>
          </w:p>
          <w:p w14:paraId="1418559D" w14:textId="77777777" w:rsidR="00891A95" w:rsidRPr="002C7415" w:rsidRDefault="00891A95" w:rsidP="00891A95">
            <w:pPr>
              <w:cnfStyle w:val="000000010000" w:firstRow="0" w:lastRow="0" w:firstColumn="0" w:lastColumn="0" w:oddVBand="0" w:evenVBand="0" w:oddHBand="0" w:evenHBand="1" w:firstRowFirstColumn="0" w:firstRowLastColumn="0" w:lastRowFirstColumn="0" w:lastRowLastColumn="0"/>
              <w:rPr>
                <w:rFonts w:cs="Arial"/>
                <w:szCs w:val="20"/>
              </w:rPr>
            </w:pPr>
          </w:p>
          <w:p w14:paraId="519915CA"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lastRenderedPageBreak/>
              <w:t>Example:</w:t>
            </w:r>
          </w:p>
          <w:p w14:paraId="78E5DA4B"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QA request received: Monday, March 18, 2030.</w:t>
            </w:r>
          </w:p>
          <w:p w14:paraId="24F46F60"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Due Date: Friday, March 22, 2030.</w:t>
            </w:r>
          </w:p>
          <w:p w14:paraId="506180BA" w14:textId="77777777"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Scenario A (Met):</w:t>
            </w:r>
            <w:r>
              <w:rPr>
                <w:rFonts w:cs="Arial"/>
                <w:szCs w:val="20"/>
              </w:rPr>
              <w:t xml:space="preserve"> Contractor responds on Friday, March 22. The SLA is met.</w:t>
            </w:r>
          </w:p>
          <w:p w14:paraId="1F0EC46D" w14:textId="6787DDCF" w:rsidR="005562EB" w:rsidRPr="002C7415" w:rsidRDefault="005562EB" w:rsidP="002413AA">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Scenario B (Not Met): </w:t>
            </w:r>
            <w:r>
              <w:rPr>
                <w:rFonts w:cs="Arial"/>
                <w:szCs w:val="20"/>
              </w:rPr>
              <w:t>Contractor responds on Friday, March 29. The response is 5 business days late. The penalty is applied for each of the five (5) days of delay (twenty-five hundred dollars [$2,500] x five [5] = twelve thousand five hundred dollars [$12,500]).</w:t>
            </w:r>
          </w:p>
        </w:tc>
      </w:tr>
      <w:tr w:rsidR="005562EB" w:rsidRPr="002C7415" w14:paraId="1FFBA23A"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4D85024D" w14:textId="77777777" w:rsidR="005562EB" w:rsidRPr="002C7415" w:rsidRDefault="005562EB" w:rsidP="002413AA">
            <w:pPr>
              <w:rPr>
                <w:rFonts w:cs="Arial"/>
                <w:b w:val="0"/>
                <w:bCs w:val="0"/>
                <w:szCs w:val="20"/>
              </w:rPr>
            </w:pPr>
            <w:r>
              <w:rPr>
                <w:rFonts w:cs="Arial"/>
                <w:szCs w:val="20"/>
              </w:rPr>
              <w:lastRenderedPageBreak/>
              <w:t>SLA Calculations Definitions</w:t>
            </w:r>
          </w:p>
        </w:tc>
        <w:tc>
          <w:tcPr>
            <w:tcW w:w="8900" w:type="dxa"/>
          </w:tcPr>
          <w:p w14:paraId="02B62023"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Business Day</w:t>
            </w:r>
            <w:r>
              <w:rPr>
                <w:rFonts w:cs="Arial"/>
                <w:szCs w:val="20"/>
              </w:rPr>
              <w:t xml:space="preserve"> – Any day from Monday through Friday, excluding New York State and federal holidays</w:t>
            </w:r>
          </w:p>
        </w:tc>
      </w:tr>
      <w:tr w:rsidR="005562EB" w:rsidRPr="002C7415" w14:paraId="0FEDE240"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38B57CD" w14:textId="77777777" w:rsidR="005562EB" w:rsidRPr="002C7415" w:rsidRDefault="005562EB" w:rsidP="002413AA">
            <w:pPr>
              <w:rPr>
                <w:rFonts w:cs="Arial"/>
                <w:b w:val="0"/>
                <w:bCs w:val="0"/>
                <w:szCs w:val="20"/>
              </w:rPr>
            </w:pPr>
            <w:r>
              <w:rPr>
                <w:rFonts w:cs="Arial"/>
                <w:szCs w:val="20"/>
              </w:rPr>
              <w:t>Exclusions</w:t>
            </w:r>
          </w:p>
        </w:tc>
        <w:tc>
          <w:tcPr>
            <w:tcW w:w="8900" w:type="dxa"/>
          </w:tcPr>
          <w:p w14:paraId="63B41DF3"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response timeframe may be extended by mutual written agreement between the Contractor, the QA/IV&amp;V vendor, and the Department if the complexity of the request necessitates a longer response period. The Contractor must formally request an extension within two (2) business days of receiving the request and is responsible for providing evidence of the waiver and extended submission date.</w:t>
            </w:r>
          </w:p>
        </w:tc>
      </w:tr>
      <w:tr w:rsidR="005562EB" w:rsidRPr="002C7415" w14:paraId="07DC065F"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340D651A"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00EC649A" w14:textId="1CF6E73C"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 compliance report or log for all QA and IV&amp;V requests. This log must include, at a minimum, a record of all information requests and findings, the received dates, actions taken, response date, and final resolution status. The Contractor is responsible for self-reporting the status of all open and recently closed QA/IV&amp;V requests in the Weekly and Monthly Status Reports.</w:t>
            </w:r>
          </w:p>
        </w:tc>
      </w:tr>
      <w:tr w:rsidR="005562EB" w:rsidRPr="002C7415" w14:paraId="7FDF57E1"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EED1440" w14:textId="18D31B68"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082EA0E6"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submit a timely response to all QA and IV&amp;V information request(s) and finding(s) within five (5) business days will result in a service credit of two thousand five hundred dollars ($2,500) per business day, or portion thereof, for each outstanding information request and finding, until resolved.</w:t>
            </w:r>
          </w:p>
        </w:tc>
      </w:tr>
    </w:tbl>
    <w:p w14:paraId="5465661A" w14:textId="6B6C2134" w:rsidR="00CE5273" w:rsidRDefault="00CE5273" w:rsidP="00CE5273">
      <w:pPr>
        <w:pStyle w:val="Heading2"/>
      </w:pPr>
      <w:bookmarkStart w:id="80" w:name="_Toc233199157"/>
      <w:bookmarkStart w:id="81" w:name="_Toc230258215"/>
      <w:r>
        <w:t>Vendor Continuity</w:t>
      </w:r>
      <w:bookmarkEnd w:id="80"/>
    </w:p>
    <w:p w14:paraId="363B3D66" w14:textId="071F08F3" w:rsidR="005562EB" w:rsidRPr="002C7415" w:rsidRDefault="005562EB" w:rsidP="00CB1E19">
      <w:pPr>
        <w:pStyle w:val="HeadingSLA"/>
      </w:pPr>
      <w:bookmarkStart w:id="82" w:name="_Toc233199158"/>
      <w:r>
        <w:t>Transition-In Knowledge Transfer Attendance</w:t>
      </w:r>
      <w:bookmarkEnd w:id="81"/>
      <w:bookmarkEnd w:id="82"/>
    </w:p>
    <w:tbl>
      <w:tblPr>
        <w:tblStyle w:val="DOH-LeftHeader"/>
        <w:tblW w:w="4998" w:type="pct"/>
        <w:tblLayout w:type="fixed"/>
        <w:tblLook w:val="0480" w:firstRow="0" w:lastRow="0" w:firstColumn="1" w:lastColumn="0" w:noHBand="0" w:noVBand="1"/>
      </w:tblPr>
      <w:tblGrid>
        <w:gridCol w:w="1886"/>
        <w:gridCol w:w="8900"/>
      </w:tblGrid>
      <w:tr w:rsidR="005562EB" w:rsidRPr="002C7415" w14:paraId="1FAC7F7B"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61A25710" w14:textId="77777777" w:rsidR="005562EB" w:rsidRPr="002C7415" w:rsidRDefault="005562EB" w:rsidP="002413AA">
            <w:pPr>
              <w:rPr>
                <w:rFonts w:cs="Arial"/>
                <w:b w:val="0"/>
                <w:bCs w:val="0"/>
                <w:szCs w:val="20"/>
              </w:rPr>
            </w:pPr>
            <w:r>
              <w:rPr>
                <w:rFonts w:cs="Arial"/>
                <w:szCs w:val="20"/>
              </w:rPr>
              <w:t>Purpose</w:t>
            </w:r>
          </w:p>
        </w:tc>
        <w:tc>
          <w:tcPr>
            <w:tcW w:w="8900" w:type="dxa"/>
          </w:tcPr>
          <w:p w14:paraId="2BF2E0F2" w14:textId="28CDA08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making sure the Contractor’s team attends knowledge transfer sessions during Transition-In. Knowledge transfer only works if the people designated to run the system are present to receive the information. Sending a handful of people, swapping in unfamiliar staff at the last minute, or skipping sessions defeats the purpose and puts continuity of operations at risk once the incoming Contractor transitions in.</w:t>
            </w:r>
          </w:p>
        </w:tc>
      </w:tr>
      <w:tr w:rsidR="005562EB" w:rsidRPr="002C7415" w14:paraId="34B8AD09"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7A343D0" w14:textId="77777777" w:rsidR="005562EB" w:rsidRPr="002C7415" w:rsidRDefault="005562EB" w:rsidP="002413AA">
            <w:pPr>
              <w:rPr>
                <w:rFonts w:cs="Arial"/>
                <w:b w:val="0"/>
                <w:bCs w:val="0"/>
                <w:szCs w:val="20"/>
              </w:rPr>
            </w:pPr>
            <w:r>
              <w:rPr>
                <w:rFonts w:cs="Arial"/>
                <w:szCs w:val="20"/>
              </w:rPr>
              <w:t>Specification</w:t>
            </w:r>
          </w:p>
        </w:tc>
        <w:tc>
          <w:tcPr>
            <w:tcW w:w="8900" w:type="dxa"/>
          </w:tcPr>
          <w:p w14:paraId="0D6D49E6" w14:textId="7EB5F4D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must ensure that at least ninety percent (90%) of its team members identified as required attendees in the approved Transition-In Plan actively participate in each designated knowledge transfer session (and associated activities).The Contractor’s team (or teams) subject to this SLA, and the individual team members required to attend each session, must be clearly identified within the approved Transition-In Plan before the Transition-In period begins. Attendance must be tracked at the individual level for every session. Participation means engaged presence for the full duration of the session, not merely a sign-in followed by departure. In-person presence, video-on remote presence, or telephonic presence (as approved by the Department) all qualify, provided the attendee is available throughout the session and able to engage with the content being delivered. </w:t>
            </w:r>
          </w:p>
        </w:tc>
      </w:tr>
      <w:tr w:rsidR="005562EB" w:rsidRPr="002C7415" w14:paraId="19FA63A6"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2BD2F9C1" w14:textId="77777777" w:rsidR="005562EB" w:rsidRPr="002C7415" w:rsidRDefault="005562EB" w:rsidP="002413AA">
            <w:pPr>
              <w:rPr>
                <w:rFonts w:cs="Arial"/>
                <w:b w:val="0"/>
                <w:bCs w:val="0"/>
                <w:szCs w:val="20"/>
              </w:rPr>
            </w:pPr>
            <w:r>
              <w:rPr>
                <w:rFonts w:cs="Arial"/>
                <w:szCs w:val="20"/>
              </w:rPr>
              <w:t>Service Level</w:t>
            </w:r>
          </w:p>
        </w:tc>
        <w:tc>
          <w:tcPr>
            <w:tcW w:w="8900" w:type="dxa"/>
          </w:tcPr>
          <w:p w14:paraId="57C41F87" w14:textId="44C8887D"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At least ninety percent (90%) of the Contractor’s identified required attendees must attend each designated knowledge transfer session and associated knowledge transfer activity during the Transition-In period. Compliance is evaluated independently for each session; a single session falling below ninety percent (90%) attendance constitutes a non-compliance event for that session.</w:t>
            </w:r>
          </w:p>
        </w:tc>
      </w:tr>
      <w:tr w:rsidR="005562EB" w:rsidRPr="002C7415" w14:paraId="79CCB2D8"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5CD9678" w14:textId="77777777" w:rsidR="005562EB" w:rsidRPr="002C7415" w:rsidRDefault="005562EB" w:rsidP="002413AA">
            <w:pPr>
              <w:rPr>
                <w:rFonts w:cs="Arial"/>
                <w:b w:val="0"/>
                <w:bCs w:val="0"/>
                <w:szCs w:val="20"/>
              </w:rPr>
            </w:pPr>
            <w:r>
              <w:rPr>
                <w:rFonts w:cs="Arial"/>
                <w:szCs w:val="20"/>
              </w:rPr>
              <w:lastRenderedPageBreak/>
              <w:t>Notes</w:t>
            </w:r>
          </w:p>
        </w:tc>
        <w:tc>
          <w:tcPr>
            <w:tcW w:w="8900" w:type="dxa"/>
          </w:tcPr>
          <w:p w14:paraId="2B125828" w14:textId="29520B6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Contractor’s team or teams subject to this SLA, including the named individuals expected at each session, must be identified in the approved Transition-In Plan. Any substitution or change to the identified required attendees must be submitted to the Department for review and acknowledgment in advance of the affected session. The Department retains sole discretion to determine whether a proposed substitute preserves the intent of this SLA. The Contractor must designate a single point of contact responsible for attendance tracking and reporting under this SLA.</w:t>
            </w:r>
          </w:p>
        </w:tc>
      </w:tr>
      <w:tr w:rsidR="005562EB" w:rsidRPr="002C7415" w14:paraId="58D11590"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3CF61123"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46FC518B" w14:textId="240068B0" w:rsidR="005562EB" w:rsidRPr="002C7415" w:rsidRDefault="00001819"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Attendance is captured for each knowledge transfer session as the session occurs. A consolidated Knowledge Transfer Attendance Report covering all sessions held during the reporting week is due to the Department weekly throughout the Transition-In period. SLA is effective during the Transition-In Period.</w:t>
            </w:r>
          </w:p>
        </w:tc>
      </w:tr>
      <w:tr w:rsidR="005562EB" w:rsidRPr="002C7415" w14:paraId="018BD4AC"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8352DDF" w14:textId="77777777" w:rsidR="005562EB" w:rsidRPr="002C7415" w:rsidRDefault="005562EB" w:rsidP="002413AA">
            <w:pPr>
              <w:rPr>
                <w:rFonts w:cs="Arial"/>
                <w:szCs w:val="20"/>
              </w:rPr>
            </w:pPr>
            <w:r>
              <w:rPr>
                <w:rFonts w:cs="Arial"/>
                <w:szCs w:val="20"/>
              </w:rPr>
              <w:t>SLA Calculations</w:t>
            </w:r>
          </w:p>
        </w:tc>
        <w:tc>
          <w:tcPr>
            <w:tcW w:w="8900" w:type="dxa"/>
          </w:tcPr>
          <w:p w14:paraId="2A939A5D" w14:textId="77777777" w:rsidR="006B5DF2"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Per-session attendance percentage is calculated using the following formula: Attendance Percentage = (Number of Identified Required Attendees Who Attended the Session divided by Total Number of Identified Required Attendees for the Session) multiplied by one hundred (100). The result is evaluated independently for each session. </w:t>
            </w:r>
          </w:p>
          <w:p w14:paraId="5B2DA7D1" w14:textId="7189A058"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 session is considered compliant if the calculated Attendance Percentage is at or above ninety percent (90%). For service credit calculation, the count of individuals not in attendance equals the Total Number of Identified Required Attendees for the Session minus the Number of Identified Required Attendees Who Attended the Session.</w:t>
            </w:r>
          </w:p>
        </w:tc>
      </w:tr>
      <w:tr w:rsidR="005562EB" w:rsidRPr="002C7415" w14:paraId="14348448"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6C6A727E"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4AB74BD4" w14:textId="6C5E5A19" w:rsidR="005562EB"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Identified Required Attendees:</w:t>
            </w:r>
            <w:r>
              <w:rPr>
                <w:rFonts w:cs="Arial"/>
                <w:szCs w:val="20"/>
              </w:rPr>
              <w:t xml:space="preserve"> The named Contractor team members listed in the approved Transition-In Plan, or any Department-acknowledged substitutes, who are required to attend a given knowledge transfer session.</w:t>
            </w:r>
          </w:p>
          <w:p w14:paraId="74E4D35D" w14:textId="5BC4213C" w:rsidR="005562EB"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Knowledge Transfer Session:</w:t>
            </w:r>
            <w:r>
              <w:rPr>
                <w:rFonts w:cs="Arial"/>
                <w:szCs w:val="20"/>
              </w:rPr>
              <w:t xml:space="preserve"> A scheduled session or associated information sharing activity, as defined in the approved Transition-In Plan, that is intended to transfer system, operational, or programmatic knowledge to the Contractor’s team.</w:t>
            </w:r>
          </w:p>
          <w:p w14:paraId="098D7E57"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Attended:</w:t>
            </w:r>
            <w:r>
              <w:rPr>
                <w:rFonts w:cs="Arial"/>
                <w:szCs w:val="20"/>
              </w:rPr>
              <w:t xml:space="preserve"> Verified active participation for the full duration of the session, evidenced by signed attendance rosters, video conference participation logs, or other verifiable means accepted by the Department.</w:t>
            </w:r>
          </w:p>
        </w:tc>
      </w:tr>
      <w:tr w:rsidR="005562EB" w:rsidRPr="002C7415" w14:paraId="7CB03640"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DC38C3B" w14:textId="77777777" w:rsidR="005562EB" w:rsidRPr="002C7415" w:rsidRDefault="005562EB" w:rsidP="002413AA">
            <w:pPr>
              <w:rPr>
                <w:rFonts w:cs="Arial"/>
                <w:b w:val="0"/>
                <w:bCs w:val="0"/>
                <w:szCs w:val="20"/>
              </w:rPr>
            </w:pPr>
            <w:r>
              <w:rPr>
                <w:rFonts w:cs="Arial"/>
                <w:szCs w:val="20"/>
              </w:rPr>
              <w:t>Exclusions</w:t>
            </w:r>
          </w:p>
        </w:tc>
        <w:tc>
          <w:tcPr>
            <w:tcW w:w="8900" w:type="dxa"/>
          </w:tcPr>
          <w:p w14:paraId="11E7979E" w14:textId="0E3BEB58"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Absences resulting from Department-approved schedule changes, Department-initiated session cancellations, or documented emergencies acknowledged in writing by the Department in advance of or contemporaneous with the affected session are not counted as non-attendance. The Contractor is responsible for proving, through verifiable records, that any claimed exclusion applies.</w:t>
            </w:r>
          </w:p>
        </w:tc>
      </w:tr>
      <w:tr w:rsidR="005562EB" w:rsidRPr="002C7415" w14:paraId="56ACC7A3"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0F1E3BC0"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67BC8891" w14:textId="77777777" w:rsidR="00993B33"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knowledge transfer session, the Contractor must capture: the session name and unique identifier; date and scheduled duration; complete list of identified required attendees per the approved Transition-In Plan; actual attendees with sign-in and sign-out timestamps; calculated attendance percentage for the session; identification of any required attendees not in attendance, including reason for absence and supporting documentation; and any Department-acknowledged substitutions for the session.</w:t>
            </w:r>
          </w:p>
          <w:p w14:paraId="15E6EA07" w14:textId="2BC03BB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submit a weekly Knowledge Transfer Attendance Report to the Department that includes the per-session data for all sessions held during the reporting week, running cumulative totals for the Transition-In period to date, and identification of any sessions that fell below the ninety percent (90%) compliance threshold. Supporting evidence, including attendance rosters, trainee evaluations, the Knowledge Transfer checklist, meeting agendas showing invitees, and meeting minutes showing actual attendees, must be retained and made available to the Department upon request.</w:t>
            </w:r>
          </w:p>
        </w:tc>
      </w:tr>
      <w:tr w:rsidR="005562EB" w:rsidRPr="002C7415" w14:paraId="1C9B6CE8"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D73A1CA" w14:textId="7393AE9C"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1812999A"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For each designated knowledge transfer session in which attendance falls below ninety percent (90%) of the identified required attendees, a service credit of ten thousand dollars ($10,000) applies for each identified required attendee not in attendance for that session. The credit is assessed independently per session and per absent individual.</w:t>
            </w:r>
          </w:p>
        </w:tc>
      </w:tr>
    </w:tbl>
    <w:p w14:paraId="11ADD075" w14:textId="2935B546" w:rsidR="005562EB" w:rsidRPr="002C7415" w:rsidRDefault="005562EB" w:rsidP="00CB1E19">
      <w:pPr>
        <w:pStyle w:val="HeadingSLA"/>
      </w:pPr>
      <w:bookmarkStart w:id="83" w:name="_Toc230258216"/>
      <w:bookmarkStart w:id="84" w:name="_Toc233199159"/>
      <w:r>
        <w:lastRenderedPageBreak/>
        <w:t>Transition-In Duration</w:t>
      </w:r>
      <w:bookmarkEnd w:id="83"/>
      <w:bookmarkEnd w:id="84"/>
    </w:p>
    <w:tbl>
      <w:tblPr>
        <w:tblStyle w:val="DOH-LeftHeader"/>
        <w:tblW w:w="4998" w:type="pct"/>
        <w:tblLayout w:type="fixed"/>
        <w:tblLook w:val="0480" w:firstRow="0" w:lastRow="0" w:firstColumn="1" w:lastColumn="0" w:noHBand="0" w:noVBand="1"/>
      </w:tblPr>
      <w:tblGrid>
        <w:gridCol w:w="1886"/>
        <w:gridCol w:w="8900"/>
      </w:tblGrid>
      <w:tr w:rsidR="005562EB" w:rsidRPr="002C7415" w14:paraId="5557347C" w14:textId="77777777" w:rsidTr="00E478C8">
        <w:tc>
          <w:tcPr>
            <w:cnfStyle w:val="001000000000" w:firstRow="0" w:lastRow="0" w:firstColumn="1" w:lastColumn="0" w:oddVBand="0" w:evenVBand="0" w:oddHBand="0" w:evenHBand="0" w:firstRowFirstColumn="0" w:firstRowLastColumn="0" w:lastRowFirstColumn="0" w:lastRowLastColumn="0"/>
            <w:tcW w:w="1886" w:type="dxa"/>
          </w:tcPr>
          <w:p w14:paraId="271C7FDF" w14:textId="77777777" w:rsidR="005562EB" w:rsidRPr="002C7415" w:rsidRDefault="005562EB" w:rsidP="002413AA">
            <w:pPr>
              <w:rPr>
                <w:rFonts w:cs="Arial"/>
                <w:b w:val="0"/>
                <w:bCs w:val="0"/>
                <w:szCs w:val="20"/>
              </w:rPr>
            </w:pPr>
            <w:r>
              <w:rPr>
                <w:rFonts w:cs="Arial"/>
                <w:szCs w:val="20"/>
              </w:rPr>
              <w:t>Purpose</w:t>
            </w:r>
          </w:p>
        </w:tc>
        <w:tc>
          <w:tcPr>
            <w:tcW w:w="8900" w:type="dxa"/>
          </w:tcPr>
          <w:p w14:paraId="0B624E01" w14:textId="4D0338EC" w:rsidR="005562EB" w:rsidRPr="002C7415" w:rsidRDefault="00686C59"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ensures the Contractor takes the full, agreed-upon time to prepare so the Department receives a fully ready team at the end of the transition. The Transition-In period gives the Contractor the time needed to achieve full operational readiness. If this period is cut short, the Contractor’s team may not have fully absorbed the required knowledge or established the necessary staffing and processes. </w:t>
            </w:r>
          </w:p>
        </w:tc>
      </w:tr>
      <w:tr w:rsidR="005562EB" w:rsidRPr="002C7415" w14:paraId="6CF18F5E" w14:textId="77777777" w:rsidTr="00E478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D8554C3" w14:textId="77777777" w:rsidR="005562EB" w:rsidRPr="002C7415" w:rsidRDefault="005562EB" w:rsidP="002413AA">
            <w:pPr>
              <w:rPr>
                <w:rFonts w:cs="Arial"/>
                <w:b w:val="0"/>
                <w:bCs w:val="0"/>
                <w:szCs w:val="20"/>
              </w:rPr>
            </w:pPr>
            <w:r>
              <w:rPr>
                <w:rFonts w:cs="Arial"/>
                <w:szCs w:val="20"/>
              </w:rPr>
              <w:t>Specification</w:t>
            </w:r>
          </w:p>
        </w:tc>
        <w:tc>
          <w:tcPr>
            <w:tcW w:w="8900" w:type="dxa"/>
          </w:tcPr>
          <w:p w14:paraId="4F117CE7" w14:textId="4F23F50F"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Contractor’s Transition-In period must run for no less than the duration agreed upon with the Department, beginning at the Engagement Kickoff or another start date documented in writing with the Department. The agreed minimum duration and the planned Transition-In end date must be captured in the approved Transition-In Plan or Schedule. The Contractor may not end Transition-In early, ramp down activities ahead of the agreed end date, or treat Transition-In as complete prior to the documented end date unless the Department has issued a written exception authorizing a shortened period.</w:t>
            </w:r>
          </w:p>
        </w:tc>
      </w:tr>
      <w:tr w:rsidR="005562EB" w:rsidRPr="002C7415" w14:paraId="55F1CDB0" w14:textId="77777777" w:rsidTr="00E478C8">
        <w:tc>
          <w:tcPr>
            <w:cnfStyle w:val="001000000000" w:firstRow="0" w:lastRow="0" w:firstColumn="1" w:lastColumn="0" w:oddVBand="0" w:evenVBand="0" w:oddHBand="0" w:evenHBand="0" w:firstRowFirstColumn="0" w:firstRowLastColumn="0" w:lastRowFirstColumn="0" w:lastRowLastColumn="0"/>
            <w:tcW w:w="1886" w:type="dxa"/>
          </w:tcPr>
          <w:p w14:paraId="0A16071B" w14:textId="77777777" w:rsidR="005562EB" w:rsidRPr="002C7415" w:rsidRDefault="005562EB" w:rsidP="002413AA">
            <w:pPr>
              <w:rPr>
                <w:rFonts w:cs="Arial"/>
                <w:b w:val="0"/>
                <w:bCs w:val="0"/>
                <w:szCs w:val="20"/>
              </w:rPr>
            </w:pPr>
            <w:r>
              <w:rPr>
                <w:rFonts w:cs="Arial"/>
                <w:szCs w:val="20"/>
              </w:rPr>
              <w:t>Service Level</w:t>
            </w:r>
          </w:p>
        </w:tc>
        <w:tc>
          <w:tcPr>
            <w:tcW w:w="8900" w:type="dxa"/>
          </w:tcPr>
          <w:p w14:paraId="0A1B5753" w14:textId="313A7B1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actual Transition-In duration must equal or exceed the duration documented in the approved Transition-In Plan or Schedule, measured from the documented Transition-In start date through the actual Transition-In Completion or Acceptance sign-off date. The Department may, at its sole discretion, approve in writing a shortened Transition-In period; in that case the approved shortened duration becomes the applicable minimum.</w:t>
            </w:r>
          </w:p>
        </w:tc>
      </w:tr>
      <w:tr w:rsidR="005562EB" w:rsidRPr="002C7415" w14:paraId="2271B581" w14:textId="77777777" w:rsidTr="00E478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86CBE2B" w14:textId="77777777" w:rsidR="005562EB" w:rsidRPr="002C7415" w:rsidRDefault="005562EB" w:rsidP="002413AA">
            <w:pPr>
              <w:rPr>
                <w:rFonts w:cs="Arial"/>
                <w:b w:val="0"/>
                <w:bCs w:val="0"/>
                <w:szCs w:val="20"/>
              </w:rPr>
            </w:pPr>
            <w:r>
              <w:rPr>
                <w:rFonts w:cs="Arial"/>
                <w:szCs w:val="20"/>
              </w:rPr>
              <w:t>Notes</w:t>
            </w:r>
          </w:p>
        </w:tc>
        <w:tc>
          <w:tcPr>
            <w:tcW w:w="8900" w:type="dxa"/>
          </w:tcPr>
          <w:p w14:paraId="3EC83A4F" w14:textId="5DAE46F2"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Transition-In start date is the Engagement Kickoff date unless a different start date is documented in writing and agreed with the Department. Any request to shorten Transition-In must be submitted in writing and approved in writing by the Department before the affected end date. Verbal agreements or implied approvals are not sufficient. The Contractor must designate a single point of contact responsible for tracking Transition-In duration against the approved Plan.</w:t>
            </w:r>
          </w:p>
        </w:tc>
      </w:tr>
      <w:tr w:rsidR="005562EB" w:rsidRPr="002C7415" w14:paraId="74415516" w14:textId="77777777" w:rsidTr="00E478C8">
        <w:tc>
          <w:tcPr>
            <w:cnfStyle w:val="001000000000" w:firstRow="0" w:lastRow="0" w:firstColumn="1" w:lastColumn="0" w:oddVBand="0" w:evenVBand="0" w:oddHBand="0" w:evenHBand="0" w:firstRowFirstColumn="0" w:firstRowLastColumn="0" w:lastRowFirstColumn="0" w:lastRowLastColumn="0"/>
            <w:tcW w:w="1886" w:type="dxa"/>
          </w:tcPr>
          <w:p w14:paraId="7F4CD04E"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40E03440" w14:textId="3A0B69E8" w:rsidR="005562EB" w:rsidRPr="002C7415" w:rsidRDefault="00176357"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Duration tracking is maintained continuously throughout the Transition-In period and reported in the weekly Transition-In status report. A final duration compliance assessment is performed at Transition-In Completion or Acceptance and documented in the closeout report. SLA is effective during the Transition-In Period and finalized at the end of the Transition-In Period.</w:t>
            </w:r>
          </w:p>
        </w:tc>
      </w:tr>
      <w:tr w:rsidR="005562EB" w:rsidRPr="002C7415" w14:paraId="5BE89CCA" w14:textId="77777777" w:rsidTr="00E478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96A2508" w14:textId="77777777" w:rsidR="005562EB" w:rsidRPr="002C7415" w:rsidRDefault="005562EB" w:rsidP="002413AA">
            <w:pPr>
              <w:rPr>
                <w:rFonts w:cs="Arial"/>
                <w:szCs w:val="20"/>
              </w:rPr>
            </w:pPr>
            <w:r>
              <w:rPr>
                <w:rFonts w:cs="Arial"/>
                <w:szCs w:val="20"/>
              </w:rPr>
              <w:t>SLA Calculations</w:t>
            </w:r>
          </w:p>
        </w:tc>
        <w:tc>
          <w:tcPr>
            <w:tcW w:w="8900" w:type="dxa"/>
          </w:tcPr>
          <w:p w14:paraId="481B5715" w14:textId="7482D69B"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Duration compliance is evaluated using the following: Actual Transition-In Duration in business days equals the count of business days from the documented Transition-In start date through the actual Transition-In Completion or Acceptance sign-off date. The SLA is compliant when Actual Transition-In Duration is greater than or equal to the duration documented in the approved Transition-In Plan, or, if applicable, greater than or equal to the duration documented in a written Department-approved shortened-duration exception. The shortfall used for credit calculation is the documented minimum duration minus the Actual Transition-In Duration, with any negative result treated as zero (0).</w:t>
            </w:r>
          </w:p>
        </w:tc>
      </w:tr>
      <w:tr w:rsidR="005562EB" w:rsidRPr="002C7415" w14:paraId="318BB63B" w14:textId="77777777" w:rsidTr="00E478C8">
        <w:tc>
          <w:tcPr>
            <w:cnfStyle w:val="001000000000" w:firstRow="0" w:lastRow="0" w:firstColumn="1" w:lastColumn="0" w:oddVBand="0" w:evenVBand="0" w:oddHBand="0" w:evenHBand="0" w:firstRowFirstColumn="0" w:firstRowLastColumn="0" w:lastRowFirstColumn="0" w:lastRowLastColumn="0"/>
            <w:tcW w:w="1886" w:type="dxa"/>
          </w:tcPr>
          <w:p w14:paraId="05D3DB43"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0BC8DE5C" w14:textId="039E7B88" w:rsidR="00E478C8" w:rsidRDefault="00E478C8" w:rsidP="002413AA">
            <w:pPr>
              <w:cnfStyle w:val="000000000000" w:firstRow="0" w:lastRow="0" w:firstColumn="0" w:lastColumn="0" w:oddVBand="0" w:evenVBand="0" w:oddHBand="0" w:evenHBand="0" w:firstRowFirstColumn="0" w:firstRowLastColumn="0" w:lastRowFirstColumn="0" w:lastRowLastColumn="0"/>
              <w:rPr>
                <w:rFonts w:cs="Arial"/>
                <w:b/>
                <w:bCs/>
                <w:szCs w:val="20"/>
              </w:rPr>
            </w:pPr>
            <w:r>
              <w:rPr>
                <w:rFonts w:cs="Arial"/>
                <w:b/>
                <w:bCs/>
                <w:szCs w:val="20"/>
              </w:rPr>
              <w:t xml:space="preserve">Business Day: </w:t>
            </w:r>
            <w:r>
              <w:rPr>
                <w:rFonts w:cs="Arial"/>
                <w:szCs w:val="20"/>
              </w:rPr>
              <w:t>All days between and including Monday through Friday, excluding State and federal holidays.</w:t>
            </w:r>
          </w:p>
          <w:p w14:paraId="15E7BC96" w14:textId="24813487" w:rsidR="00347C4D"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Transition-In Start Date:</w:t>
            </w:r>
            <w:r>
              <w:rPr>
                <w:rFonts w:cs="Arial"/>
                <w:szCs w:val="20"/>
              </w:rPr>
              <w:t xml:space="preserve"> The Engagement Kickoff date, or another start date documented in writing with the Department. </w:t>
            </w:r>
          </w:p>
          <w:p w14:paraId="515FC2FB" w14:textId="77777777" w:rsidR="00347C4D"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Transition-In End Date (Planned):</w:t>
            </w:r>
            <w:r>
              <w:rPr>
                <w:rFonts w:cs="Arial"/>
                <w:szCs w:val="20"/>
              </w:rPr>
              <w:t xml:space="preserve"> The end date set out in the approved Transition-In Plan or Schedule. </w:t>
            </w:r>
          </w:p>
          <w:p w14:paraId="4967D5EC" w14:textId="77777777" w:rsidR="00347C4D"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Transition-In Completion or Acceptance:</w:t>
            </w:r>
            <w:r>
              <w:rPr>
                <w:rFonts w:cs="Arial"/>
                <w:szCs w:val="20"/>
              </w:rPr>
              <w:t xml:space="preserve"> The Department’s formal sign-off documenting the actual Transition-In end date.</w:t>
            </w:r>
          </w:p>
          <w:p w14:paraId="2B8F3FB4" w14:textId="08BF2CBB"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Department-Approved Shortened Duration</w:t>
            </w:r>
            <w:r>
              <w:rPr>
                <w:rFonts w:cs="Arial"/>
                <w:szCs w:val="20"/>
              </w:rPr>
              <w:t>: A duration shorter than the originally agreed minimum, authorized in writing by the Department prior to the affected end date.</w:t>
            </w:r>
          </w:p>
        </w:tc>
      </w:tr>
      <w:tr w:rsidR="005562EB" w:rsidRPr="002C7415" w14:paraId="6AE6E2C0" w14:textId="77777777" w:rsidTr="00E478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7DAC71B" w14:textId="77777777" w:rsidR="005562EB" w:rsidRPr="002C7415" w:rsidRDefault="005562EB" w:rsidP="002413AA">
            <w:pPr>
              <w:rPr>
                <w:rFonts w:cs="Arial"/>
                <w:b w:val="0"/>
                <w:bCs w:val="0"/>
                <w:szCs w:val="20"/>
              </w:rPr>
            </w:pPr>
            <w:r>
              <w:rPr>
                <w:rFonts w:cs="Arial"/>
                <w:szCs w:val="20"/>
              </w:rPr>
              <w:t>Exclusions</w:t>
            </w:r>
          </w:p>
        </w:tc>
        <w:tc>
          <w:tcPr>
            <w:tcW w:w="8900" w:type="dxa"/>
          </w:tcPr>
          <w:p w14:paraId="7F153032" w14:textId="2923A839"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Any reduction in Transition-In duration formally approved in writing by the Department prior to the affected end date is excluded from this SLA up to the limit of that written approval. Delays caused by Department actions, when acknowledged in writing by the Department, are also excluded. The </w:t>
            </w:r>
            <w:r>
              <w:rPr>
                <w:rFonts w:cs="Arial"/>
                <w:szCs w:val="20"/>
              </w:rPr>
              <w:lastRenderedPageBreak/>
              <w:t>Contractor is responsible for proving, through verifiable records, that any claimed exclusion applies.</w:t>
            </w:r>
          </w:p>
        </w:tc>
      </w:tr>
      <w:tr w:rsidR="005562EB" w:rsidRPr="002C7415" w14:paraId="3731A3E1" w14:textId="77777777" w:rsidTr="00E478C8">
        <w:tc>
          <w:tcPr>
            <w:cnfStyle w:val="001000000000" w:firstRow="0" w:lastRow="0" w:firstColumn="1" w:lastColumn="0" w:oddVBand="0" w:evenVBand="0" w:oddHBand="0" w:evenHBand="0" w:firstRowFirstColumn="0" w:firstRowLastColumn="0" w:lastRowFirstColumn="0" w:lastRowLastColumn="0"/>
            <w:tcW w:w="1886" w:type="dxa"/>
          </w:tcPr>
          <w:p w14:paraId="3695D1DE" w14:textId="77777777" w:rsidR="005562EB" w:rsidRPr="002C7415" w:rsidRDefault="005562EB" w:rsidP="002413AA">
            <w:pPr>
              <w:rPr>
                <w:rFonts w:cs="Arial"/>
                <w:b w:val="0"/>
                <w:bCs w:val="0"/>
                <w:szCs w:val="20"/>
              </w:rPr>
            </w:pPr>
            <w:r>
              <w:rPr>
                <w:rFonts w:cs="Arial"/>
                <w:szCs w:val="20"/>
              </w:rPr>
              <w:lastRenderedPageBreak/>
              <w:t>Process to Compile and Report SLA</w:t>
            </w:r>
          </w:p>
        </w:tc>
        <w:tc>
          <w:tcPr>
            <w:tcW w:w="8900" w:type="dxa"/>
          </w:tcPr>
          <w:p w14:paraId="2CA0FDB4" w14:textId="2B41476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capture and retain: Engagement Kickoff confirmation or written agreement of an alternate Transition-In start date; the approved Transition-In Plan or Schedule documenting the agreed minimum Transition-In duration and the planned end date; any written Department approval authorizing a shortened Transition-In period; the Transition-In Completion or Acceptance sign-off documenting the actual end date; and supporting evidence (emails, meeting minutes, signed acknowledgments) demonstrating the dates above. Duration tracking is reported in the weekly Transition-In status report. A final Transition-In Duration Compliance Report is submitted at Transition-In closeout, showing planned start, planned end, actual end, any approved exceptions, and any shortfall in business days.</w:t>
            </w:r>
          </w:p>
        </w:tc>
      </w:tr>
      <w:tr w:rsidR="005562EB" w:rsidRPr="002C7415" w14:paraId="7DF32EDA" w14:textId="77777777" w:rsidTr="00E478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668BF24" w14:textId="71F5B066"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7B7977BB" w14:textId="494EE3DA"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the actual Transition-In duration is less than the duration documented in the approved Transition-In Plan, and no written Department approval for a shortened duration covers the shortfall, a service credit of five thousand dollars ($5,000) applies for each business day, or portion thereof, by which the actual duration falls short.</w:t>
            </w:r>
          </w:p>
        </w:tc>
      </w:tr>
    </w:tbl>
    <w:p w14:paraId="75594D04" w14:textId="5B0C31DC" w:rsidR="005562EB" w:rsidRPr="002C7415" w:rsidRDefault="005562EB" w:rsidP="00CB1E19">
      <w:pPr>
        <w:pStyle w:val="HeadingSLA"/>
      </w:pPr>
      <w:bookmarkStart w:id="85" w:name="_Toc230258217"/>
      <w:bookmarkStart w:id="86" w:name="_Toc233199160"/>
      <w:r>
        <w:t>Transition-In Staffing</w:t>
      </w:r>
      <w:bookmarkEnd w:id="85"/>
      <w:bookmarkEnd w:id="86"/>
    </w:p>
    <w:tbl>
      <w:tblPr>
        <w:tblStyle w:val="DOH-LeftHeader"/>
        <w:tblW w:w="4998" w:type="pct"/>
        <w:tblLayout w:type="fixed"/>
        <w:tblLook w:val="0480" w:firstRow="0" w:lastRow="0" w:firstColumn="1" w:lastColumn="0" w:noHBand="0" w:noVBand="1"/>
      </w:tblPr>
      <w:tblGrid>
        <w:gridCol w:w="1886"/>
        <w:gridCol w:w="8900"/>
      </w:tblGrid>
      <w:tr w:rsidR="005562EB" w:rsidRPr="002C7415" w14:paraId="12789F53" w14:textId="77777777" w:rsidTr="00A43920">
        <w:tc>
          <w:tcPr>
            <w:cnfStyle w:val="001000000000" w:firstRow="0" w:lastRow="0" w:firstColumn="1" w:lastColumn="0" w:oddVBand="0" w:evenVBand="0" w:oddHBand="0" w:evenHBand="0" w:firstRowFirstColumn="0" w:firstRowLastColumn="0" w:lastRowFirstColumn="0" w:lastRowLastColumn="0"/>
            <w:tcW w:w="1886" w:type="dxa"/>
          </w:tcPr>
          <w:p w14:paraId="135A7E37" w14:textId="77777777" w:rsidR="005562EB" w:rsidRPr="002C7415" w:rsidRDefault="005562EB" w:rsidP="002413AA">
            <w:pPr>
              <w:rPr>
                <w:rFonts w:cs="Arial"/>
                <w:b w:val="0"/>
                <w:bCs w:val="0"/>
                <w:szCs w:val="20"/>
              </w:rPr>
            </w:pPr>
            <w:r>
              <w:rPr>
                <w:rFonts w:cs="Arial"/>
                <w:szCs w:val="20"/>
              </w:rPr>
              <w:t>Purpose</w:t>
            </w:r>
          </w:p>
        </w:tc>
        <w:tc>
          <w:tcPr>
            <w:tcW w:w="8900" w:type="dxa"/>
          </w:tcPr>
          <w:p w14:paraId="11A8C41F" w14:textId="1B2089D3" w:rsidR="005562EB" w:rsidRPr="002C7415" w:rsidRDefault="00A43920"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ensures the project starts with a full team. The Contractor must ensure qualified personnel are onboarded to deliver on Contract Year One (1) commitments. The Department needs the required Key Staff and Support Staff to be fully onboarded and productive within two (2) months of the Engagement Kickoff, rather than still being in the recruiting process when work begins. </w:t>
            </w:r>
          </w:p>
        </w:tc>
      </w:tr>
      <w:tr w:rsidR="005562EB" w:rsidRPr="002C7415" w14:paraId="6E305593" w14:textId="77777777" w:rsidTr="00A439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884E043" w14:textId="77777777" w:rsidR="005562EB" w:rsidRPr="002C7415" w:rsidRDefault="005562EB" w:rsidP="002413AA">
            <w:pPr>
              <w:rPr>
                <w:rFonts w:cs="Arial"/>
                <w:b w:val="0"/>
                <w:bCs w:val="0"/>
                <w:szCs w:val="20"/>
              </w:rPr>
            </w:pPr>
            <w:r>
              <w:rPr>
                <w:rFonts w:cs="Arial"/>
                <w:szCs w:val="20"/>
              </w:rPr>
              <w:t>Specification</w:t>
            </w:r>
          </w:p>
        </w:tc>
        <w:tc>
          <w:tcPr>
            <w:tcW w:w="8900" w:type="dxa"/>
          </w:tcPr>
          <w:p w14:paraId="5C9C2B27" w14:textId="23053235"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have all Key Staff and Support Staff fully onboarded no later than two (2) months after the Engagement Kickoff date. The set of required Key Staff and Support Staff for Contract Year One is determined by the staffing plan or roster approved by the Department, including any Department-approved updates to that roster. Onboarding is complete for an individual when that person has accepted an offer, started on the engagement, completed the Contractor’s human resources (HR) onboarding process, received required system and account access, and (where required) cleared any applicable background checks. Substitutions or changes to the required staff list approved by the Department in writing reset the staffing requirement for the affected position only to the substitution’s start-by date.</w:t>
            </w:r>
          </w:p>
        </w:tc>
      </w:tr>
      <w:tr w:rsidR="005562EB" w:rsidRPr="002C7415" w14:paraId="62405CE0" w14:textId="77777777" w:rsidTr="00A43920">
        <w:tc>
          <w:tcPr>
            <w:cnfStyle w:val="001000000000" w:firstRow="0" w:lastRow="0" w:firstColumn="1" w:lastColumn="0" w:oddVBand="0" w:evenVBand="0" w:oddHBand="0" w:evenHBand="0" w:firstRowFirstColumn="0" w:firstRowLastColumn="0" w:lastRowFirstColumn="0" w:lastRowLastColumn="0"/>
            <w:tcW w:w="1886" w:type="dxa"/>
          </w:tcPr>
          <w:p w14:paraId="4F4FE382" w14:textId="77777777" w:rsidR="005562EB" w:rsidRPr="002C7415" w:rsidRDefault="005562EB" w:rsidP="002413AA">
            <w:pPr>
              <w:rPr>
                <w:rFonts w:cs="Arial"/>
                <w:b w:val="0"/>
                <w:bCs w:val="0"/>
                <w:szCs w:val="20"/>
              </w:rPr>
            </w:pPr>
            <w:r>
              <w:rPr>
                <w:rFonts w:cs="Arial"/>
                <w:szCs w:val="20"/>
              </w:rPr>
              <w:t>Service Level</w:t>
            </w:r>
          </w:p>
        </w:tc>
        <w:tc>
          <w:tcPr>
            <w:tcW w:w="8900" w:type="dxa"/>
          </w:tcPr>
          <w:p w14:paraId="46D7DCD9" w14:textId="559D028F"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the Key Staff and Support Staff positions identified in the Department-approved Contract Year One staffing plan must be fully onboarded by the date that is two (2) months after the Engagement Kickoff. Compliance is evaluated per position; each position not fully onboarded by that date triggers a non-compliance event for that position.</w:t>
            </w:r>
          </w:p>
        </w:tc>
      </w:tr>
      <w:tr w:rsidR="005562EB" w:rsidRPr="002C7415" w14:paraId="38F9323C" w14:textId="77777777" w:rsidTr="00A439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A37FABB" w14:textId="77777777" w:rsidR="005562EB" w:rsidRPr="002C7415" w:rsidRDefault="005562EB" w:rsidP="002413AA">
            <w:pPr>
              <w:rPr>
                <w:rFonts w:cs="Arial"/>
                <w:b w:val="0"/>
                <w:bCs w:val="0"/>
                <w:szCs w:val="20"/>
              </w:rPr>
            </w:pPr>
            <w:r>
              <w:rPr>
                <w:rFonts w:cs="Arial"/>
                <w:szCs w:val="20"/>
              </w:rPr>
              <w:t>Notes</w:t>
            </w:r>
          </w:p>
        </w:tc>
        <w:tc>
          <w:tcPr>
            <w:tcW w:w="8900" w:type="dxa"/>
          </w:tcPr>
          <w:p w14:paraId="309AAD5A" w14:textId="18237C70"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 reserves the right to change the list of Key Staff and Support Staff necessary for Contract Year One (1). Changes to the required staff list will be communicated in writing and will become the controlling list for SLA compliance. Onboarding evidence must be retained at the individual level. The Contractor must designate a single point of contact responsible for Transition-In staffing status, tracking, and reporting under this SLA.</w:t>
            </w:r>
          </w:p>
        </w:tc>
      </w:tr>
      <w:tr w:rsidR="005562EB" w:rsidRPr="002C7415" w14:paraId="30D47894" w14:textId="77777777" w:rsidTr="00A43920">
        <w:tc>
          <w:tcPr>
            <w:cnfStyle w:val="001000000000" w:firstRow="0" w:lastRow="0" w:firstColumn="1" w:lastColumn="0" w:oddVBand="0" w:evenVBand="0" w:oddHBand="0" w:evenHBand="0" w:firstRowFirstColumn="0" w:firstRowLastColumn="0" w:lastRowFirstColumn="0" w:lastRowLastColumn="0"/>
            <w:tcW w:w="1886" w:type="dxa"/>
          </w:tcPr>
          <w:p w14:paraId="4B08E7C9"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2FB0E881" w14:textId="79DCE013" w:rsidR="005562EB" w:rsidRPr="002C7415" w:rsidRDefault="00804054"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Staffing status is tracked continuously throughout the Transition-In period and reported in the weekly Transition-In status report, with a clearly identified target completion date for each position. A final Transition-In Staffing Compliance Report is submitted at Transition-In closeout. SLA is effective during the Transition-In Period.</w:t>
            </w:r>
          </w:p>
        </w:tc>
      </w:tr>
      <w:tr w:rsidR="005562EB" w:rsidRPr="002C7415" w14:paraId="5FE0022F" w14:textId="77777777" w:rsidTr="00A439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22285D4" w14:textId="77777777" w:rsidR="005562EB" w:rsidRPr="002C7415" w:rsidRDefault="005562EB" w:rsidP="002413AA">
            <w:pPr>
              <w:rPr>
                <w:rFonts w:cs="Arial"/>
                <w:szCs w:val="20"/>
              </w:rPr>
            </w:pPr>
            <w:r>
              <w:rPr>
                <w:rFonts w:cs="Arial"/>
                <w:szCs w:val="20"/>
              </w:rPr>
              <w:t>SLA Calculations</w:t>
            </w:r>
          </w:p>
        </w:tc>
        <w:tc>
          <w:tcPr>
            <w:tcW w:w="8900" w:type="dxa"/>
          </w:tcPr>
          <w:p w14:paraId="132EF9A4" w14:textId="77777777" w:rsidR="00804054"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Per-position compliance is evaluated as follows:</w:t>
            </w:r>
          </w:p>
          <w:p w14:paraId="6174FB78" w14:textId="57F96594" w:rsidR="005562EB" w:rsidRPr="002C7415" w:rsidRDefault="00C61AB6"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A position is compliant if the assigned individual is fully onboarded on or before the date two (2) months after the Engagement Kickoff. The non-compliance count for a given business day equals the number of Department-required Key Staff and Support Staff positions that remain not fully onboarded on that business day, beginning the first business day after the two-month deadline </w:t>
            </w:r>
            <w:r>
              <w:rPr>
                <w:rFonts w:cs="Arial"/>
                <w:szCs w:val="20"/>
              </w:rPr>
              <w:lastRenderedPageBreak/>
              <w:t>and continuing each business day, or portion thereof, until the position is filled. Each position is counted independently each business day it remains open.</w:t>
            </w:r>
          </w:p>
        </w:tc>
      </w:tr>
      <w:tr w:rsidR="005562EB" w:rsidRPr="002C7415" w14:paraId="318FA3B0" w14:textId="77777777" w:rsidTr="00A43920">
        <w:tc>
          <w:tcPr>
            <w:cnfStyle w:val="001000000000" w:firstRow="0" w:lastRow="0" w:firstColumn="1" w:lastColumn="0" w:oddVBand="0" w:evenVBand="0" w:oddHBand="0" w:evenHBand="0" w:firstRowFirstColumn="0" w:firstRowLastColumn="0" w:lastRowFirstColumn="0" w:lastRowLastColumn="0"/>
            <w:tcW w:w="1886" w:type="dxa"/>
          </w:tcPr>
          <w:p w14:paraId="2FC0ABE1" w14:textId="77777777" w:rsidR="005562EB" w:rsidRPr="002C7415" w:rsidRDefault="005562EB" w:rsidP="002413AA">
            <w:pPr>
              <w:rPr>
                <w:rFonts w:cs="Arial"/>
                <w:b w:val="0"/>
                <w:bCs w:val="0"/>
                <w:szCs w:val="20"/>
              </w:rPr>
            </w:pPr>
            <w:r>
              <w:rPr>
                <w:rFonts w:cs="Arial"/>
                <w:szCs w:val="20"/>
              </w:rPr>
              <w:lastRenderedPageBreak/>
              <w:t>SLA Calculations Definitions</w:t>
            </w:r>
          </w:p>
        </w:tc>
        <w:tc>
          <w:tcPr>
            <w:tcW w:w="8900" w:type="dxa"/>
          </w:tcPr>
          <w:p w14:paraId="4F179A95" w14:textId="77777777" w:rsidR="005E24ED"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Engagement Kickoff</w:t>
            </w:r>
            <w:r>
              <w:rPr>
                <w:rFonts w:cs="Arial"/>
                <w:szCs w:val="20"/>
              </w:rPr>
              <w:t>: The date documented as the start of the engagement with the Department. Key Staff and Support Staff: The set of roles identified in the RFP and in the Department-approved Contract Year One (1) staffing plan or roster, as updated in writing by the Department.</w:t>
            </w:r>
          </w:p>
          <w:p w14:paraId="47DA9882" w14:textId="15BAB490" w:rsidR="005E24ED"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Fully Onboarded:</w:t>
            </w:r>
            <w:r>
              <w:rPr>
                <w:rFonts w:cs="Arial"/>
                <w:szCs w:val="20"/>
              </w:rPr>
              <w:t xml:space="preserve"> Offer accepted, start date reached, HR onboarding completed, required system and account access granted, and any required background checks cleared, with documentary evidence available for each element. </w:t>
            </w:r>
          </w:p>
          <w:p w14:paraId="0D8E924F" w14:textId="15A4AFC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Two (2)-Month Deadline</w:t>
            </w:r>
            <w:r>
              <w:rPr>
                <w:rFonts w:cs="Arial"/>
                <w:szCs w:val="20"/>
              </w:rPr>
              <w:t>: The date that is two (2) calendar months after the Engagement Kickoff date.</w:t>
            </w:r>
          </w:p>
        </w:tc>
      </w:tr>
      <w:tr w:rsidR="005562EB" w:rsidRPr="002C7415" w14:paraId="618A2273" w14:textId="77777777" w:rsidTr="00A439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E87593F" w14:textId="77777777" w:rsidR="005562EB" w:rsidRPr="002C7415" w:rsidRDefault="005562EB" w:rsidP="002413AA">
            <w:pPr>
              <w:rPr>
                <w:rFonts w:cs="Arial"/>
                <w:b w:val="0"/>
                <w:bCs w:val="0"/>
                <w:szCs w:val="20"/>
              </w:rPr>
            </w:pPr>
            <w:r>
              <w:rPr>
                <w:rFonts w:cs="Arial"/>
                <w:szCs w:val="20"/>
              </w:rPr>
              <w:t>Exclusions</w:t>
            </w:r>
          </w:p>
        </w:tc>
        <w:tc>
          <w:tcPr>
            <w:tcW w:w="8900" w:type="dxa"/>
          </w:tcPr>
          <w:p w14:paraId="5977BC92" w14:textId="73ACA746"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Positions added to the staffing plan by the Department after the Engagement Kickoff are subject to a separate onboarding deadline agreed in writing with the Department for that position and are excluded from the original two (2)-month deadline. Delays caused by Department actions, including delayed background check approvals or system provisioning controlled by the Department, are excluded to the extent the Contractor can demonstrate the delay through verifiable records.</w:t>
            </w:r>
          </w:p>
        </w:tc>
      </w:tr>
      <w:tr w:rsidR="005562EB" w:rsidRPr="002C7415" w14:paraId="0865709E" w14:textId="77777777" w:rsidTr="00A43920">
        <w:tc>
          <w:tcPr>
            <w:cnfStyle w:val="001000000000" w:firstRow="0" w:lastRow="0" w:firstColumn="1" w:lastColumn="0" w:oddVBand="0" w:evenVBand="0" w:oddHBand="0" w:evenHBand="0" w:firstRowFirstColumn="0" w:firstRowLastColumn="0" w:lastRowFirstColumn="0" w:lastRowLastColumn="0"/>
            <w:tcW w:w="1886" w:type="dxa"/>
          </w:tcPr>
          <w:p w14:paraId="0B5887D2"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5E5F484C" w14:textId="36ADAAF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required Key Staff and Support Staff position, the Contractor must capture: the role and role description per the RFP and the approved staffing plan; the named individual assigned to the role; offer acceptance date; planned start date; actual start date; HR onboarding completion date; system and account access confirmation date; background check completion date (where required); and full onboarding completion date. The Contractor must submit a weekly Transition-In Staffing Status Report identifying all required positions, current onboarding status by stage, target completion date, and any blockers. At Transition-In closeout the Contractor must submit a final Transition-In Staffing Compliance Report comparing onboarding completion dates against the two-month deadline, with supporting evidence retained for audit.</w:t>
            </w:r>
          </w:p>
        </w:tc>
      </w:tr>
      <w:tr w:rsidR="005562EB" w:rsidRPr="002C7415" w14:paraId="249DBD0F" w14:textId="77777777" w:rsidTr="00A439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69E0B2E" w14:textId="797D2865"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681FBCE0"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For each Key Staff or Support Staff position required for Contract Year One (1) that is not fully onboarded by the date two (2) months after the Engagement Kickoff, a service credit of one thousand dollars ($1,000) applies per person per business day, or portion thereof, until that position is fully onboarded.</w:t>
            </w:r>
          </w:p>
        </w:tc>
      </w:tr>
    </w:tbl>
    <w:p w14:paraId="526AC090" w14:textId="79E520B5" w:rsidR="005562EB" w:rsidRPr="002C7415" w:rsidRDefault="005562EB" w:rsidP="00CB1E19">
      <w:pPr>
        <w:pStyle w:val="HeadingSLA"/>
      </w:pPr>
      <w:bookmarkStart w:id="87" w:name="_Toc230258218"/>
      <w:bookmarkStart w:id="88" w:name="_Toc233199161"/>
      <w:r>
        <w:t>Transition-In Weekly Status Reporting</w:t>
      </w:r>
      <w:bookmarkEnd w:id="87"/>
      <w:bookmarkEnd w:id="88"/>
    </w:p>
    <w:tbl>
      <w:tblPr>
        <w:tblStyle w:val="DOH-LeftHeader"/>
        <w:tblW w:w="4998" w:type="pct"/>
        <w:tblLayout w:type="fixed"/>
        <w:tblLook w:val="0480" w:firstRow="0" w:lastRow="0" w:firstColumn="1" w:lastColumn="0" w:noHBand="0" w:noVBand="1"/>
      </w:tblPr>
      <w:tblGrid>
        <w:gridCol w:w="1886"/>
        <w:gridCol w:w="8900"/>
      </w:tblGrid>
      <w:tr w:rsidR="005562EB" w:rsidRPr="002C7415" w14:paraId="2189C3E0" w14:textId="77777777" w:rsidTr="00A33930">
        <w:tc>
          <w:tcPr>
            <w:cnfStyle w:val="001000000000" w:firstRow="0" w:lastRow="0" w:firstColumn="1" w:lastColumn="0" w:oddVBand="0" w:evenVBand="0" w:oddHBand="0" w:evenHBand="0" w:firstRowFirstColumn="0" w:firstRowLastColumn="0" w:lastRowFirstColumn="0" w:lastRowLastColumn="0"/>
            <w:tcW w:w="1886" w:type="dxa"/>
          </w:tcPr>
          <w:p w14:paraId="4F3E6A3F" w14:textId="77777777" w:rsidR="005562EB" w:rsidRPr="002C7415" w:rsidRDefault="005562EB" w:rsidP="002413AA">
            <w:pPr>
              <w:rPr>
                <w:rFonts w:cs="Arial"/>
                <w:b w:val="0"/>
                <w:bCs w:val="0"/>
                <w:szCs w:val="20"/>
              </w:rPr>
            </w:pPr>
            <w:r>
              <w:rPr>
                <w:rFonts w:cs="Arial"/>
                <w:szCs w:val="20"/>
              </w:rPr>
              <w:t>Purpose</w:t>
            </w:r>
          </w:p>
        </w:tc>
        <w:tc>
          <w:tcPr>
            <w:tcW w:w="8900" w:type="dxa"/>
          </w:tcPr>
          <w:p w14:paraId="287EBF9D" w14:textId="77CA1788"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ensures the Department maintains continuous visibility into the Transition-In phase. Weekly status reports are the primary mechanism for surfacing risks, facilitating timely decisions, and maintaining accountability. Timely reporting is critical to identifying and mitigating delivery risks before they impact the project schedule.</w:t>
            </w:r>
          </w:p>
        </w:tc>
      </w:tr>
      <w:tr w:rsidR="005562EB" w:rsidRPr="002C7415" w14:paraId="10850EFA" w14:textId="77777777" w:rsidTr="00A339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D2C3A0C" w14:textId="77777777" w:rsidR="005562EB" w:rsidRPr="002C7415" w:rsidRDefault="005562EB" w:rsidP="002413AA">
            <w:pPr>
              <w:rPr>
                <w:rFonts w:cs="Arial"/>
                <w:b w:val="0"/>
                <w:bCs w:val="0"/>
                <w:szCs w:val="20"/>
              </w:rPr>
            </w:pPr>
            <w:r>
              <w:rPr>
                <w:rFonts w:cs="Arial"/>
                <w:szCs w:val="20"/>
              </w:rPr>
              <w:t>Specification</w:t>
            </w:r>
          </w:p>
        </w:tc>
        <w:tc>
          <w:tcPr>
            <w:tcW w:w="8900" w:type="dxa"/>
          </w:tcPr>
          <w:p w14:paraId="64BBB7BF" w14:textId="6124789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develop and submit Transition-In Weekly Status Reports throughout the Transition-In period. Each report must be timely, complete, and compliant with the format, content, and submission requirements set forth in the RFP and any additional reporting requirements approved by the Department. Reports must reach the Department on or before the scheduled due date established for that reporting period.</w:t>
            </w:r>
          </w:p>
        </w:tc>
      </w:tr>
      <w:tr w:rsidR="005562EB" w:rsidRPr="002C7415" w14:paraId="24CD291F" w14:textId="77777777" w:rsidTr="00A33930">
        <w:tc>
          <w:tcPr>
            <w:cnfStyle w:val="001000000000" w:firstRow="0" w:lastRow="0" w:firstColumn="1" w:lastColumn="0" w:oddVBand="0" w:evenVBand="0" w:oddHBand="0" w:evenHBand="0" w:firstRowFirstColumn="0" w:firstRowLastColumn="0" w:lastRowFirstColumn="0" w:lastRowLastColumn="0"/>
            <w:tcW w:w="1886" w:type="dxa"/>
          </w:tcPr>
          <w:p w14:paraId="5B9C5892" w14:textId="77777777" w:rsidR="005562EB" w:rsidRPr="002C7415" w:rsidRDefault="005562EB" w:rsidP="002413AA">
            <w:pPr>
              <w:rPr>
                <w:rFonts w:cs="Arial"/>
                <w:b w:val="0"/>
                <w:bCs w:val="0"/>
                <w:szCs w:val="20"/>
              </w:rPr>
            </w:pPr>
            <w:r>
              <w:rPr>
                <w:rFonts w:cs="Arial"/>
                <w:szCs w:val="20"/>
              </w:rPr>
              <w:t>Service Level</w:t>
            </w:r>
          </w:p>
        </w:tc>
        <w:tc>
          <w:tcPr>
            <w:tcW w:w="8900" w:type="dxa"/>
          </w:tcPr>
          <w:p w14:paraId="17FECB62" w14:textId="4697569F"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required Transition-In Weekly Status Reports must be submitted on or before the scheduled due date for each reporting period during the Transition-In period. A report is non-compliant for any reporting period in which it is not submitted by its scheduled due date or is submitted incomplete relative to the RFP requirements.</w:t>
            </w:r>
          </w:p>
        </w:tc>
      </w:tr>
      <w:tr w:rsidR="005562EB" w:rsidRPr="002C7415" w14:paraId="0D4FF921" w14:textId="77777777" w:rsidTr="00A339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DAF5EC7" w14:textId="77777777" w:rsidR="005562EB" w:rsidRPr="002C7415" w:rsidRDefault="005562EB" w:rsidP="002413AA">
            <w:pPr>
              <w:rPr>
                <w:rFonts w:cs="Arial"/>
                <w:b w:val="0"/>
                <w:bCs w:val="0"/>
                <w:szCs w:val="20"/>
              </w:rPr>
            </w:pPr>
            <w:r>
              <w:rPr>
                <w:rFonts w:cs="Arial"/>
                <w:szCs w:val="20"/>
              </w:rPr>
              <w:t>Notes</w:t>
            </w:r>
          </w:p>
        </w:tc>
        <w:tc>
          <w:tcPr>
            <w:tcW w:w="8900" w:type="dxa"/>
          </w:tcPr>
          <w:p w14:paraId="7BD3F44C" w14:textId="6432317C"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scheduled due date and required content for each weekly report are defined in the RFP and the approved Transition-In Plan. Submission is considered complete when the report is delivered to the Department’s designated recipients in the approved format and through the approved channel, with a verifiable timestamp. The Contractor must designate a single point of contact responsible for status report preparation, submission, and SLA tracking.</w:t>
            </w:r>
          </w:p>
        </w:tc>
      </w:tr>
      <w:tr w:rsidR="005562EB" w:rsidRPr="002C7415" w14:paraId="3720E4D0" w14:textId="77777777" w:rsidTr="00A33930">
        <w:tc>
          <w:tcPr>
            <w:cnfStyle w:val="001000000000" w:firstRow="0" w:lastRow="0" w:firstColumn="1" w:lastColumn="0" w:oddVBand="0" w:evenVBand="0" w:oddHBand="0" w:evenHBand="0" w:firstRowFirstColumn="0" w:firstRowLastColumn="0" w:lastRowFirstColumn="0" w:lastRowLastColumn="0"/>
            <w:tcW w:w="1886" w:type="dxa"/>
          </w:tcPr>
          <w:p w14:paraId="501521A8" w14:textId="77777777" w:rsidR="005562EB" w:rsidRPr="002C7415" w:rsidRDefault="005562EB" w:rsidP="002413AA">
            <w:pPr>
              <w:rPr>
                <w:rFonts w:cs="Arial"/>
                <w:b w:val="0"/>
                <w:bCs w:val="0"/>
                <w:szCs w:val="20"/>
              </w:rPr>
            </w:pPr>
            <w:r>
              <w:rPr>
                <w:rFonts w:cs="Arial"/>
                <w:szCs w:val="20"/>
              </w:rPr>
              <w:lastRenderedPageBreak/>
              <w:t>Reporting Frequency</w:t>
            </w:r>
          </w:p>
        </w:tc>
        <w:tc>
          <w:tcPr>
            <w:tcW w:w="8900" w:type="dxa"/>
          </w:tcPr>
          <w:p w14:paraId="55B90C7C" w14:textId="069D834A"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throughout the Transition-In period. SLA compliance for each reporting period is evaluated against the scheduled submission due date for the report. SLA is effective during the Transition-In Period.</w:t>
            </w:r>
          </w:p>
        </w:tc>
      </w:tr>
      <w:tr w:rsidR="005562EB" w:rsidRPr="002C7415" w14:paraId="5A8FF031" w14:textId="77777777" w:rsidTr="00A339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3F6CB65" w14:textId="77777777" w:rsidR="005562EB" w:rsidRPr="002C7415" w:rsidRDefault="005562EB" w:rsidP="002413AA">
            <w:pPr>
              <w:rPr>
                <w:rFonts w:cs="Arial"/>
                <w:szCs w:val="20"/>
              </w:rPr>
            </w:pPr>
            <w:r>
              <w:rPr>
                <w:rFonts w:cs="Arial"/>
                <w:szCs w:val="20"/>
              </w:rPr>
              <w:t>SLA Calculations</w:t>
            </w:r>
          </w:p>
        </w:tc>
        <w:tc>
          <w:tcPr>
            <w:tcW w:w="8900" w:type="dxa"/>
          </w:tcPr>
          <w:p w14:paraId="4F63209F" w14:textId="77777777" w:rsidR="00CF325D"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Compliance is evaluated per scheduled reporting period. A reporting period is compliant when a complete report is delivered on or before the scheduled due date for that period. </w:t>
            </w:r>
          </w:p>
          <w:p w14:paraId="2DE58E46" w14:textId="29C3CAF1" w:rsidR="005562EB" w:rsidRPr="002C7415" w:rsidRDefault="00E84F9F"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a status report is unsubmitted or submitted late, the initial service credit of one thousand dollars ($1,000) is applied. For each subsequent business day, or portion thereof, that a missed report remains outstanding while the next weekly report also goes unsubmitted, an additional service credit of one thousand dollars ($1,000) accrues for every business day until all reports are submitted. Counts are tracked per reporting period and per report.</w:t>
            </w:r>
          </w:p>
        </w:tc>
      </w:tr>
      <w:tr w:rsidR="005562EB" w:rsidRPr="002C7415" w14:paraId="58D9FDDB" w14:textId="77777777" w:rsidTr="00A33930">
        <w:tc>
          <w:tcPr>
            <w:cnfStyle w:val="001000000000" w:firstRow="0" w:lastRow="0" w:firstColumn="1" w:lastColumn="0" w:oddVBand="0" w:evenVBand="0" w:oddHBand="0" w:evenHBand="0" w:firstRowFirstColumn="0" w:firstRowLastColumn="0" w:lastRowFirstColumn="0" w:lastRowLastColumn="0"/>
            <w:tcW w:w="1886" w:type="dxa"/>
          </w:tcPr>
          <w:p w14:paraId="5EFE5CB1"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5677CA1C" w14:textId="5508C040" w:rsidR="00A33930" w:rsidRDefault="00A33930"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Business Day – </w:t>
            </w:r>
            <w:r>
              <w:rPr>
                <w:rFonts w:cs="Arial"/>
                <w:szCs w:val="20"/>
              </w:rPr>
              <w:t>All days between and including Monday through Friday, excluding state and federal holidays.</w:t>
            </w:r>
          </w:p>
          <w:p w14:paraId="40AAB756" w14:textId="4C9189CF" w:rsidR="004349E7"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Transition-In Weekly Status Report</w:t>
            </w:r>
            <w:r>
              <w:rPr>
                <w:rFonts w:cs="Arial"/>
                <w:szCs w:val="20"/>
              </w:rPr>
              <w:t xml:space="preserve">: The report defined in the RFP describing Transition-In progress for the reporting period, including tasks, deliverables, milestones, risks, issues, and decisions. </w:t>
            </w:r>
          </w:p>
          <w:p w14:paraId="41E5B999" w14:textId="77777777" w:rsidR="004349E7"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Scheduled Due Date:</w:t>
            </w:r>
            <w:r>
              <w:rPr>
                <w:rFonts w:cs="Arial"/>
                <w:szCs w:val="20"/>
              </w:rPr>
              <w:t xml:space="preserve"> The date and time by which the report for a given reporting period must be received by the Department, as defined in the RFP or the approved Transition-In Plan. </w:t>
            </w:r>
          </w:p>
          <w:p w14:paraId="69129694" w14:textId="5183A7E5" w:rsidR="004349E7"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Missed or Delayed Report</w:t>
            </w:r>
            <w:r>
              <w:rPr>
                <w:rFonts w:cs="Arial"/>
                <w:szCs w:val="20"/>
              </w:rPr>
              <w:t xml:space="preserve">: A report not received by the Department by the scheduled due date or received but materially incomplete relative to RFP requirements. </w:t>
            </w:r>
          </w:p>
          <w:p w14:paraId="5F36EAC9" w14:textId="58E5203D"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Outstanding</w:t>
            </w:r>
            <w:r>
              <w:rPr>
                <w:rFonts w:cs="Arial"/>
                <w:szCs w:val="20"/>
              </w:rPr>
              <w:t>: A missed or delayed report that has not yet been submitted and accepted by the Department.</w:t>
            </w:r>
          </w:p>
        </w:tc>
      </w:tr>
      <w:tr w:rsidR="005562EB" w:rsidRPr="002C7415" w14:paraId="75AB8A01" w14:textId="77777777" w:rsidTr="00A339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DEC966C" w14:textId="77777777" w:rsidR="005562EB" w:rsidRPr="002C7415" w:rsidRDefault="005562EB" w:rsidP="002413AA">
            <w:pPr>
              <w:rPr>
                <w:rFonts w:cs="Arial"/>
                <w:b w:val="0"/>
                <w:bCs w:val="0"/>
                <w:szCs w:val="20"/>
              </w:rPr>
            </w:pPr>
            <w:r>
              <w:rPr>
                <w:rFonts w:cs="Arial"/>
                <w:szCs w:val="20"/>
              </w:rPr>
              <w:t>Exclusions</w:t>
            </w:r>
          </w:p>
        </w:tc>
        <w:tc>
          <w:tcPr>
            <w:tcW w:w="8900" w:type="dxa"/>
          </w:tcPr>
          <w:p w14:paraId="38537B3C" w14:textId="793F52FB"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Reporting periods for which the Department has provided written approval to shift the due date prior to the original due date are excluded from this SLA to the extent of that approval. Delays directly caused by Department-controlled systems or processes used for report submission, demonstrated through verifiable records, are excluded.</w:t>
            </w:r>
          </w:p>
        </w:tc>
      </w:tr>
      <w:tr w:rsidR="005562EB" w:rsidRPr="002C7415" w14:paraId="547C2DC7" w14:textId="77777777" w:rsidTr="00A33930">
        <w:tc>
          <w:tcPr>
            <w:cnfStyle w:val="001000000000" w:firstRow="0" w:lastRow="0" w:firstColumn="1" w:lastColumn="0" w:oddVBand="0" w:evenVBand="0" w:oddHBand="0" w:evenHBand="0" w:firstRowFirstColumn="0" w:firstRowLastColumn="0" w:lastRowFirstColumn="0" w:lastRowLastColumn="0"/>
            <w:tcW w:w="1886" w:type="dxa"/>
          </w:tcPr>
          <w:p w14:paraId="50DA4711"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60E53702" w14:textId="7913D1FF"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reporting period, the Contractor must capture: the reporting period covered; the scheduled due date; the actual submission date and timestamp; the recipient list and confirmation of delivery; and any deviations from the RFP-required content. The Contractor must maintain a Transition-In Weekly Status Report register that lists every reporting period, the scheduled due date, the actual submission date, on-time or late status, and a reference or link to the submitted report. The register and supporting submission evidence (email transmittals with timestamps, system or workflow submission confirmations, repository upload timestamps and version history) must be made available to the Department on request.</w:t>
            </w:r>
          </w:p>
        </w:tc>
      </w:tr>
      <w:tr w:rsidR="005562EB" w:rsidRPr="002C7415" w14:paraId="06ED3C7D" w14:textId="77777777" w:rsidTr="00A339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AF51445" w14:textId="42CCEA1D"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20B0BE08" w14:textId="20C5DD6C" w:rsidR="00392ADA" w:rsidRDefault="00C231DC"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Late Delivery (Initial Service Credit): </w:t>
            </w:r>
            <w:r>
              <w:rPr>
                <w:rFonts w:cs="Arial"/>
                <w:szCs w:val="20"/>
              </w:rPr>
              <w:t>For each Transition-In Weekly Status Report that is missed or delivered after its scheduled due date, a service credit of one thousand dollars ($1,000) applies per missed or delayed report.</w:t>
            </w:r>
          </w:p>
          <w:p w14:paraId="671760E6" w14:textId="121FF292" w:rsidR="005562EB" w:rsidRPr="002C7415" w:rsidRDefault="00006E60"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Multiple Late Reports (Additional Service Credit):</w:t>
            </w:r>
            <w:r>
              <w:rPr>
                <w:rFonts w:cs="Arial"/>
                <w:szCs w:val="20"/>
              </w:rPr>
              <w:t xml:space="preserve"> If a prior report remains outstanding and additional weekly reports are not submitted or delayed, an additional service credit of one thousand dollars ($1,000) applies per business day, or portion thereof, for every additional report that is missing, until all outstanding reports are submitted.</w:t>
            </w:r>
          </w:p>
        </w:tc>
      </w:tr>
    </w:tbl>
    <w:p w14:paraId="298699C4" w14:textId="41BD9CED" w:rsidR="007C7095" w:rsidRPr="002C7415" w:rsidRDefault="007C7095" w:rsidP="007C7095">
      <w:pPr>
        <w:pStyle w:val="HeadingSLA"/>
      </w:pPr>
      <w:bookmarkStart w:id="89" w:name="_Toc230258213"/>
      <w:bookmarkStart w:id="90" w:name="_Toc233199162"/>
      <w:bookmarkStart w:id="91" w:name="_Toc230258219"/>
      <w:r>
        <w:t>Contract Closeout Plan Submission</w:t>
      </w:r>
      <w:bookmarkEnd w:id="89"/>
      <w:bookmarkEnd w:id="90"/>
    </w:p>
    <w:tbl>
      <w:tblPr>
        <w:tblStyle w:val="DOH-LeftHeader"/>
        <w:tblW w:w="4998" w:type="pct"/>
        <w:tblLayout w:type="fixed"/>
        <w:tblLook w:val="0480" w:firstRow="0" w:lastRow="0" w:firstColumn="1" w:lastColumn="0" w:noHBand="0" w:noVBand="1"/>
      </w:tblPr>
      <w:tblGrid>
        <w:gridCol w:w="1886"/>
        <w:gridCol w:w="8900"/>
      </w:tblGrid>
      <w:tr w:rsidR="007C7095" w:rsidRPr="002C7415" w14:paraId="2EF2E6F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BC5BA90" w14:textId="77777777" w:rsidR="007C7095" w:rsidRPr="002C7415" w:rsidRDefault="007C7095" w:rsidP="00DB06F0">
            <w:pPr>
              <w:rPr>
                <w:rFonts w:cs="Arial"/>
                <w:b w:val="0"/>
                <w:bCs w:val="0"/>
                <w:szCs w:val="20"/>
              </w:rPr>
            </w:pPr>
            <w:r>
              <w:rPr>
                <w:rFonts w:cs="Arial"/>
                <w:szCs w:val="20"/>
              </w:rPr>
              <w:t>Purpose</w:t>
            </w:r>
          </w:p>
        </w:tc>
        <w:tc>
          <w:tcPr>
            <w:tcW w:w="8900" w:type="dxa"/>
          </w:tcPr>
          <w:p w14:paraId="5B92EF4B"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is about the Contract Closeout Plan that creates a formal framework for the orderly conclusion of the Contract and the de-coupling of the Contractor from all operational activities. The timely submission of this Plan is critical to allow the Department sufficient time to review, plan for, and execute all required legal, financial, administrative, and technical closeout tasks. </w:t>
            </w:r>
          </w:p>
        </w:tc>
      </w:tr>
      <w:tr w:rsidR="007C7095" w:rsidRPr="002C7415" w14:paraId="7569D58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7926519" w14:textId="77777777" w:rsidR="007C7095" w:rsidRPr="002C7415" w:rsidRDefault="007C7095" w:rsidP="00DB06F0">
            <w:pPr>
              <w:rPr>
                <w:rFonts w:cs="Arial"/>
                <w:b w:val="0"/>
                <w:bCs w:val="0"/>
                <w:szCs w:val="20"/>
              </w:rPr>
            </w:pPr>
            <w:r>
              <w:rPr>
                <w:rFonts w:cs="Arial"/>
                <w:szCs w:val="20"/>
              </w:rPr>
              <w:t>Specification</w:t>
            </w:r>
          </w:p>
        </w:tc>
        <w:tc>
          <w:tcPr>
            <w:tcW w:w="8900" w:type="dxa"/>
          </w:tcPr>
          <w:p w14:paraId="063D36BE"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must prepare and submit the Contract Closeout Plan on the scheduled deliverable submission date. </w:t>
            </w:r>
          </w:p>
        </w:tc>
      </w:tr>
      <w:tr w:rsidR="007C7095" w:rsidRPr="002C7415" w14:paraId="13C71DD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830EF28" w14:textId="77777777" w:rsidR="007C7095" w:rsidRPr="002C7415" w:rsidRDefault="007C7095" w:rsidP="00DB06F0">
            <w:pPr>
              <w:rPr>
                <w:rFonts w:cs="Arial"/>
                <w:b w:val="0"/>
                <w:bCs w:val="0"/>
                <w:szCs w:val="20"/>
              </w:rPr>
            </w:pPr>
            <w:r>
              <w:rPr>
                <w:rFonts w:cs="Arial"/>
                <w:szCs w:val="20"/>
              </w:rPr>
              <w:lastRenderedPageBreak/>
              <w:t>Service Level</w:t>
            </w:r>
          </w:p>
        </w:tc>
        <w:tc>
          <w:tcPr>
            <w:tcW w:w="8900" w:type="dxa"/>
          </w:tcPr>
          <w:p w14:paraId="0853D961" w14:textId="77777777" w:rsidR="007C7095" w:rsidRPr="002C7415" w:rsidRDefault="007C7095"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Contract Closeout Plan must be submitted to the Department no later than twelve (12) months before the last day of the Contract, or upon Department request if an earlier date is specified.</w:t>
            </w:r>
          </w:p>
        </w:tc>
      </w:tr>
      <w:tr w:rsidR="007C7095" w:rsidRPr="002C7415" w14:paraId="798F364B"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8D11633" w14:textId="77777777" w:rsidR="007C7095" w:rsidRPr="002C7415" w:rsidRDefault="007C7095" w:rsidP="00DB06F0">
            <w:pPr>
              <w:rPr>
                <w:rFonts w:cs="Arial"/>
                <w:b w:val="0"/>
                <w:bCs w:val="0"/>
                <w:szCs w:val="20"/>
              </w:rPr>
            </w:pPr>
            <w:r>
              <w:rPr>
                <w:rFonts w:cs="Arial"/>
                <w:szCs w:val="20"/>
              </w:rPr>
              <w:t>Notes</w:t>
            </w:r>
          </w:p>
        </w:tc>
        <w:tc>
          <w:tcPr>
            <w:tcW w:w="8900" w:type="dxa"/>
          </w:tcPr>
          <w:p w14:paraId="684D92D8"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 Closeout Plan consists of, at a minimum, the following components:</w:t>
            </w:r>
          </w:p>
          <w:p w14:paraId="03074D07" w14:textId="77777777" w:rsidR="007C7095" w:rsidRPr="002C7415" w:rsidRDefault="007C7095" w:rsidP="00DB06F0">
            <w:pPr>
              <w:pStyle w:val="TableBullet"/>
              <w:cnfStyle w:val="000000010000" w:firstRow="0" w:lastRow="0" w:firstColumn="0" w:lastColumn="0" w:oddVBand="0" w:evenVBand="0" w:oddHBand="0" w:evenHBand="1" w:firstRowFirstColumn="0" w:firstRowLastColumn="0" w:lastRowFirstColumn="0" w:lastRowLastColumn="0"/>
            </w:pPr>
            <w:r>
              <w:t>Summary of work conducted</w:t>
            </w:r>
          </w:p>
          <w:p w14:paraId="4A22AFE1" w14:textId="77777777" w:rsidR="007C7095" w:rsidRPr="002C7415" w:rsidRDefault="007C7095" w:rsidP="00DB06F0">
            <w:pPr>
              <w:pStyle w:val="TableBullet"/>
              <w:cnfStyle w:val="000000010000" w:firstRow="0" w:lastRow="0" w:firstColumn="0" w:lastColumn="0" w:oddVBand="0" w:evenVBand="0" w:oddHBand="0" w:evenHBand="1" w:firstRowFirstColumn="0" w:firstRowLastColumn="0" w:lastRowFirstColumn="0" w:lastRowLastColumn="0"/>
            </w:pPr>
            <w:r>
              <w:t>All deficiency and action item lists</w:t>
            </w:r>
          </w:p>
          <w:p w14:paraId="2FC21645" w14:textId="77777777" w:rsidR="007C7095" w:rsidRPr="002C7415" w:rsidRDefault="007C7095" w:rsidP="00DB06F0">
            <w:pPr>
              <w:pStyle w:val="TableBullet"/>
              <w:cnfStyle w:val="000000010000" w:firstRow="0" w:lastRow="0" w:firstColumn="0" w:lastColumn="0" w:oddVBand="0" w:evenVBand="0" w:oddHBand="0" w:evenHBand="1" w:firstRowFirstColumn="0" w:firstRowLastColumn="0" w:lastRowFirstColumn="0" w:lastRowLastColumn="0"/>
            </w:pPr>
            <w:r>
              <w:t>Final payment verification</w:t>
            </w:r>
          </w:p>
          <w:p w14:paraId="43DD2324" w14:textId="77777777" w:rsidR="007C7095" w:rsidRPr="002C7415" w:rsidRDefault="007C7095" w:rsidP="00DB06F0">
            <w:pPr>
              <w:pStyle w:val="TableBullet"/>
              <w:cnfStyle w:val="000000010000" w:firstRow="0" w:lastRow="0" w:firstColumn="0" w:lastColumn="0" w:oddVBand="0" w:evenVBand="0" w:oddHBand="0" w:evenHBand="1" w:firstRowFirstColumn="0" w:firstRowLastColumn="0" w:lastRowFirstColumn="0" w:lastRowLastColumn="0"/>
            </w:pPr>
            <w:r>
              <w:t>Acknowledgement that no further legal obligations remain</w:t>
            </w:r>
          </w:p>
          <w:p w14:paraId="159A0043" w14:textId="77777777" w:rsidR="007C7095" w:rsidRPr="002C7415" w:rsidRDefault="007C7095" w:rsidP="00DB06F0">
            <w:pPr>
              <w:pStyle w:val="TableBullet"/>
              <w:cnfStyle w:val="000000010000" w:firstRow="0" w:lastRow="0" w:firstColumn="0" w:lastColumn="0" w:oddVBand="0" w:evenVBand="0" w:oddHBand="0" w:evenHBand="1" w:firstRowFirstColumn="0" w:firstRowLastColumn="0" w:lastRowFirstColumn="0" w:lastRowLastColumn="0"/>
            </w:pPr>
            <w:r>
              <w:t>Description of the archiving process</w:t>
            </w:r>
          </w:p>
          <w:p w14:paraId="5008B832" w14:textId="77777777" w:rsidR="007C7095" w:rsidRPr="002C7415" w:rsidRDefault="007C7095" w:rsidP="00DB06F0">
            <w:pPr>
              <w:pStyle w:val="TableBullet"/>
              <w:cnfStyle w:val="000000010000" w:firstRow="0" w:lastRow="0" w:firstColumn="0" w:lastColumn="0" w:oddVBand="0" w:evenVBand="0" w:oddHBand="0" w:evenHBand="1" w:firstRowFirstColumn="0" w:firstRowLastColumn="0" w:lastRowFirstColumn="0" w:lastRowLastColumn="0"/>
            </w:pPr>
            <w:r>
              <w:t xml:space="preserve">Final closeout checklist. </w:t>
            </w:r>
          </w:p>
        </w:tc>
      </w:tr>
      <w:tr w:rsidR="007C7095" w:rsidRPr="002C7415" w14:paraId="455D0465"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622DD2D" w14:textId="77777777" w:rsidR="007C7095" w:rsidRPr="002C7415" w:rsidRDefault="007C7095" w:rsidP="00DB06F0">
            <w:pPr>
              <w:rPr>
                <w:rFonts w:cs="Arial"/>
                <w:b w:val="0"/>
                <w:bCs w:val="0"/>
                <w:szCs w:val="20"/>
              </w:rPr>
            </w:pPr>
            <w:r>
              <w:rPr>
                <w:rFonts w:cs="Arial"/>
                <w:szCs w:val="20"/>
              </w:rPr>
              <w:t>Reporting Frequency</w:t>
            </w:r>
          </w:p>
        </w:tc>
        <w:tc>
          <w:tcPr>
            <w:tcW w:w="8900" w:type="dxa"/>
          </w:tcPr>
          <w:p w14:paraId="028BB9A1"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is a one-time SLA. The Contractor must report on this SLA compliance in the Weekly and Monthly Status Reports immediately following the Plan’s submission due date.</w:t>
            </w:r>
          </w:p>
        </w:tc>
      </w:tr>
      <w:tr w:rsidR="007C7095" w:rsidRPr="002C7415" w14:paraId="2063464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C7E654C" w14:textId="77777777" w:rsidR="007C7095" w:rsidRPr="002C7415" w:rsidRDefault="007C7095" w:rsidP="00DB06F0">
            <w:pPr>
              <w:rPr>
                <w:rFonts w:cs="Arial"/>
                <w:szCs w:val="20"/>
              </w:rPr>
            </w:pPr>
            <w:r>
              <w:rPr>
                <w:rFonts w:cs="Arial"/>
                <w:szCs w:val="20"/>
              </w:rPr>
              <w:t>SLA Calculations</w:t>
            </w:r>
          </w:p>
        </w:tc>
        <w:tc>
          <w:tcPr>
            <w:tcW w:w="8900" w:type="dxa"/>
          </w:tcPr>
          <w:p w14:paraId="3800CD7B" w14:textId="77777777" w:rsidR="007C7095" w:rsidRPr="002C7415" w:rsidRDefault="007C7095" w:rsidP="00DB06F0">
            <w:pPr>
              <w:tabs>
                <w:tab w:val="left" w:pos="3190"/>
              </w:tabs>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determined by comparing the Planned Submission Date to the Actual Submission Date.</w:t>
            </w:r>
          </w:p>
          <w:p w14:paraId="11D7BC5B" w14:textId="77777777" w:rsidR="007C7095" w:rsidRPr="002C7415" w:rsidRDefault="007C7095" w:rsidP="00DB06F0">
            <w:pPr>
              <w:tabs>
                <w:tab w:val="left" w:pos="3190"/>
              </w:tabs>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Identify Due Date</w:t>
            </w:r>
            <w:r>
              <w:rPr>
                <w:rFonts w:cs="Arial"/>
                <w:szCs w:val="20"/>
              </w:rPr>
              <w:t>: Review the IMS and the Contractor’s deliverable management tool to determine the scheduled submission date.</w:t>
            </w:r>
          </w:p>
          <w:p w14:paraId="1C61AC47" w14:textId="77777777" w:rsidR="007C7095" w:rsidRPr="002C7415" w:rsidRDefault="007C7095" w:rsidP="00DB06F0">
            <w:pPr>
              <w:tabs>
                <w:tab w:val="left" w:pos="3190"/>
              </w:tabs>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Evaluate for Late Submission:</w:t>
            </w:r>
            <w:r>
              <w:rPr>
                <w:rFonts w:cs="Arial"/>
                <w:szCs w:val="20"/>
              </w:rPr>
              <w:t xml:space="preserve"> If the Plan is submitted on or before the Due Date, the SLA is met. If the Plan is submitted after the Due Date, the SLA is breached and the Initial Service Credit of twenty-five thousand dollars ($25,000) is applied.</w:t>
            </w:r>
          </w:p>
          <w:p w14:paraId="6A1AE2A0"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Evaluate for Extended Lateness</w:t>
            </w:r>
            <w:r>
              <w:rPr>
                <w:rFonts w:cs="Arial"/>
                <w:szCs w:val="20"/>
              </w:rPr>
              <w:t>: If the Plan remains unsubmitted or late submission extends beyond the first month, additional Service Credits are applied. Calculate the number of months the report is unsubmitted until the Actual Submission Date. The additional service credit of $25,000 is applied to each month of report delinquency. The additional service credit is applied beginning with month two (2).</w:t>
            </w:r>
          </w:p>
          <w:p w14:paraId="2475153A"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p>
          <w:p w14:paraId="3ABC2AA3" w14:textId="77777777" w:rsidR="007C7095" w:rsidRPr="002C7415" w:rsidRDefault="007C7095" w:rsidP="00DB06F0">
            <w:pPr>
              <w:tabs>
                <w:tab w:val="left" w:pos="3190"/>
              </w:tabs>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t>Example:</w:t>
            </w:r>
          </w:p>
          <w:p w14:paraId="5FBC7D83" w14:textId="77777777" w:rsidR="007C7095" w:rsidRPr="002C7415" w:rsidRDefault="007C7095" w:rsidP="00DB06F0">
            <w:pPr>
              <w:tabs>
                <w:tab w:val="left" w:pos="3190"/>
              </w:tabs>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Contract End Date: 10/31/2030.</w:t>
            </w:r>
          </w:p>
          <w:p w14:paraId="5D2803AC" w14:textId="77777777" w:rsidR="007C7095" w:rsidRPr="002C7415" w:rsidRDefault="007C7095" w:rsidP="00DB06F0">
            <w:pPr>
              <w:tabs>
                <w:tab w:val="left" w:pos="3190"/>
              </w:tabs>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Submission Due Date: 10/31/2029.</w:t>
            </w:r>
          </w:p>
          <w:p w14:paraId="6321CBB4" w14:textId="77777777" w:rsidR="007C7095" w:rsidRPr="002C7415" w:rsidRDefault="007C7095" w:rsidP="00DB06F0">
            <w:pPr>
              <w:tabs>
                <w:tab w:val="left" w:pos="3190"/>
              </w:tabs>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Scenario A (Met):</w:t>
            </w:r>
            <w:r>
              <w:rPr>
                <w:rFonts w:cs="Arial"/>
                <w:szCs w:val="20"/>
              </w:rPr>
              <w:t xml:space="preserve"> Contractor submits the plan on 10/25/2029. The SLA is met.</w:t>
            </w:r>
          </w:p>
          <w:p w14:paraId="229099A6" w14:textId="77777777" w:rsidR="007C7095" w:rsidRPr="002C7415" w:rsidRDefault="007C7095" w:rsidP="00DB06F0">
            <w:pPr>
              <w:tabs>
                <w:tab w:val="left" w:pos="3190"/>
              </w:tabs>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Scenario B (Not Met):</w:t>
            </w:r>
            <w:r>
              <w:rPr>
                <w:rFonts w:cs="Arial"/>
                <w:szCs w:val="20"/>
              </w:rPr>
              <w:t xml:space="preserve"> Contractor submits the plan on 12/05/2029. The submission is late, falling into the second calendar month of delay (Nov, Dec). The additional service credit is applied for two calendar months – twenty-five thousand dollars ($25,000) x two (2) = fifty thousand dollars ($50,000).</w:t>
            </w:r>
          </w:p>
        </w:tc>
      </w:tr>
      <w:tr w:rsidR="007C7095" w:rsidRPr="002C7415" w14:paraId="0044B767"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B8CDF60" w14:textId="77777777" w:rsidR="007C7095" w:rsidRPr="002C7415" w:rsidRDefault="007C7095" w:rsidP="00DB06F0">
            <w:pPr>
              <w:rPr>
                <w:rFonts w:cs="Arial"/>
                <w:b w:val="0"/>
                <w:bCs w:val="0"/>
                <w:szCs w:val="20"/>
              </w:rPr>
            </w:pPr>
            <w:r>
              <w:rPr>
                <w:rFonts w:cs="Arial"/>
                <w:szCs w:val="20"/>
              </w:rPr>
              <w:t>SLA Calculations Definitions</w:t>
            </w:r>
          </w:p>
        </w:tc>
        <w:tc>
          <w:tcPr>
            <w:tcW w:w="8900" w:type="dxa"/>
          </w:tcPr>
          <w:p w14:paraId="066232D5"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Calendar Month</w:t>
            </w:r>
            <w:r>
              <w:rPr>
                <w:rFonts w:cs="Arial"/>
                <w:szCs w:val="20"/>
              </w:rPr>
              <w:t>: A named month on the calendar (e.g., January, February).</w:t>
            </w:r>
          </w:p>
        </w:tc>
      </w:tr>
      <w:tr w:rsidR="007C7095" w:rsidRPr="002C7415" w14:paraId="647C4F04"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73C895C" w14:textId="77777777" w:rsidR="007C7095" w:rsidRPr="002C7415" w:rsidRDefault="007C7095" w:rsidP="00DB06F0">
            <w:pPr>
              <w:rPr>
                <w:rFonts w:cs="Arial"/>
                <w:b w:val="0"/>
                <w:bCs w:val="0"/>
                <w:szCs w:val="20"/>
              </w:rPr>
            </w:pPr>
            <w:r>
              <w:rPr>
                <w:rFonts w:cs="Arial"/>
                <w:szCs w:val="20"/>
              </w:rPr>
              <w:t>Exclusions</w:t>
            </w:r>
          </w:p>
        </w:tc>
        <w:tc>
          <w:tcPr>
            <w:tcW w:w="8900" w:type="dxa"/>
          </w:tcPr>
          <w:p w14:paraId="186E8F4E"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Department may, at its sole discretion, provide written approval to revise the Contract Closeout Plan submission date. The Contractor is responsible for providing documentation for any claimed exclusion. </w:t>
            </w:r>
          </w:p>
        </w:tc>
      </w:tr>
      <w:tr w:rsidR="007C7095" w:rsidRPr="002C7415" w14:paraId="416D602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FF048B0" w14:textId="77777777" w:rsidR="007C7095" w:rsidRPr="002C7415" w:rsidRDefault="007C7095" w:rsidP="00DB06F0">
            <w:pPr>
              <w:rPr>
                <w:rFonts w:cs="Arial"/>
                <w:b w:val="0"/>
                <w:bCs w:val="0"/>
                <w:szCs w:val="20"/>
              </w:rPr>
            </w:pPr>
            <w:r>
              <w:rPr>
                <w:rFonts w:cs="Arial"/>
                <w:szCs w:val="20"/>
              </w:rPr>
              <w:t>Process to Compile and Report SLA</w:t>
            </w:r>
          </w:p>
        </w:tc>
        <w:tc>
          <w:tcPr>
            <w:tcW w:w="8900" w:type="dxa"/>
          </w:tcPr>
          <w:p w14:paraId="10214190"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is responsible for monitoring and self-reporting this SLA compliance status. Compliance is determined by reviewing the Contract Closeout Plan change log to identify the submission date and confirming the actual submission date by the Contractor’s deliverable management tool and transmittal log.</w:t>
            </w:r>
          </w:p>
          <w:p w14:paraId="66DCD893" w14:textId="77777777" w:rsidR="007C7095" w:rsidRPr="002C7415" w:rsidRDefault="007C7095"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SLA compliance and any accrued service credits are reported in the Weekly and Monthly Status Reports immediately following the plan submission due date.</w:t>
            </w:r>
          </w:p>
        </w:tc>
      </w:tr>
      <w:tr w:rsidR="007C7095" w:rsidRPr="002C7415" w14:paraId="308F3C7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C0DE54D" w14:textId="77777777" w:rsidR="007C7095" w:rsidRPr="002C7415" w:rsidRDefault="007C7095" w:rsidP="00DB06F0">
            <w:pPr>
              <w:rPr>
                <w:rFonts w:cs="Arial"/>
                <w:b w:val="0"/>
                <w:bCs w:val="0"/>
                <w:szCs w:val="20"/>
              </w:rPr>
            </w:pPr>
            <w:r>
              <w:rPr>
                <w:rFonts w:cs="Arial"/>
                <w:szCs w:val="20"/>
              </w:rPr>
              <w:t>Converged E&amp;E System and AMS Service Credit</w:t>
            </w:r>
          </w:p>
        </w:tc>
        <w:tc>
          <w:tcPr>
            <w:tcW w:w="8900" w:type="dxa"/>
          </w:tcPr>
          <w:p w14:paraId="5C22727E" w14:textId="77777777" w:rsidR="007C7095" w:rsidRPr="002C7415" w:rsidRDefault="007C7095"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submit a Contract Closeout Plan for Department review by the scheduled due date will result in a service credit of twenty-five thousand dollars ($25,000) for each calendar month, or portion thereof, after the required submission date until the Contract Closeout Plan is submitted.</w:t>
            </w:r>
          </w:p>
        </w:tc>
      </w:tr>
    </w:tbl>
    <w:p w14:paraId="6C45DFED" w14:textId="223A0EF6" w:rsidR="008B5BB2" w:rsidRPr="002C7415" w:rsidRDefault="008B5BB2" w:rsidP="008B5BB2">
      <w:pPr>
        <w:pStyle w:val="HeadingSLA"/>
      </w:pPr>
      <w:bookmarkStart w:id="92" w:name="_Toc230258262"/>
      <w:bookmarkStart w:id="93" w:name="_Toc233199163"/>
      <w:bookmarkStart w:id="94" w:name="_Toc230258227"/>
      <w:bookmarkEnd w:id="91"/>
      <w:r>
        <w:lastRenderedPageBreak/>
        <w:t>Transition-Out Knowledge Transfer Scope Coverage</w:t>
      </w:r>
      <w:bookmarkEnd w:id="92"/>
      <w:bookmarkEnd w:id="93"/>
    </w:p>
    <w:tbl>
      <w:tblPr>
        <w:tblStyle w:val="DOH-LeftHeader"/>
        <w:tblW w:w="4998" w:type="pct"/>
        <w:tblLayout w:type="fixed"/>
        <w:tblLook w:val="0480" w:firstRow="0" w:lastRow="0" w:firstColumn="1" w:lastColumn="0" w:noHBand="0" w:noVBand="1"/>
      </w:tblPr>
      <w:tblGrid>
        <w:gridCol w:w="1886"/>
        <w:gridCol w:w="8900"/>
      </w:tblGrid>
      <w:tr w:rsidR="008B5BB2" w:rsidRPr="002C7415" w14:paraId="6B2B798C"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FAC7AA3" w14:textId="77777777" w:rsidR="008B5BB2" w:rsidRPr="002C7415" w:rsidRDefault="008B5BB2" w:rsidP="00DB06F0">
            <w:pPr>
              <w:rPr>
                <w:rFonts w:cs="Arial"/>
                <w:b w:val="0"/>
                <w:bCs w:val="0"/>
                <w:szCs w:val="20"/>
              </w:rPr>
            </w:pPr>
            <w:r>
              <w:rPr>
                <w:rFonts w:cs="Arial"/>
                <w:szCs w:val="20"/>
              </w:rPr>
              <w:t>Purpose</w:t>
            </w:r>
          </w:p>
        </w:tc>
        <w:tc>
          <w:tcPr>
            <w:tcW w:w="8900" w:type="dxa"/>
          </w:tcPr>
          <w:p w14:paraId="26E99CA7" w14:textId="77777777" w:rsidR="008B5BB2" w:rsidRPr="002C7415" w:rsidRDefault="008B5BB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eastAsia="Calibri" w:cs="Arial"/>
                <w:szCs w:val="20"/>
              </w:rPr>
              <w:t>The objective of this SLA is to ensure a comprehensive and seamless transition of responsibilities from the Contractor to the Successor Contractor or Department. Knowledge Transfer must encompass all functional areas for which the Contractor was responsible, including M&amp;O, DDI, SA, and PM. Incomplete or omitted Knowledge Transfer in any area introduces unacceptable operational risk and may jeopardize the continuity of Department services upon the Successor Contractor or Department’s assumption of duties</w:t>
            </w:r>
            <w:r>
              <w:rPr>
                <w:rFonts w:cs="Arial"/>
                <w:szCs w:val="20"/>
              </w:rPr>
              <w:t>.</w:t>
            </w:r>
          </w:p>
        </w:tc>
      </w:tr>
      <w:tr w:rsidR="008B5BB2" w:rsidRPr="002C7415" w14:paraId="188A26CA"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DE2E99D" w14:textId="77777777" w:rsidR="008B5BB2" w:rsidRPr="002C7415" w:rsidRDefault="008B5BB2" w:rsidP="00DB06F0">
            <w:pPr>
              <w:rPr>
                <w:rFonts w:cs="Arial"/>
                <w:b w:val="0"/>
                <w:bCs w:val="0"/>
                <w:szCs w:val="20"/>
              </w:rPr>
            </w:pPr>
            <w:r>
              <w:rPr>
                <w:rFonts w:cs="Arial"/>
                <w:szCs w:val="20"/>
              </w:rPr>
              <w:t>Specification</w:t>
            </w:r>
          </w:p>
        </w:tc>
        <w:tc>
          <w:tcPr>
            <w:tcW w:w="8900" w:type="dxa"/>
          </w:tcPr>
          <w:p w14:paraId="052932AF" w14:textId="77777777" w:rsidR="008B5BB2" w:rsidRPr="002C7415" w:rsidRDefault="008B5BB2" w:rsidP="00DB06F0">
            <w:pPr>
              <w:cnfStyle w:val="000000010000" w:firstRow="0" w:lastRow="0" w:firstColumn="0" w:lastColumn="0" w:oddVBand="0" w:evenVBand="0" w:oddHBand="0" w:evenHBand="1" w:firstRowFirstColumn="0" w:firstRowLastColumn="0" w:lastRowFirstColumn="0" w:lastRowLastColumn="0"/>
              <w:rPr>
                <w:rFonts w:eastAsia="Calibri" w:cs="Arial"/>
                <w:szCs w:val="20"/>
              </w:rPr>
            </w:pPr>
            <w:r>
              <w:rPr>
                <w:rFonts w:eastAsia="Calibri" w:cs="Arial"/>
                <w:szCs w:val="20"/>
              </w:rPr>
              <w:t>The Contractor must provide Knowledge Transfer materials and conduct Knowledge Transfer activities covering all in-scope areas (M&amp;O, DDI, SA, and PM). The specific artifacts, sessions, activities, and delivery schedules must be documented in a Knowledge Transfer Plan, which must be mutually agreed upon in writing by the Contractor, the Successor Contractor, and the Department. Knowledge Transfer for a specific scope area is considered complete only when all agreed materials are delivered, activities are conducted, and the Department formally accepts the completion of that area.</w:t>
            </w:r>
          </w:p>
        </w:tc>
      </w:tr>
      <w:tr w:rsidR="008B5BB2" w:rsidRPr="002C7415" w14:paraId="0332A17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6FEC43D" w14:textId="77777777" w:rsidR="008B5BB2" w:rsidRPr="002C7415" w:rsidRDefault="008B5BB2" w:rsidP="00DB06F0">
            <w:pPr>
              <w:rPr>
                <w:rFonts w:cs="Arial"/>
                <w:b w:val="0"/>
                <w:bCs w:val="0"/>
                <w:szCs w:val="20"/>
              </w:rPr>
            </w:pPr>
            <w:r>
              <w:rPr>
                <w:rFonts w:cs="Arial"/>
                <w:szCs w:val="20"/>
              </w:rPr>
              <w:t>Service Level</w:t>
            </w:r>
          </w:p>
        </w:tc>
        <w:tc>
          <w:tcPr>
            <w:tcW w:w="8900" w:type="dxa"/>
          </w:tcPr>
          <w:p w14:paraId="76BB1C1E" w14:textId="77777777" w:rsidR="008B5BB2" w:rsidRPr="002C7415" w:rsidRDefault="008B5BB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agreed Knowledge Transfer scope items across M&amp;O, DDI, SA, and PM must be delivered, conducted, and accepted by the mutually agreed completion dates documented in the Knowledge Transfer Plan or schedule. Any scope item not delivered, not conducted, or not accepted by the agreed date constitutes a non-compliance event for that scope item.</w:t>
            </w:r>
          </w:p>
        </w:tc>
      </w:tr>
      <w:tr w:rsidR="008B5BB2" w:rsidRPr="002C7415" w14:paraId="6D5D63BC"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86806F3" w14:textId="77777777" w:rsidR="008B5BB2" w:rsidRPr="002C7415" w:rsidRDefault="008B5BB2" w:rsidP="00DB06F0">
            <w:pPr>
              <w:rPr>
                <w:rFonts w:cs="Arial"/>
                <w:b w:val="0"/>
                <w:bCs w:val="0"/>
                <w:szCs w:val="20"/>
              </w:rPr>
            </w:pPr>
            <w:r>
              <w:rPr>
                <w:rFonts w:cs="Arial"/>
                <w:szCs w:val="20"/>
              </w:rPr>
              <w:t>Notes</w:t>
            </w:r>
          </w:p>
        </w:tc>
        <w:tc>
          <w:tcPr>
            <w:tcW w:w="8900" w:type="dxa"/>
          </w:tcPr>
          <w:p w14:paraId="59DF7A23" w14:textId="77777777" w:rsidR="008B5BB2" w:rsidRPr="002C7415" w:rsidRDefault="008B5BB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mutual agreement on scope items, the schedule, and the acceptance criteria must be documented in writing by both the Contractor and the Successor Contractor and acknowledged by the Department prior to the start of Knowledge Transfer execution. Changes to the agreed list of scope items or to delivery dates require written agreement among the Contractor, the Successor Contractor, and the Department. The Contractor must designate a single point of contact responsible for Knowledge Transfer scope coverage tracking and reporting under this SLA.</w:t>
            </w:r>
          </w:p>
        </w:tc>
      </w:tr>
      <w:tr w:rsidR="008B5BB2" w:rsidRPr="002C7415" w14:paraId="432B9DC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2C80707" w14:textId="77777777" w:rsidR="008B5BB2" w:rsidRPr="002C7415" w:rsidRDefault="008B5BB2" w:rsidP="00DB06F0">
            <w:pPr>
              <w:rPr>
                <w:rFonts w:cs="Arial"/>
                <w:b w:val="0"/>
                <w:bCs w:val="0"/>
                <w:szCs w:val="20"/>
              </w:rPr>
            </w:pPr>
            <w:r>
              <w:rPr>
                <w:rFonts w:cs="Arial"/>
                <w:szCs w:val="20"/>
              </w:rPr>
              <w:t>Reporting Frequency</w:t>
            </w:r>
          </w:p>
        </w:tc>
        <w:tc>
          <w:tcPr>
            <w:tcW w:w="8900" w:type="dxa"/>
          </w:tcPr>
          <w:p w14:paraId="3EC26864" w14:textId="77777777" w:rsidR="008B5BB2" w:rsidRPr="002C7415" w:rsidRDefault="008B5BB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and Monthly Status Reports. Knowledge Transfer scope coverage status is tracked continuously and reported in the Contractor’s Transition-Out Weekly Status Report. SLA is effective during the Transition-Out Period.</w:t>
            </w:r>
          </w:p>
        </w:tc>
      </w:tr>
      <w:tr w:rsidR="008B5BB2" w:rsidRPr="002C7415" w14:paraId="0A8C596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B5149F0" w14:textId="77777777" w:rsidR="008B5BB2" w:rsidRPr="002C7415" w:rsidRDefault="008B5BB2" w:rsidP="00DB06F0">
            <w:pPr>
              <w:rPr>
                <w:rFonts w:cs="Arial"/>
                <w:szCs w:val="20"/>
              </w:rPr>
            </w:pPr>
            <w:r>
              <w:rPr>
                <w:rFonts w:cs="Arial"/>
                <w:szCs w:val="20"/>
              </w:rPr>
              <w:t>SLA Calculations</w:t>
            </w:r>
          </w:p>
        </w:tc>
        <w:tc>
          <w:tcPr>
            <w:tcW w:w="8900" w:type="dxa"/>
          </w:tcPr>
          <w:p w14:paraId="788E6A2E" w14:textId="77777777" w:rsidR="008B5BB2" w:rsidRPr="002C7415" w:rsidRDefault="008B5BB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evaluated per scope item. A scope item is compliant when, by the mutually agreed completion date, the agreed materials have been delivered, the agreed activities have been conducted, and the Department has formally accepted the coverage for that scope item. For credit calculation, the non-compliance count for any given calendar day equals the number of scope items past their mutually agreed completion date that have not yet been delivered, conducted, and accepted, and the credit applies per calendar day, or portion thereof, that each item remains incomplete.</w:t>
            </w:r>
          </w:p>
        </w:tc>
      </w:tr>
      <w:tr w:rsidR="008B5BB2" w:rsidRPr="002C7415" w14:paraId="22CE139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54F8809" w14:textId="77777777" w:rsidR="008B5BB2" w:rsidRPr="002C7415" w:rsidRDefault="008B5BB2" w:rsidP="00DB06F0">
            <w:pPr>
              <w:rPr>
                <w:rFonts w:cs="Arial"/>
                <w:b w:val="0"/>
                <w:bCs w:val="0"/>
                <w:szCs w:val="20"/>
              </w:rPr>
            </w:pPr>
            <w:r>
              <w:rPr>
                <w:rFonts w:cs="Arial"/>
                <w:szCs w:val="20"/>
              </w:rPr>
              <w:t>SLA Calculations Definitions</w:t>
            </w:r>
          </w:p>
        </w:tc>
        <w:tc>
          <w:tcPr>
            <w:tcW w:w="8900" w:type="dxa"/>
          </w:tcPr>
          <w:p w14:paraId="17228828" w14:textId="77777777" w:rsidR="008B5BB2" w:rsidRPr="002C7415" w:rsidRDefault="008B5BB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Scope Areas: M&amp;O, DDI, SA, and PM. Scope Item: A discrete Knowledge Transfer artifact, session, or activity within one of the four scope areas, as identified in the mutually agreed Knowledge Transfer Plan or schedule. Mutually Agreed Completion Date: The date documented in the Knowledge Transfer Plan or schedule by which the scope item is to be delivered, conducted, and accepted. Accepted: Formally signed off by the Department or the Successor Contractor as authorized by the Department.</w:t>
            </w:r>
          </w:p>
        </w:tc>
      </w:tr>
      <w:tr w:rsidR="008B5BB2" w:rsidRPr="002C7415" w14:paraId="74885C3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6D15B85" w14:textId="77777777" w:rsidR="008B5BB2" w:rsidRPr="002C7415" w:rsidRDefault="008B5BB2" w:rsidP="00DB06F0">
            <w:pPr>
              <w:rPr>
                <w:rFonts w:cs="Arial"/>
                <w:b w:val="0"/>
                <w:bCs w:val="0"/>
                <w:szCs w:val="20"/>
              </w:rPr>
            </w:pPr>
            <w:r>
              <w:rPr>
                <w:rFonts w:cs="Arial"/>
                <w:szCs w:val="20"/>
              </w:rPr>
              <w:t>Exclusions</w:t>
            </w:r>
          </w:p>
        </w:tc>
        <w:tc>
          <w:tcPr>
            <w:tcW w:w="8900" w:type="dxa"/>
          </w:tcPr>
          <w:p w14:paraId="38B0DFD9" w14:textId="77777777" w:rsidR="008B5BB2" w:rsidRPr="002C7415" w:rsidRDefault="008B5BB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Delays mutually agreed in writing among the Contractor, the Successor Contractor, and the Department prior to the original completion date are excluded from this SLA to the extent of that written agreement. Delays caused by the Successor Contractor’s failure to participate as agreed, or by Department-controlled approvals, are excluded to the extent the Contractor can demonstrate the cause through verifiable records.</w:t>
            </w:r>
          </w:p>
        </w:tc>
      </w:tr>
      <w:tr w:rsidR="008B5BB2" w:rsidRPr="002C7415" w14:paraId="49298507"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E45FE99" w14:textId="77777777" w:rsidR="008B5BB2" w:rsidRPr="002C7415" w:rsidRDefault="008B5BB2" w:rsidP="00DB06F0">
            <w:pPr>
              <w:rPr>
                <w:rFonts w:cs="Arial"/>
                <w:b w:val="0"/>
                <w:bCs w:val="0"/>
                <w:szCs w:val="20"/>
              </w:rPr>
            </w:pPr>
            <w:r>
              <w:rPr>
                <w:rFonts w:cs="Arial"/>
                <w:szCs w:val="20"/>
              </w:rPr>
              <w:t>Process to Compile and Report SLA</w:t>
            </w:r>
          </w:p>
        </w:tc>
        <w:tc>
          <w:tcPr>
            <w:tcW w:w="8900" w:type="dxa"/>
          </w:tcPr>
          <w:p w14:paraId="4E4506FA" w14:textId="77777777" w:rsidR="008B5BB2" w:rsidRPr="002C7415" w:rsidRDefault="008B5BB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The Contractor must maintain a Knowledge Transfer Scope Coverage register listing, for each scope item: the scope area (M&amp;O, DDI, SA, PM); the item identifier and description; the responsible Contractor resource; the assigned Successor Contractor recipient; the mutually </w:t>
            </w:r>
            <w:r>
              <w:rPr>
                <w:rFonts w:cs="Arial"/>
                <w:szCs w:val="20"/>
              </w:rPr>
              <w:lastRenderedPageBreak/>
              <w:t>agreed completion date; the actual delivery date for materials; the actual session or activity date; the acceptance date; the approving party (Department or Successor Contractor); and any rejection reasons and resubmission dates if applicable. Supporting documentation must include written mutual agreement on scope and schedule, delivery evidence (file hashes, repository upload links, email confirmations), session evidence (attendance rosters, recordings, minutes), and approval evidence (signed acceptance, email approvals). The register and supporting evidence must be submitted with the Transition-Out Weekly Status Report.</w:t>
            </w:r>
          </w:p>
        </w:tc>
      </w:tr>
      <w:tr w:rsidR="008B5BB2" w:rsidRPr="002C7415" w14:paraId="18925E24"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8E14013" w14:textId="77777777" w:rsidR="008B5BB2" w:rsidRPr="002C7415" w:rsidRDefault="008B5BB2" w:rsidP="00DB06F0">
            <w:pPr>
              <w:rPr>
                <w:rFonts w:cs="Arial"/>
                <w:b w:val="0"/>
                <w:bCs w:val="0"/>
                <w:szCs w:val="20"/>
              </w:rPr>
            </w:pPr>
            <w:r>
              <w:rPr>
                <w:rFonts w:cs="Arial"/>
                <w:szCs w:val="20"/>
              </w:rPr>
              <w:lastRenderedPageBreak/>
              <w:t>Converged E&amp;E System and AMS Service Credit</w:t>
            </w:r>
          </w:p>
        </w:tc>
        <w:tc>
          <w:tcPr>
            <w:tcW w:w="8900" w:type="dxa"/>
          </w:tcPr>
          <w:p w14:paraId="5463ED45" w14:textId="77777777" w:rsidR="008B5BB2" w:rsidRPr="002C7415" w:rsidRDefault="008B5BB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For each scope item under M&amp;O, DDI, or PM (and any additional scope area defined by the Department) not delivered, conducted, and accepted by the mutually agreed completion date, a service credit of ten thousand dollars ($10,000) applies per calendar day, or portion thereof, until the missing scope item is conducted and accepted by the Department.</w:t>
            </w:r>
          </w:p>
        </w:tc>
      </w:tr>
    </w:tbl>
    <w:p w14:paraId="25C64DCA" w14:textId="285CA532" w:rsidR="008B5BB2" w:rsidRPr="002C7415" w:rsidRDefault="008B5BB2" w:rsidP="008B5BB2">
      <w:pPr>
        <w:pStyle w:val="HeadingSLA"/>
      </w:pPr>
      <w:bookmarkStart w:id="95" w:name="_Toc230258261"/>
      <w:bookmarkStart w:id="96" w:name="_Toc233199164"/>
      <w:r>
        <w:t>Transition-Out Knowledge Transfer Execution: Scheduling</w:t>
      </w:r>
      <w:bookmarkEnd w:id="95"/>
      <w:bookmarkEnd w:id="96"/>
    </w:p>
    <w:tbl>
      <w:tblPr>
        <w:tblStyle w:val="DOH-LeftHeader"/>
        <w:tblW w:w="4998" w:type="pct"/>
        <w:tblLayout w:type="fixed"/>
        <w:tblLook w:val="0480" w:firstRow="0" w:lastRow="0" w:firstColumn="1" w:lastColumn="0" w:noHBand="0" w:noVBand="1"/>
      </w:tblPr>
      <w:tblGrid>
        <w:gridCol w:w="1886"/>
        <w:gridCol w:w="8900"/>
      </w:tblGrid>
      <w:tr w:rsidR="008B5BB2" w:rsidRPr="002C7415" w14:paraId="0DB5004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3A30544" w14:textId="77777777" w:rsidR="008B5BB2" w:rsidRPr="002C7415" w:rsidRDefault="008B5BB2" w:rsidP="00DB06F0">
            <w:pPr>
              <w:rPr>
                <w:rFonts w:cs="Arial"/>
                <w:b w:val="0"/>
                <w:bCs w:val="0"/>
                <w:szCs w:val="20"/>
              </w:rPr>
            </w:pPr>
            <w:r>
              <w:rPr>
                <w:rFonts w:cs="Arial"/>
                <w:szCs w:val="20"/>
              </w:rPr>
              <w:t>Purpose</w:t>
            </w:r>
          </w:p>
        </w:tc>
        <w:tc>
          <w:tcPr>
            <w:tcW w:w="8900" w:type="dxa"/>
          </w:tcPr>
          <w:p w14:paraId="600DD519" w14:textId="77777777" w:rsidR="008B5BB2" w:rsidRPr="002C7415" w:rsidRDefault="008B5BB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pinning down dates. A successful Transition-Out depends on knowledge transfer sessions being scheduled early enough that the Department and the Successor Contractor can plan around them. This SLA makes sure the Contractor commits to a complete schedule by the agreed-upon date so the rest of the Transition-Out can be planned with confidence.</w:t>
            </w:r>
          </w:p>
        </w:tc>
      </w:tr>
      <w:tr w:rsidR="008B5BB2" w:rsidRPr="002C7415" w14:paraId="23D11E9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3D8F969" w14:textId="77777777" w:rsidR="008B5BB2" w:rsidRPr="002C7415" w:rsidRDefault="008B5BB2" w:rsidP="00DB06F0">
            <w:pPr>
              <w:rPr>
                <w:rFonts w:cs="Arial"/>
                <w:b w:val="0"/>
                <w:bCs w:val="0"/>
                <w:szCs w:val="20"/>
              </w:rPr>
            </w:pPr>
            <w:r>
              <w:rPr>
                <w:rFonts w:cs="Arial"/>
                <w:szCs w:val="20"/>
              </w:rPr>
              <w:t>Specification</w:t>
            </w:r>
          </w:p>
        </w:tc>
        <w:tc>
          <w:tcPr>
            <w:tcW w:w="8900" w:type="dxa"/>
          </w:tcPr>
          <w:p w14:paraId="65E52BE0" w14:textId="77777777" w:rsidR="008B5BB2" w:rsidRPr="002C7415" w:rsidRDefault="008B5BB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complete the scheduling of every Transition-Out Knowledge Transfer activity by a date mutually agreed upon with the Department. A Knowledge Transfer activity is considered scheduled only when the activity, its date and time, the named Contractor resource(s), the named Department or Successor Contractor recipient(s), the Knowledge domain covered, and the delivery format are all reflected in the current IMS that has been delivered to and accepted by the Department.</w:t>
            </w:r>
          </w:p>
        </w:tc>
      </w:tr>
      <w:tr w:rsidR="008B5BB2" w:rsidRPr="002C7415" w14:paraId="59A79DD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88F8E7A" w14:textId="77777777" w:rsidR="008B5BB2" w:rsidRPr="002C7415" w:rsidRDefault="008B5BB2" w:rsidP="00DB06F0">
            <w:pPr>
              <w:rPr>
                <w:rFonts w:cs="Arial"/>
                <w:b w:val="0"/>
                <w:bCs w:val="0"/>
                <w:szCs w:val="20"/>
              </w:rPr>
            </w:pPr>
            <w:r>
              <w:rPr>
                <w:rFonts w:cs="Arial"/>
                <w:szCs w:val="20"/>
              </w:rPr>
              <w:t>Service Level</w:t>
            </w:r>
          </w:p>
        </w:tc>
        <w:tc>
          <w:tcPr>
            <w:tcW w:w="8900" w:type="dxa"/>
          </w:tcPr>
          <w:p w14:paraId="2659AF52" w14:textId="77777777" w:rsidR="008B5BB2" w:rsidRPr="002C7415" w:rsidRDefault="008B5BB2"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cs="Arial"/>
                <w:szCs w:val="20"/>
              </w:rPr>
              <w:t>All Transition-Out Knowledge Transfer activities scheduled in the IMS, with every required attribute populated, on or before the mutually agreed-upon scheduling date.</w:t>
            </w:r>
          </w:p>
        </w:tc>
      </w:tr>
      <w:tr w:rsidR="008B5BB2" w:rsidRPr="002C7415" w14:paraId="6C28E1A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E5E9AF8" w14:textId="77777777" w:rsidR="008B5BB2" w:rsidRPr="002C7415" w:rsidRDefault="008B5BB2" w:rsidP="00DB06F0">
            <w:pPr>
              <w:rPr>
                <w:rFonts w:cs="Arial"/>
                <w:b w:val="0"/>
                <w:bCs w:val="0"/>
                <w:szCs w:val="20"/>
              </w:rPr>
            </w:pPr>
            <w:r>
              <w:rPr>
                <w:rFonts w:cs="Arial"/>
                <w:szCs w:val="20"/>
              </w:rPr>
              <w:t>Notes</w:t>
            </w:r>
          </w:p>
        </w:tc>
        <w:tc>
          <w:tcPr>
            <w:tcW w:w="8900" w:type="dxa"/>
          </w:tcPr>
          <w:p w14:paraId="5E6BE479" w14:textId="77777777" w:rsidR="008B5BB2" w:rsidRPr="002C7415" w:rsidRDefault="008B5BB2"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mutually agreed-upon scheduling date is established in writing between the Contractor and the Department in advance of the Transition-Out Period. The list of Knowledge Transfer activities and the scope they must cover is also mutually agreed in advance and may only be modified with the Department’s written approval. The Contractor must give the Department direct, read-only access to the IMS and to the change log for any scheduling modifications at all times so that scheduling completeness can be independently confirmed.</w:t>
            </w:r>
          </w:p>
        </w:tc>
      </w:tr>
      <w:tr w:rsidR="008B5BB2" w:rsidRPr="002C7415" w14:paraId="3B673AE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764B800" w14:textId="77777777" w:rsidR="008B5BB2" w:rsidRPr="002C7415" w:rsidRDefault="008B5BB2" w:rsidP="00DB06F0">
            <w:pPr>
              <w:rPr>
                <w:rFonts w:cs="Arial"/>
                <w:b w:val="0"/>
                <w:bCs w:val="0"/>
                <w:szCs w:val="20"/>
              </w:rPr>
            </w:pPr>
            <w:r>
              <w:rPr>
                <w:rFonts w:cs="Arial"/>
                <w:szCs w:val="20"/>
              </w:rPr>
              <w:t>Reporting Frequency</w:t>
            </w:r>
          </w:p>
        </w:tc>
        <w:tc>
          <w:tcPr>
            <w:tcW w:w="8900" w:type="dxa"/>
          </w:tcPr>
          <w:p w14:paraId="6DF3C205" w14:textId="77777777" w:rsidR="008B5BB2" w:rsidRPr="002C7415" w:rsidRDefault="008B5BB2"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checked on the mutually agreed-upon scheduling date. If activities remain unscheduled past that date, the Contractor must report status daily to the Department until scheduling is complete. The SLA applies during the Transition-Out Period.</w:t>
            </w:r>
          </w:p>
        </w:tc>
      </w:tr>
      <w:tr w:rsidR="008B5BB2" w:rsidRPr="002C7415" w14:paraId="487E720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24C2204" w14:textId="77777777" w:rsidR="008B5BB2" w:rsidRPr="002C7415" w:rsidRDefault="008B5BB2" w:rsidP="00DB06F0">
            <w:pPr>
              <w:rPr>
                <w:rFonts w:cs="Arial"/>
                <w:szCs w:val="20"/>
              </w:rPr>
            </w:pPr>
            <w:r>
              <w:rPr>
                <w:rFonts w:cs="Arial"/>
                <w:szCs w:val="20"/>
              </w:rPr>
              <w:t>SLA Calculations</w:t>
            </w:r>
          </w:p>
        </w:tc>
        <w:tc>
          <w:tcPr>
            <w:tcW w:w="8900" w:type="dxa"/>
          </w:tcPr>
          <w:p w14:paraId="3DC1A25C" w14:textId="77777777" w:rsidR="008B5BB2" w:rsidRPr="002C7415" w:rsidRDefault="008B5BB2"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On the mutually agreed-upon scheduling date, the Department reviews the current IMS and compares the scheduled Knowledge Transfer activities against the agreed list of activities. The Contractor is in compliance if every agreed activity appears in the IMS with all required attributes populated (date, time, named Contractor resource(s), named recipient(s), Knowledge Domain, and delivery format). For each calendar day, or portion thereof, that one or more agreed activities remain unscheduled in the IMS beyond the agreed scheduling date, a service credit is calculated as set out in the E&amp;E Service Credit row.</w:t>
            </w:r>
          </w:p>
        </w:tc>
      </w:tr>
      <w:tr w:rsidR="008B5BB2" w:rsidRPr="002C7415" w14:paraId="447503E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5E92F6A" w14:textId="77777777" w:rsidR="008B5BB2" w:rsidRPr="002C7415" w:rsidRDefault="008B5BB2" w:rsidP="00DB06F0">
            <w:pPr>
              <w:rPr>
                <w:rFonts w:cs="Arial"/>
                <w:b w:val="0"/>
                <w:bCs w:val="0"/>
                <w:szCs w:val="20"/>
              </w:rPr>
            </w:pPr>
            <w:r>
              <w:rPr>
                <w:rFonts w:cs="Arial"/>
                <w:szCs w:val="20"/>
              </w:rPr>
              <w:t>SLA Calculations Definitions</w:t>
            </w:r>
          </w:p>
        </w:tc>
        <w:tc>
          <w:tcPr>
            <w:tcW w:w="8900" w:type="dxa"/>
          </w:tcPr>
          <w:p w14:paraId="4DCCCA2D" w14:textId="77777777" w:rsidR="008B5BB2" w:rsidRPr="002C7415" w:rsidRDefault="008B5BB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Knowledge Transfer Activity: a training session, walkthrough, documentation handoff, or similar event identified in the agreed scope as required to transfer operational knowledge from the Contractor to the Department and/or the Successor Contractor. Knowledge Domain: a defined area of Contractor knowledge to be transferred, such as M&amp;O, DDI, System Architecture (SA), or PM. IMS: the Department-approved master schedule that reflects all project activities, including Transition-Out Knowledge Transfer activities, with the attributes required by this SLA. Mutually Agreed-Upon Scheduling Date: the calendar date, established in writing between the Contractor </w:t>
            </w:r>
            <w:r>
              <w:rPr>
                <w:rFonts w:cs="Arial"/>
                <w:szCs w:val="20"/>
              </w:rPr>
              <w:lastRenderedPageBreak/>
              <w:t>and the Department, by which all agreed Knowledge Transfer activities must be scheduled in the IMS.</w:t>
            </w:r>
          </w:p>
        </w:tc>
      </w:tr>
      <w:tr w:rsidR="008B5BB2" w:rsidRPr="002C7415" w14:paraId="323C58E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824844C" w14:textId="77777777" w:rsidR="008B5BB2" w:rsidRPr="002C7415" w:rsidRDefault="008B5BB2" w:rsidP="00DB06F0">
            <w:pPr>
              <w:rPr>
                <w:rFonts w:cs="Arial"/>
                <w:b w:val="0"/>
                <w:bCs w:val="0"/>
                <w:szCs w:val="20"/>
              </w:rPr>
            </w:pPr>
            <w:r>
              <w:rPr>
                <w:rFonts w:cs="Arial"/>
                <w:szCs w:val="20"/>
              </w:rPr>
              <w:lastRenderedPageBreak/>
              <w:t>Exclusions</w:t>
            </w:r>
          </w:p>
        </w:tc>
        <w:tc>
          <w:tcPr>
            <w:tcW w:w="8900" w:type="dxa"/>
          </w:tcPr>
          <w:p w14:paraId="0BF4325A" w14:textId="77777777" w:rsidR="008B5BB2" w:rsidRPr="002C7415" w:rsidRDefault="008B5BB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Scheduling delays caused solely by the Department’s failure to identify recipients or to approve the scope of agreed activities, as evidenced by Department written communications, are excluded from this SLA. The Contractor must give the Department written notice of any such cause within two (2) business days of becoming aware of it; failure to provide timely written notice forfeits the exclusion.</w:t>
            </w:r>
          </w:p>
        </w:tc>
      </w:tr>
      <w:tr w:rsidR="008B5BB2" w:rsidRPr="002C7415" w14:paraId="22000B0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02B3DDB" w14:textId="77777777" w:rsidR="008B5BB2" w:rsidRPr="002C7415" w:rsidRDefault="008B5BB2" w:rsidP="00DB06F0">
            <w:pPr>
              <w:rPr>
                <w:rFonts w:cs="Arial"/>
                <w:b w:val="0"/>
                <w:bCs w:val="0"/>
                <w:szCs w:val="20"/>
              </w:rPr>
            </w:pPr>
            <w:r>
              <w:rPr>
                <w:rFonts w:cs="Arial"/>
                <w:szCs w:val="20"/>
              </w:rPr>
              <w:t>Process to Compile and Report SLA</w:t>
            </w:r>
          </w:p>
        </w:tc>
        <w:tc>
          <w:tcPr>
            <w:tcW w:w="8900" w:type="dxa"/>
          </w:tcPr>
          <w:p w14:paraId="25F0CD48" w14:textId="77777777" w:rsidR="008B5BB2" w:rsidRPr="002C7415" w:rsidRDefault="008B5BB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(a) confirm the mutually agreed-upon scheduling date with the Department in writing and reflect that date in the IMS; (b) on or before that date, deliver to the Department an updated IMS listing every Knowledge Transfer activity with its date and time, named Contractor resource(s), named recipient(s), Knowledge Domain, and delivery format; (c) maintain a change log documenting any subsequent date or attribute modifications, with reasons for the change and the Department’s re-approval; and (d) where scheduling is incomplete on the agreed date, submit daily status updates to the Department until scheduling is complete, listing the activities still unscheduled and the corrective actions in progress.</w:t>
            </w:r>
          </w:p>
        </w:tc>
      </w:tr>
      <w:tr w:rsidR="008B5BB2" w:rsidRPr="002C7415" w14:paraId="5976D3F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6B35358" w14:textId="77777777" w:rsidR="008B5BB2" w:rsidRPr="002C7415" w:rsidRDefault="008B5BB2" w:rsidP="00DB06F0">
            <w:pPr>
              <w:rPr>
                <w:rFonts w:cs="Arial"/>
                <w:b w:val="0"/>
                <w:bCs w:val="0"/>
                <w:szCs w:val="20"/>
              </w:rPr>
            </w:pPr>
            <w:r>
              <w:rPr>
                <w:rFonts w:cs="Arial"/>
                <w:szCs w:val="20"/>
              </w:rPr>
              <w:t>Converged E&amp;E System and AMS Service Credit</w:t>
            </w:r>
          </w:p>
        </w:tc>
        <w:tc>
          <w:tcPr>
            <w:tcW w:w="8900" w:type="dxa"/>
          </w:tcPr>
          <w:p w14:paraId="58914E54" w14:textId="77777777" w:rsidR="008B5BB2" w:rsidRPr="002C7415" w:rsidRDefault="008B5BB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 service credit of ten thousand dollars ($10,000) applies for each calendar day, or portion thereof, beyond the mutually agreed-upon scheduling date during which one or more Transition-Out Knowledge Transfer activities remain unscheduled in the IMS and continues until every agreed Knowledge Transfer activity is scheduled in the IMS with all required attributes populated.</w:t>
            </w:r>
          </w:p>
        </w:tc>
      </w:tr>
    </w:tbl>
    <w:p w14:paraId="08980B1C" w14:textId="053A40FD" w:rsidR="005867BE" w:rsidRPr="002C7415" w:rsidRDefault="005867BE" w:rsidP="005867BE">
      <w:pPr>
        <w:pStyle w:val="HeadingSLA"/>
      </w:pPr>
      <w:bookmarkStart w:id="97" w:name="_Toc230258263"/>
      <w:bookmarkStart w:id="98" w:name="_Toc233199165"/>
      <w:r>
        <w:t>Transition-Out Post-Cutover Assistance</w:t>
      </w:r>
      <w:bookmarkEnd w:id="97"/>
      <w:bookmarkEnd w:id="98"/>
    </w:p>
    <w:tbl>
      <w:tblPr>
        <w:tblStyle w:val="DOH-LeftHeader"/>
        <w:tblW w:w="4998" w:type="pct"/>
        <w:tblLayout w:type="fixed"/>
        <w:tblLook w:val="0480" w:firstRow="0" w:lastRow="0" w:firstColumn="1" w:lastColumn="0" w:noHBand="0" w:noVBand="1"/>
      </w:tblPr>
      <w:tblGrid>
        <w:gridCol w:w="1886"/>
        <w:gridCol w:w="8900"/>
      </w:tblGrid>
      <w:tr w:rsidR="005867BE" w:rsidRPr="002C7415" w14:paraId="059B74FF"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BEEE4CC" w14:textId="77777777" w:rsidR="005867BE" w:rsidRPr="002C7415" w:rsidRDefault="005867BE" w:rsidP="00DB06F0">
            <w:pPr>
              <w:rPr>
                <w:rFonts w:cs="Arial"/>
                <w:b w:val="0"/>
                <w:bCs w:val="0"/>
                <w:szCs w:val="20"/>
              </w:rPr>
            </w:pPr>
            <w:r>
              <w:rPr>
                <w:rFonts w:cs="Arial"/>
                <w:szCs w:val="20"/>
              </w:rPr>
              <w:t>Purpose</w:t>
            </w:r>
          </w:p>
        </w:tc>
        <w:tc>
          <w:tcPr>
            <w:tcW w:w="8900" w:type="dxa"/>
          </w:tcPr>
          <w:p w14:paraId="26CC45B8"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After the Successor Contractor or Department takes over, they will have questions that only the Contractor can answer. This SLA makes sure the Contractor remains responsive during this critical period, acknowledging questions quickly and providing useful answers right away to prevent delays.</w:t>
            </w:r>
          </w:p>
        </w:tc>
      </w:tr>
      <w:tr w:rsidR="005867BE" w:rsidRPr="002C7415" w14:paraId="4C3782D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7E40340" w14:textId="77777777" w:rsidR="005867BE" w:rsidRPr="002C7415" w:rsidRDefault="005867BE" w:rsidP="00DB06F0">
            <w:pPr>
              <w:rPr>
                <w:rFonts w:cs="Arial"/>
                <w:b w:val="0"/>
                <w:bCs w:val="0"/>
                <w:szCs w:val="20"/>
              </w:rPr>
            </w:pPr>
            <w:r>
              <w:rPr>
                <w:rFonts w:cs="Arial"/>
                <w:szCs w:val="20"/>
              </w:rPr>
              <w:t>Specification</w:t>
            </w:r>
          </w:p>
        </w:tc>
        <w:tc>
          <w:tcPr>
            <w:tcW w:w="8900" w:type="dxa"/>
          </w:tcPr>
          <w:p w14:paraId="415D72F6" w14:textId="77777777" w:rsidR="005867BE"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When the Successor Contractor or Department submits an inquiry to the Contractor during the Transition-Out and Hypercare Periods, the Contractor must do two (2) things. </w:t>
            </w:r>
          </w:p>
          <w:p w14:paraId="3910107F" w14:textId="77777777" w:rsidR="005867BE" w:rsidRDefault="005867BE" w:rsidP="00DB06F0">
            <w:pPr>
              <w:pStyle w:val="TableBullet"/>
              <w:cnfStyle w:val="000000010000" w:firstRow="0" w:lastRow="0" w:firstColumn="0" w:lastColumn="0" w:oddVBand="0" w:evenVBand="0" w:oddHBand="0" w:evenHBand="1" w:firstRowFirstColumn="0" w:firstRowLastColumn="0" w:lastRowFirstColumn="0" w:lastRowLastColumn="0"/>
            </w:pPr>
            <w:r>
              <w:t xml:space="preserve">Acknowledge receipt of the inquiry via email (or other reciprocal written channel approved by the Department) within one (1) business day of the original inquiry timestamp. The acknowledgment must reference the inquiry, identify the assigned Contractor staff contact, and confirm that the inquiry is being worked. </w:t>
            </w:r>
          </w:p>
          <w:p w14:paraId="3855BCC4" w14:textId="77777777" w:rsidR="005867BE" w:rsidRPr="00DB5CF1" w:rsidRDefault="005867BE" w:rsidP="00DB06F0">
            <w:pPr>
              <w:pStyle w:val="TableBullet"/>
              <w:cnfStyle w:val="000000010000" w:firstRow="0" w:lastRow="0" w:firstColumn="0" w:lastColumn="0" w:oddVBand="0" w:evenVBand="0" w:oddHBand="0" w:evenHBand="1" w:firstRowFirstColumn="0" w:firstRowLastColumn="0" w:lastRowFirstColumn="0" w:lastRowLastColumn="0"/>
            </w:pPr>
            <w:r>
              <w:t>Within one (1) business day of acknowledging the inquiry, the Contractor must respond with substantive guidance, including clear next steps and recommendations for a resolution acceptable to the Department. Responses must be retained as part of the inquiry record for audit.</w:t>
            </w:r>
          </w:p>
        </w:tc>
      </w:tr>
      <w:tr w:rsidR="005867BE" w:rsidRPr="002C7415" w14:paraId="7F9F56E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8A46C6C" w14:textId="77777777" w:rsidR="005867BE" w:rsidRPr="002C7415" w:rsidRDefault="005867BE" w:rsidP="00DB06F0">
            <w:pPr>
              <w:rPr>
                <w:rFonts w:cs="Arial"/>
                <w:b w:val="0"/>
                <w:bCs w:val="0"/>
                <w:szCs w:val="20"/>
              </w:rPr>
            </w:pPr>
            <w:r>
              <w:rPr>
                <w:rFonts w:cs="Arial"/>
                <w:szCs w:val="20"/>
              </w:rPr>
              <w:t>Service Level</w:t>
            </w:r>
          </w:p>
        </w:tc>
        <w:tc>
          <w:tcPr>
            <w:tcW w:w="8900" w:type="dxa"/>
          </w:tcPr>
          <w:p w14:paraId="26E022AF"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Successor Contractor and Department inquiries received during the Transition-Out and Hypercare Periods must be acknowledged within one (1) business day of the original inquiry timestamp, and the Contractor must provide clear, Department-acceptable guidance on next steps and recommendations within one (1) business day of that acknowledgment. Compliance is evaluated independently per inquiry.</w:t>
            </w:r>
          </w:p>
        </w:tc>
      </w:tr>
      <w:tr w:rsidR="005867BE" w:rsidRPr="002C7415" w14:paraId="2ABAF19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ED6F3FB" w14:textId="77777777" w:rsidR="005867BE" w:rsidRPr="002C7415" w:rsidRDefault="005867BE" w:rsidP="00DB06F0">
            <w:pPr>
              <w:rPr>
                <w:rFonts w:cs="Arial"/>
                <w:b w:val="0"/>
                <w:bCs w:val="0"/>
                <w:szCs w:val="20"/>
              </w:rPr>
            </w:pPr>
            <w:r>
              <w:rPr>
                <w:rFonts w:cs="Arial"/>
                <w:szCs w:val="20"/>
              </w:rPr>
              <w:t>Notes</w:t>
            </w:r>
          </w:p>
        </w:tc>
        <w:tc>
          <w:tcPr>
            <w:tcW w:w="8900" w:type="dxa"/>
          </w:tcPr>
          <w:p w14:paraId="375AA00D"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maintain a single point of intake for Successor Contractor and Department inquiries and a designated point of contact responsible for tracking acknowledgments, responses, and SLA compliance. If a Successor Contractor or Department inquiry is later determined to be out of scope, the Contractor must still acknowledge it within the required window and document the scope determination as part of the response. The Department retains sole discretion to determine whether the guidance provided is acceptable.</w:t>
            </w:r>
          </w:p>
        </w:tc>
      </w:tr>
      <w:tr w:rsidR="005867BE" w:rsidRPr="002C7415" w14:paraId="4C4D57FF"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0D2B951" w14:textId="77777777" w:rsidR="005867BE" w:rsidRPr="002C7415" w:rsidRDefault="005867BE" w:rsidP="00DB06F0">
            <w:pPr>
              <w:rPr>
                <w:rFonts w:cs="Arial"/>
                <w:b w:val="0"/>
                <w:bCs w:val="0"/>
                <w:szCs w:val="20"/>
              </w:rPr>
            </w:pPr>
            <w:r>
              <w:rPr>
                <w:rFonts w:cs="Arial"/>
                <w:szCs w:val="20"/>
              </w:rPr>
              <w:t>Reporting Frequency</w:t>
            </w:r>
          </w:p>
        </w:tc>
        <w:tc>
          <w:tcPr>
            <w:tcW w:w="8900" w:type="dxa"/>
          </w:tcPr>
          <w:p w14:paraId="0F1C509D"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Weekly. Inquiry intake, acknowledgment, and response times are tracked continuously. Transition-Out Weekly Status Reports are submitted to the Department weekly during the Transition-Out and post-Transition Cutover assistance Periods, summarizing all open and closed </w:t>
            </w:r>
            <w:r>
              <w:rPr>
                <w:rFonts w:cs="Arial"/>
                <w:szCs w:val="20"/>
              </w:rPr>
              <w:lastRenderedPageBreak/>
              <w:t>inquiries with their compliance status. SLA is effective during the Transition-Out and Hypercare Periods.</w:t>
            </w:r>
          </w:p>
        </w:tc>
      </w:tr>
      <w:tr w:rsidR="005867BE" w:rsidRPr="002C7415" w14:paraId="108FDAD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E35BDFC" w14:textId="77777777" w:rsidR="005867BE" w:rsidRPr="002C7415" w:rsidRDefault="005867BE" w:rsidP="00DB06F0">
            <w:pPr>
              <w:rPr>
                <w:rFonts w:cs="Arial"/>
                <w:szCs w:val="20"/>
              </w:rPr>
            </w:pPr>
            <w:r>
              <w:rPr>
                <w:rFonts w:cs="Arial"/>
                <w:szCs w:val="20"/>
              </w:rPr>
              <w:lastRenderedPageBreak/>
              <w:t>SLA Calculations</w:t>
            </w:r>
          </w:p>
        </w:tc>
        <w:tc>
          <w:tcPr>
            <w:tcW w:w="8900" w:type="dxa"/>
          </w:tcPr>
          <w:p w14:paraId="7EC6390C"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SLA compliance is evaluated using different clocks for each inquiry.</w:t>
            </w:r>
          </w:p>
          <w:p w14:paraId="15876CA9"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Acknowledgment Clock</w:t>
            </w:r>
            <w:r>
              <w:rPr>
                <w:rFonts w:cs="Arial"/>
                <w:szCs w:val="20"/>
              </w:rPr>
              <w:t>: Starts when the inquiry is sent. A service credit applies if the acknowledgment is not sent within one business day from receipt of the request.</w:t>
            </w:r>
          </w:p>
          <w:p w14:paraId="07604712" w14:textId="77777777" w:rsidR="005867BE"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Response Clock</w:t>
            </w:r>
            <w:r>
              <w:rPr>
                <w:rFonts w:cs="Arial"/>
                <w:szCs w:val="20"/>
              </w:rPr>
              <w:t xml:space="preserve">: Starts when the acknowledgment is sent. </w:t>
            </w:r>
          </w:p>
          <w:p w14:paraId="13932F72"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An additional separate service credit applies if acceptable guidance is not provided within one (1) business day of the acknowledgment.</w:t>
            </w:r>
          </w:p>
        </w:tc>
      </w:tr>
      <w:tr w:rsidR="005867BE" w:rsidRPr="002C7415" w14:paraId="62268FA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9CB4D4F" w14:textId="77777777" w:rsidR="005867BE" w:rsidRPr="002C7415" w:rsidRDefault="005867BE" w:rsidP="00DB06F0">
            <w:pPr>
              <w:rPr>
                <w:rFonts w:cs="Arial"/>
                <w:b w:val="0"/>
                <w:bCs w:val="0"/>
                <w:szCs w:val="20"/>
              </w:rPr>
            </w:pPr>
            <w:r>
              <w:rPr>
                <w:rFonts w:cs="Arial"/>
                <w:szCs w:val="20"/>
              </w:rPr>
              <w:t>SLA Calculations Definitions</w:t>
            </w:r>
          </w:p>
        </w:tc>
        <w:tc>
          <w:tcPr>
            <w:tcW w:w="8900" w:type="dxa"/>
          </w:tcPr>
          <w:p w14:paraId="0761BC6D" w14:textId="77777777" w:rsidR="005867BE"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Inquiry:</w:t>
            </w:r>
            <w:r>
              <w:rPr>
                <w:rFonts w:cs="Arial"/>
                <w:szCs w:val="20"/>
              </w:rPr>
              <w:t xml:space="preserve"> A written or reciprocal written request from the Successor Contractor or Department seeking information, clarification, or guidance regarding the system, operations, or prior Contractor work. </w:t>
            </w:r>
          </w:p>
          <w:p w14:paraId="4B86444A" w14:textId="77777777" w:rsidR="005867BE"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Original Inquiry Timestamp:</w:t>
            </w:r>
            <w:r>
              <w:rPr>
                <w:rFonts w:cs="Arial"/>
                <w:szCs w:val="20"/>
              </w:rPr>
              <w:t xml:space="preserve"> The date and time the inquiry was sent by the Successor Contractor or Department as evidenced by the sender’s record.</w:t>
            </w:r>
          </w:p>
          <w:p w14:paraId="78F6A88A" w14:textId="77777777" w:rsidR="005867BE"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Acknowledgment:</w:t>
            </w:r>
            <w:r>
              <w:rPr>
                <w:rFonts w:cs="Arial"/>
                <w:szCs w:val="20"/>
              </w:rPr>
              <w:t xml:space="preserve"> A written email or reciprocal written response containing, at a minimum, the date and timestamp of the original inquiry, an acknowledgment of the inquiry, follow-up questions if applicable, and the assigned Contractor staff contact or contacts. </w:t>
            </w:r>
          </w:p>
          <w:p w14:paraId="29ACB849"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Acceptable Guidance:</w:t>
            </w:r>
            <w:r>
              <w:rPr>
                <w:rFonts w:cs="Arial"/>
                <w:szCs w:val="20"/>
              </w:rPr>
              <w:t xml:space="preserve"> Clear next steps and recommendations for a resolution that the Department determines to be acceptable.</w:t>
            </w:r>
          </w:p>
        </w:tc>
      </w:tr>
      <w:tr w:rsidR="005867BE" w:rsidRPr="002C7415" w14:paraId="5913F4C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C60D56C" w14:textId="77777777" w:rsidR="005867BE" w:rsidRPr="002C7415" w:rsidRDefault="005867BE" w:rsidP="00DB06F0">
            <w:pPr>
              <w:rPr>
                <w:rFonts w:cs="Arial"/>
                <w:b w:val="0"/>
                <w:bCs w:val="0"/>
                <w:szCs w:val="20"/>
              </w:rPr>
            </w:pPr>
            <w:r>
              <w:rPr>
                <w:rFonts w:cs="Arial"/>
                <w:szCs w:val="20"/>
              </w:rPr>
              <w:t>Exclusions</w:t>
            </w:r>
          </w:p>
        </w:tc>
        <w:tc>
          <w:tcPr>
            <w:tcW w:w="8900" w:type="dxa"/>
          </w:tcPr>
          <w:p w14:paraId="29E88A72"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Inquiries withdrawn by the Successor Contractor or Department in writing prior to the acknowledgment or guidance deadline are excluded. Delays caused by missing or incomplete information from the Successor Contractor or Department, where the Contractor has documented a request for clarification within the original SLA window, are excluded to the extent the Contractor can demonstrate the cause through verifiable records. Department-acknowledged emergencies or force majeure events are excluded.</w:t>
            </w:r>
          </w:p>
        </w:tc>
      </w:tr>
      <w:tr w:rsidR="005867BE" w:rsidRPr="002C7415" w14:paraId="20584CE5"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DA26D6D" w14:textId="77777777" w:rsidR="005867BE" w:rsidRPr="002C7415" w:rsidRDefault="005867BE" w:rsidP="00DB06F0">
            <w:pPr>
              <w:rPr>
                <w:rFonts w:cs="Arial"/>
                <w:b w:val="0"/>
                <w:bCs w:val="0"/>
                <w:szCs w:val="20"/>
              </w:rPr>
            </w:pPr>
            <w:r>
              <w:rPr>
                <w:rFonts w:cs="Arial"/>
                <w:szCs w:val="20"/>
              </w:rPr>
              <w:t>Process to Compile and Report SLA</w:t>
            </w:r>
          </w:p>
        </w:tc>
        <w:tc>
          <w:tcPr>
            <w:tcW w:w="8900" w:type="dxa"/>
          </w:tcPr>
          <w:p w14:paraId="0B4CE776"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an inquiry register capturing, for each inquiry: unique inquiry identifier; Successor Contractor or Department source and submitter; original inquiry timestamp; acknowledgment timestamp; acknowledgment recipients and assigned Contractor staff contact; guidance response timestamp; nature of the guidance provided; Department acceptance of the guidance (where applicable); and current status (open, awaiting Successor Contractor or Department, closed). Supporting evidence (email threads, ticket logs, file references) must be retained. The weekly Transition-Out Weekly Status Reports submitted to the Department must list all inquiries received and closed during the reporting period, calculated acknowledgment and guidance compliance per inquiry, and identification of any non-compliance events with elapsed time.</w:t>
            </w:r>
          </w:p>
        </w:tc>
      </w:tr>
      <w:tr w:rsidR="005867BE" w:rsidRPr="002C7415" w14:paraId="7EC7AF3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68ABB6A" w14:textId="77777777" w:rsidR="005867BE" w:rsidRPr="002C7415" w:rsidRDefault="005867BE" w:rsidP="00DB06F0">
            <w:pPr>
              <w:rPr>
                <w:rFonts w:cs="Arial"/>
                <w:b w:val="0"/>
                <w:bCs w:val="0"/>
                <w:szCs w:val="20"/>
              </w:rPr>
            </w:pPr>
            <w:r>
              <w:rPr>
                <w:rFonts w:cs="Arial"/>
                <w:szCs w:val="20"/>
              </w:rPr>
              <w:t>Converged E&amp;E System and AMS Service Credit</w:t>
            </w:r>
          </w:p>
        </w:tc>
        <w:tc>
          <w:tcPr>
            <w:tcW w:w="8900" w:type="dxa"/>
          </w:tcPr>
          <w:p w14:paraId="4344C3A0" w14:textId="77777777" w:rsidR="005867BE"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Acknowledgement (Initial Service Credit):</w:t>
            </w:r>
            <w:r>
              <w:rPr>
                <w:rFonts w:cs="Arial"/>
                <w:szCs w:val="20"/>
              </w:rPr>
              <w:t xml:space="preserve"> For each unique Successor Contractor or Department inquiry not acknowledged within one (1) business day of the original inquiry timestamp, a service credit of one thousand dollars ($1,000) applies per inquiry, with an additional one thousand dollars ($1,000) per additional business day, or portion thereof, until acknowledgment is provided. </w:t>
            </w:r>
          </w:p>
          <w:p w14:paraId="40119D2D"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Response (Additional Service Credit):</w:t>
            </w:r>
            <w:r>
              <w:rPr>
                <w:rFonts w:cs="Arial"/>
                <w:szCs w:val="20"/>
              </w:rPr>
              <w:t xml:space="preserve"> For each unique inquiry where Department-acceptable guidance on next steps and recommendations is not provided within one (1) business day of acknowledgment, a service credit of one thousand dollars ($1,000) applies per inquiry per business day, or portion thereof, until acceptable guidance is delivered.</w:t>
            </w:r>
          </w:p>
        </w:tc>
      </w:tr>
    </w:tbl>
    <w:p w14:paraId="44FA1F35" w14:textId="26DBEAE0" w:rsidR="005867BE" w:rsidRPr="002C7415" w:rsidRDefault="005867BE" w:rsidP="005867BE">
      <w:pPr>
        <w:pStyle w:val="HeadingSLA"/>
      </w:pPr>
      <w:bookmarkStart w:id="99" w:name="_Toc230258264"/>
      <w:bookmarkStart w:id="100" w:name="_Toc233199166"/>
      <w:r>
        <w:t>Transition-Out Duration</w:t>
      </w:r>
      <w:bookmarkEnd w:id="99"/>
      <w:bookmarkEnd w:id="100"/>
    </w:p>
    <w:tbl>
      <w:tblPr>
        <w:tblStyle w:val="DOH-LeftHeader"/>
        <w:tblW w:w="4998" w:type="pct"/>
        <w:tblLayout w:type="fixed"/>
        <w:tblLook w:val="0480" w:firstRow="0" w:lastRow="0" w:firstColumn="1" w:lastColumn="0" w:noHBand="0" w:noVBand="1"/>
      </w:tblPr>
      <w:tblGrid>
        <w:gridCol w:w="1886"/>
        <w:gridCol w:w="8900"/>
      </w:tblGrid>
      <w:tr w:rsidR="005867BE" w:rsidRPr="002C7415" w14:paraId="2E9FF9D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A8C046D" w14:textId="77777777" w:rsidR="005867BE" w:rsidRPr="002C7415" w:rsidRDefault="005867BE" w:rsidP="00DB06F0">
            <w:pPr>
              <w:rPr>
                <w:rFonts w:cs="Arial"/>
                <w:b w:val="0"/>
                <w:bCs w:val="0"/>
                <w:szCs w:val="20"/>
              </w:rPr>
            </w:pPr>
            <w:r>
              <w:rPr>
                <w:rFonts w:cs="Arial"/>
                <w:szCs w:val="20"/>
              </w:rPr>
              <w:t>Purpose</w:t>
            </w:r>
          </w:p>
        </w:tc>
        <w:tc>
          <w:tcPr>
            <w:tcW w:w="8900" w:type="dxa"/>
          </w:tcPr>
          <w:p w14:paraId="7892B112"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protects the time the Department and the Successor Contractor need to take over the work cleanly. A rushed Transition-Out leaves knowledge un-transferred, documentation half-finished, and operations exposed at cutover. Requiring at least twelve (12) months of Transition-</w:t>
            </w:r>
            <w:r>
              <w:rPr>
                <w:rFonts w:cs="Arial"/>
                <w:szCs w:val="20"/>
              </w:rPr>
              <w:lastRenderedPageBreak/>
              <w:t>Out, with the final two (2) months as Post-Cutover Assistance, ensures that the handoff is thorough, and the Successor is supported through Hypercare.</w:t>
            </w:r>
          </w:p>
        </w:tc>
      </w:tr>
      <w:tr w:rsidR="005867BE" w:rsidRPr="002C7415" w14:paraId="6C26EA4A"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A3FD7E9" w14:textId="77777777" w:rsidR="005867BE" w:rsidRPr="002C7415" w:rsidRDefault="005867BE" w:rsidP="00DB06F0">
            <w:pPr>
              <w:rPr>
                <w:rFonts w:cs="Arial"/>
                <w:b w:val="0"/>
                <w:bCs w:val="0"/>
                <w:szCs w:val="20"/>
              </w:rPr>
            </w:pPr>
            <w:r>
              <w:rPr>
                <w:rFonts w:cs="Arial"/>
                <w:szCs w:val="20"/>
              </w:rPr>
              <w:lastRenderedPageBreak/>
              <w:t>Specification</w:t>
            </w:r>
          </w:p>
        </w:tc>
        <w:tc>
          <w:tcPr>
            <w:tcW w:w="8900" w:type="dxa"/>
          </w:tcPr>
          <w:p w14:paraId="0E4AF1B2"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Contractor’s Transition-Out period must begin no less than eleven (11) months prior to the official Contract Close-Out period end date, as agreed in writing with the Department, and must include a Post-Cutover Assistance period that occupies the final two (2) months of the Transition-Out period. The Contractor may not initiate Transition-Out late, compress Transition-Out below the eleven (11) month duration, or shorten the Post-Cutover Assistance period below two (2) months unless the Department has approved a different duration in writing in advance.</w:t>
            </w:r>
          </w:p>
        </w:tc>
      </w:tr>
      <w:tr w:rsidR="005867BE" w:rsidRPr="002C7415" w14:paraId="038C159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BF714AA" w14:textId="77777777" w:rsidR="005867BE" w:rsidRPr="002C7415" w:rsidRDefault="005867BE" w:rsidP="00DB06F0">
            <w:pPr>
              <w:rPr>
                <w:rFonts w:cs="Arial"/>
                <w:b w:val="0"/>
                <w:bCs w:val="0"/>
                <w:szCs w:val="20"/>
              </w:rPr>
            </w:pPr>
            <w:r>
              <w:rPr>
                <w:rFonts w:cs="Arial"/>
                <w:szCs w:val="20"/>
              </w:rPr>
              <w:t>Service Level</w:t>
            </w:r>
          </w:p>
        </w:tc>
        <w:tc>
          <w:tcPr>
            <w:tcW w:w="8900" w:type="dxa"/>
          </w:tcPr>
          <w:p w14:paraId="40E09A4B"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Transition-Out period must be at least eleven (11) months in duration, starting no less than eleven (11) months prior to the Contract Close-Out period end date. The final two (2) months of the Transition-Out period must be designated as the Post-Cutover Assistance period. Compliance is measured against the start date, the duration, and the placement of the Post-Cutover Assistance period.</w:t>
            </w:r>
          </w:p>
        </w:tc>
      </w:tr>
      <w:tr w:rsidR="005867BE" w:rsidRPr="002C7415" w14:paraId="7AECEAE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0256D11" w14:textId="77777777" w:rsidR="005867BE" w:rsidRPr="002C7415" w:rsidRDefault="005867BE" w:rsidP="00DB06F0">
            <w:pPr>
              <w:rPr>
                <w:rFonts w:cs="Arial"/>
                <w:b w:val="0"/>
                <w:bCs w:val="0"/>
                <w:szCs w:val="20"/>
              </w:rPr>
            </w:pPr>
            <w:r>
              <w:rPr>
                <w:rFonts w:cs="Arial"/>
                <w:szCs w:val="20"/>
              </w:rPr>
              <w:t>Notes</w:t>
            </w:r>
          </w:p>
        </w:tc>
        <w:tc>
          <w:tcPr>
            <w:tcW w:w="8900" w:type="dxa"/>
          </w:tcPr>
          <w:p w14:paraId="26D600E4"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Transition-Out start date and end date, and the start and end of the Post-Cutover Assistance period, must be documented in writing with the Department prior to the start of Transition-Out. Any request to deviate from the twelve-month duration or the two-month Post-Cutover Assistance window requires written Department approval in advance of the affected date. The Contractor must designate a single point of contact responsible for tracking Transition-Out duration milestones under this SLA.</w:t>
            </w:r>
          </w:p>
        </w:tc>
      </w:tr>
      <w:tr w:rsidR="005867BE" w:rsidRPr="002C7415" w14:paraId="56DEE50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DFC1247" w14:textId="77777777" w:rsidR="005867BE" w:rsidRPr="002C7415" w:rsidRDefault="005867BE" w:rsidP="00DB06F0">
            <w:pPr>
              <w:rPr>
                <w:rFonts w:cs="Arial"/>
                <w:b w:val="0"/>
                <w:bCs w:val="0"/>
                <w:szCs w:val="20"/>
              </w:rPr>
            </w:pPr>
            <w:r>
              <w:rPr>
                <w:rFonts w:cs="Arial"/>
                <w:szCs w:val="20"/>
              </w:rPr>
              <w:t>Reporting Frequency</w:t>
            </w:r>
          </w:p>
        </w:tc>
        <w:tc>
          <w:tcPr>
            <w:tcW w:w="8900" w:type="dxa"/>
          </w:tcPr>
          <w:p w14:paraId="7A562BE5"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Transition-Out duration milestones are tracked continuously and reported in the Contractor’s weekly Transition-Out status report. A final Transition-Out Weekly Status Report is submitted to the Department at the end of the Transition-Out period. SLA is effective during the Transition-Out Period.</w:t>
            </w:r>
          </w:p>
        </w:tc>
      </w:tr>
      <w:tr w:rsidR="005867BE" w:rsidRPr="002C7415" w14:paraId="0C8CA0A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0043819" w14:textId="77777777" w:rsidR="005867BE" w:rsidRPr="002C7415" w:rsidRDefault="005867BE" w:rsidP="00DB06F0">
            <w:pPr>
              <w:rPr>
                <w:rFonts w:cs="Arial"/>
                <w:szCs w:val="20"/>
              </w:rPr>
            </w:pPr>
            <w:r>
              <w:rPr>
                <w:rFonts w:cs="Arial"/>
                <w:szCs w:val="20"/>
              </w:rPr>
              <w:t>SLA Calculations</w:t>
            </w:r>
          </w:p>
        </w:tc>
        <w:tc>
          <w:tcPr>
            <w:tcW w:w="8900" w:type="dxa"/>
          </w:tcPr>
          <w:p w14:paraId="7CE8DDA9"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evaluated against the documented Transition-Out start date, end date, and Post-Cutover Assistance window. A shortfall is calculated as the number of calendar days, or portions thereof, by which the actual Transition-Out duration is less than eleven (11) months, or by which the actual Post-Cutover Assistance period is less than two (2) months, unless covered by written Department approval. The service credit applies per calendar day, or portion thereof, of shortfall.</w:t>
            </w:r>
          </w:p>
        </w:tc>
      </w:tr>
      <w:tr w:rsidR="005867BE" w:rsidRPr="002C7415" w14:paraId="12FB74B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9FBA459" w14:textId="77777777" w:rsidR="005867BE" w:rsidRPr="002C7415" w:rsidRDefault="005867BE" w:rsidP="00DB06F0">
            <w:pPr>
              <w:rPr>
                <w:rFonts w:cs="Arial"/>
                <w:b w:val="0"/>
                <w:bCs w:val="0"/>
                <w:szCs w:val="20"/>
              </w:rPr>
            </w:pPr>
            <w:r>
              <w:rPr>
                <w:rFonts w:cs="Arial"/>
                <w:szCs w:val="20"/>
              </w:rPr>
              <w:t>SLA Calculations Definitions</w:t>
            </w:r>
          </w:p>
        </w:tc>
        <w:tc>
          <w:tcPr>
            <w:tcW w:w="8900" w:type="dxa"/>
          </w:tcPr>
          <w:p w14:paraId="15DCABF9" w14:textId="77777777" w:rsidR="005867BE"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Transition-Out Period</w:t>
            </w:r>
            <w:r>
              <w:rPr>
                <w:rFonts w:cs="Arial"/>
                <w:szCs w:val="20"/>
              </w:rPr>
              <w:t xml:space="preserve">: The period beginning at the Transition-Out start date and ending at the Contract Close-Out period end date. Post-Cutover Assistance Period: The final two (2) months of the Transition-Out period, during which the Contractor provides assistance to the Successor Contractor and the Department. Contract Close-Out Period End Date: The end date of the Contract, as documented with the Department. </w:t>
            </w:r>
          </w:p>
          <w:p w14:paraId="4DBE276E"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Department-Approved Deviation</w:t>
            </w:r>
            <w:r>
              <w:rPr>
                <w:rFonts w:cs="Arial"/>
                <w:szCs w:val="20"/>
              </w:rPr>
              <w:t>: A written Department approval of a Transition-Out start date, duration, or Post-Cutover Assistance window other than the default required by this SLA, issued prior to the affected date.</w:t>
            </w:r>
          </w:p>
        </w:tc>
      </w:tr>
      <w:tr w:rsidR="005867BE" w:rsidRPr="002C7415" w14:paraId="63AF76F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3BA3EF7" w14:textId="77777777" w:rsidR="005867BE" w:rsidRPr="002C7415" w:rsidRDefault="005867BE" w:rsidP="00DB06F0">
            <w:pPr>
              <w:rPr>
                <w:rFonts w:cs="Arial"/>
                <w:b w:val="0"/>
                <w:bCs w:val="0"/>
                <w:szCs w:val="20"/>
              </w:rPr>
            </w:pPr>
            <w:r>
              <w:rPr>
                <w:rFonts w:cs="Arial"/>
                <w:szCs w:val="20"/>
              </w:rPr>
              <w:t>Exclusions</w:t>
            </w:r>
          </w:p>
        </w:tc>
        <w:tc>
          <w:tcPr>
            <w:tcW w:w="8900" w:type="dxa"/>
          </w:tcPr>
          <w:p w14:paraId="2B0E6E70"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Any deviation from the twelve-month Transition-Out duration or the two-month Post-Cutover Assistance window that is approved in writing by the Department prior to the affected date is excluded from this SLA to the extent of that approval. Delays caused solely by Department actions, when acknowledged in writing by the Department, are also excluded.</w:t>
            </w:r>
          </w:p>
        </w:tc>
      </w:tr>
      <w:tr w:rsidR="005867BE" w:rsidRPr="002C7415" w14:paraId="3D7D536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D737EA7" w14:textId="77777777" w:rsidR="005867BE" w:rsidRPr="002C7415" w:rsidRDefault="005867BE" w:rsidP="00DB06F0">
            <w:pPr>
              <w:rPr>
                <w:rFonts w:cs="Arial"/>
                <w:b w:val="0"/>
                <w:bCs w:val="0"/>
                <w:szCs w:val="20"/>
              </w:rPr>
            </w:pPr>
            <w:r>
              <w:rPr>
                <w:rFonts w:cs="Arial"/>
                <w:szCs w:val="20"/>
              </w:rPr>
              <w:t>Process to Compile and Report SLA</w:t>
            </w:r>
          </w:p>
        </w:tc>
        <w:tc>
          <w:tcPr>
            <w:tcW w:w="8900" w:type="dxa"/>
          </w:tcPr>
          <w:p w14:paraId="32CEAADB"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consolidate all documentation supporting the Transition-Out duration in a final Transition-Out Weekly Status Report is submitted to the Department for validation. The report must include: the date the Transition-Out period was formally initiated; proof of the event that triggered the start (Department sign-off, milestone completion, or equivalent); the start and end dates of the Post-Cutover Assistance period; the proposed Transition-Out end date and the Department’s acknowledgment or approval of that date; any Department-approved deviations; and the actual Transition-Out end date. Supporting evidence (signed acknowledgments, emails, meeting minutes) must be retained for audit.</w:t>
            </w:r>
          </w:p>
        </w:tc>
      </w:tr>
      <w:tr w:rsidR="005867BE" w:rsidRPr="002C7415" w14:paraId="01B9583D"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BF5409B" w14:textId="77777777" w:rsidR="005867BE" w:rsidRPr="002C7415" w:rsidRDefault="005867BE" w:rsidP="00DB06F0">
            <w:pPr>
              <w:rPr>
                <w:rFonts w:cs="Arial"/>
                <w:b w:val="0"/>
                <w:bCs w:val="0"/>
                <w:szCs w:val="20"/>
              </w:rPr>
            </w:pPr>
            <w:r>
              <w:rPr>
                <w:rFonts w:cs="Arial"/>
                <w:szCs w:val="20"/>
              </w:rPr>
              <w:lastRenderedPageBreak/>
              <w:t>Converged E&amp;E System and AMS Service Credit</w:t>
            </w:r>
          </w:p>
        </w:tc>
        <w:tc>
          <w:tcPr>
            <w:tcW w:w="8900" w:type="dxa"/>
          </w:tcPr>
          <w:p w14:paraId="5ABC37E6"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the Contractor fails to comply with the eleven (11) month Transition-Out duration or fails to provide the required two (2) month Post-Cutover Assistance window, and no prior written Department approval covers the deviation, a service credit of ten thousand dollars ($10,000) applies per calendar day, or portion thereof, of the shortfall.</w:t>
            </w:r>
          </w:p>
        </w:tc>
      </w:tr>
    </w:tbl>
    <w:p w14:paraId="7A8BDDB3" w14:textId="5DCE595B" w:rsidR="005867BE" w:rsidRPr="002C7415" w:rsidRDefault="005867BE" w:rsidP="005867BE">
      <w:pPr>
        <w:pStyle w:val="HeadingSLA"/>
      </w:pPr>
      <w:bookmarkStart w:id="101" w:name="_Toc230258265"/>
      <w:bookmarkStart w:id="102" w:name="_Toc233199167"/>
      <w:r>
        <w:t>Transition-Out Knowledge Transfer Artifacts</w:t>
      </w:r>
      <w:bookmarkEnd w:id="101"/>
      <w:bookmarkEnd w:id="102"/>
    </w:p>
    <w:tbl>
      <w:tblPr>
        <w:tblStyle w:val="DOH-LeftHeader"/>
        <w:tblW w:w="4998" w:type="pct"/>
        <w:tblLayout w:type="fixed"/>
        <w:tblLook w:val="0480" w:firstRow="0" w:lastRow="0" w:firstColumn="1" w:lastColumn="0" w:noHBand="0" w:noVBand="1"/>
      </w:tblPr>
      <w:tblGrid>
        <w:gridCol w:w="1886"/>
        <w:gridCol w:w="8900"/>
      </w:tblGrid>
      <w:tr w:rsidR="005867BE" w:rsidRPr="002C7415" w14:paraId="38CF2C4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2C526F1" w14:textId="77777777" w:rsidR="005867BE" w:rsidRPr="002C7415" w:rsidRDefault="005867BE" w:rsidP="00DB06F0">
            <w:pPr>
              <w:rPr>
                <w:rFonts w:cs="Arial"/>
                <w:b w:val="0"/>
                <w:bCs w:val="0"/>
                <w:szCs w:val="20"/>
              </w:rPr>
            </w:pPr>
            <w:r>
              <w:rPr>
                <w:rFonts w:cs="Arial"/>
                <w:szCs w:val="20"/>
              </w:rPr>
              <w:t>Purpose</w:t>
            </w:r>
          </w:p>
        </w:tc>
        <w:tc>
          <w:tcPr>
            <w:tcW w:w="8900" w:type="dxa"/>
          </w:tcPr>
          <w:p w14:paraId="4073E2C3"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Knowledge Transfer Artifacts are the durable record of how the system actually runs. Sessions and conversations during Transition-Out are valuable, but the Successor Contractor and the Department will be operating from the written artifacts for years afterward. This SLA requires that artifacts across M&amp;O, DDI, SA, and PM be complete, accurate, and Department-approved at least thirty (30) calendar days before Transition-Out begins, with a tight timeline for correcting any issues the Department finds.</w:t>
            </w:r>
          </w:p>
        </w:tc>
      </w:tr>
      <w:tr w:rsidR="005867BE" w:rsidRPr="002C7415" w14:paraId="380D79FC"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EE38187" w14:textId="77777777" w:rsidR="005867BE" w:rsidRPr="002C7415" w:rsidRDefault="005867BE" w:rsidP="00DB06F0">
            <w:pPr>
              <w:rPr>
                <w:rFonts w:cs="Arial"/>
                <w:b w:val="0"/>
                <w:bCs w:val="0"/>
                <w:szCs w:val="20"/>
              </w:rPr>
            </w:pPr>
            <w:r>
              <w:rPr>
                <w:rFonts w:cs="Arial"/>
                <w:szCs w:val="20"/>
              </w:rPr>
              <w:t>Specification</w:t>
            </w:r>
          </w:p>
        </w:tc>
        <w:tc>
          <w:tcPr>
            <w:tcW w:w="8900" w:type="dxa"/>
          </w:tcPr>
          <w:p w14:paraId="78ED0609"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provide complete and accurate Transition-Out Artifacts covering all current M&amp;O, DDI, SA, and PM artifacts, including deliverables, processes, workflows, reports, plans, and technical details, plus any additional artifacts the Department defines. The Contractor must secure Department approval of the Transition-Out Artifacts at least thirty (30) calendar days in advance of the Transition-Out start date. If the Department identifies any artifact as incomplete or inaccurate based on an agreed-upon standard (e.g. DED, RFP requirements), the Contractor must rectify the issue within the lesser of five (5) business days from issue identification or one (1) month prior to the Transition-Out start date.</w:t>
            </w:r>
          </w:p>
        </w:tc>
      </w:tr>
      <w:tr w:rsidR="005867BE" w:rsidRPr="002C7415" w14:paraId="71A06E8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80D95FB" w14:textId="77777777" w:rsidR="005867BE" w:rsidRPr="002C7415" w:rsidRDefault="005867BE" w:rsidP="00DB06F0">
            <w:pPr>
              <w:rPr>
                <w:rFonts w:cs="Arial"/>
                <w:b w:val="0"/>
                <w:bCs w:val="0"/>
                <w:szCs w:val="20"/>
              </w:rPr>
            </w:pPr>
            <w:r>
              <w:rPr>
                <w:rFonts w:cs="Arial"/>
                <w:szCs w:val="20"/>
              </w:rPr>
              <w:t>Service Level</w:t>
            </w:r>
          </w:p>
        </w:tc>
        <w:tc>
          <w:tcPr>
            <w:tcW w:w="8900" w:type="dxa"/>
          </w:tcPr>
          <w:p w14:paraId="3C3FAB6E"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required Transition-Out Artifacts across M&amp;O, DDI, SA, and PM must be Department-approved no later than thirty (30) calendar days prior to the Transition-Out start date. Any Department-identified issue on a specific artifact must be resolved to the Department’s satisfaction within the lesser of five (5) business days from issue identification or one (1) month prior to the Transition-Out start date. Compliance is evaluated per artifact.</w:t>
            </w:r>
          </w:p>
        </w:tc>
      </w:tr>
      <w:tr w:rsidR="005867BE" w:rsidRPr="002C7415" w14:paraId="35821A5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2BC3902" w14:textId="77777777" w:rsidR="005867BE" w:rsidRPr="002C7415" w:rsidRDefault="005867BE" w:rsidP="00DB06F0">
            <w:pPr>
              <w:rPr>
                <w:rFonts w:cs="Arial"/>
                <w:b w:val="0"/>
                <w:bCs w:val="0"/>
                <w:szCs w:val="20"/>
              </w:rPr>
            </w:pPr>
            <w:r>
              <w:rPr>
                <w:rFonts w:cs="Arial"/>
                <w:szCs w:val="20"/>
              </w:rPr>
              <w:t>Notes</w:t>
            </w:r>
          </w:p>
        </w:tc>
        <w:tc>
          <w:tcPr>
            <w:tcW w:w="8900" w:type="dxa"/>
          </w:tcPr>
          <w:p w14:paraId="79E3DC29"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scope of artifacts required under this SLA includes all artifacts the Department defines as in scope for Transition-Out Artifacts, in addition to the standard M&amp;O, DDI, SA, and PM categories. The Contractor must designate a single point of contact responsible for the artifacts register, issue intake, and remediation tracking. Issue identification is effective when the Department communicates the issue in writing to the Contractor.</w:t>
            </w:r>
          </w:p>
        </w:tc>
      </w:tr>
      <w:tr w:rsidR="005867BE" w:rsidRPr="002C7415" w14:paraId="34E575D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B384DFF" w14:textId="77777777" w:rsidR="005867BE" w:rsidRPr="002C7415" w:rsidRDefault="005867BE" w:rsidP="00DB06F0">
            <w:pPr>
              <w:rPr>
                <w:rFonts w:cs="Arial"/>
                <w:b w:val="0"/>
                <w:bCs w:val="0"/>
                <w:szCs w:val="20"/>
              </w:rPr>
            </w:pPr>
            <w:r>
              <w:rPr>
                <w:rFonts w:cs="Arial"/>
                <w:szCs w:val="20"/>
              </w:rPr>
              <w:t>Reporting Frequency</w:t>
            </w:r>
          </w:p>
        </w:tc>
        <w:tc>
          <w:tcPr>
            <w:tcW w:w="8900" w:type="dxa"/>
          </w:tcPr>
          <w:p w14:paraId="1A150ECC"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Artifact status is tracked continuously and reported in the Contractor’s weekly Transition-Out Weekly Status Report, beginning no later than ninety (90) calendar days prior to the planned Transition-Out start date. SLA is effective prior to the Transition-Out Period start date and through resolution of any identified issues.</w:t>
            </w:r>
          </w:p>
        </w:tc>
      </w:tr>
      <w:tr w:rsidR="005867BE" w:rsidRPr="002C7415" w14:paraId="152CDC8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1E56DE6" w14:textId="77777777" w:rsidR="005867BE" w:rsidRPr="002C7415" w:rsidRDefault="005867BE" w:rsidP="00DB06F0">
            <w:pPr>
              <w:rPr>
                <w:rFonts w:cs="Arial"/>
                <w:szCs w:val="20"/>
              </w:rPr>
            </w:pPr>
            <w:r>
              <w:rPr>
                <w:rFonts w:cs="Arial"/>
                <w:szCs w:val="20"/>
              </w:rPr>
              <w:t>SLA Calculations</w:t>
            </w:r>
          </w:p>
        </w:tc>
        <w:tc>
          <w:tcPr>
            <w:tcW w:w="8900" w:type="dxa"/>
          </w:tcPr>
          <w:p w14:paraId="39B5F961"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evaluated per artifact. An artifact is compliant when it has been delivered and approved by the Department no later than thirty (30) calendar days prior to the Transition-Out start date, and any subsequent Department-identified issue has been resolved within the lesser of five (5) business days from identification or one (1) month prior to the Transition-Out start date. For service credit calculation, when an artifact has not been resolved within the applicable window, the shortfall is measured in calendar days within each month past the deadline, and the service credit is prorated based on the exact number of days of delay within the month.</w:t>
            </w:r>
          </w:p>
        </w:tc>
      </w:tr>
      <w:tr w:rsidR="005867BE" w:rsidRPr="002C7415" w14:paraId="77E8ED8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513E14E" w14:textId="77777777" w:rsidR="005867BE" w:rsidRPr="002C7415" w:rsidRDefault="005867BE" w:rsidP="00DB06F0">
            <w:pPr>
              <w:rPr>
                <w:rFonts w:cs="Arial"/>
                <w:b w:val="0"/>
                <w:bCs w:val="0"/>
                <w:szCs w:val="20"/>
              </w:rPr>
            </w:pPr>
            <w:r>
              <w:rPr>
                <w:rFonts w:cs="Arial"/>
                <w:szCs w:val="20"/>
              </w:rPr>
              <w:t>SLA Calculations Definitions</w:t>
            </w:r>
          </w:p>
        </w:tc>
        <w:tc>
          <w:tcPr>
            <w:tcW w:w="8900" w:type="dxa"/>
          </w:tcPr>
          <w:p w14:paraId="16B76021" w14:textId="77777777" w:rsidR="005867BE"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Transition-Out Artifacts</w:t>
            </w:r>
            <w:r>
              <w:rPr>
                <w:rFonts w:cs="Arial"/>
                <w:szCs w:val="20"/>
              </w:rPr>
              <w:t>: The set of artifacts covering all current M&amp;O, DDI, SA, and PM work, plus any additional artifacts defined by the Department.</w:t>
            </w:r>
          </w:p>
          <w:p w14:paraId="13EF8FF5" w14:textId="77777777" w:rsidR="005867BE"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Artifact</w:t>
            </w:r>
            <w:r>
              <w:rPr>
                <w:rFonts w:cs="Arial"/>
                <w:szCs w:val="20"/>
              </w:rPr>
              <w:t>: A discrete piece of documentation identified in the Transition-Out Artifacts register.</w:t>
            </w:r>
          </w:p>
          <w:p w14:paraId="687265CB" w14:textId="77777777" w:rsidR="005867BE"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Identification Date:</w:t>
            </w:r>
            <w:r>
              <w:rPr>
                <w:rFonts w:cs="Arial"/>
                <w:szCs w:val="20"/>
              </w:rPr>
              <w:t xml:space="preserve"> The date on which the Department communicates an artifact issue in writing to the Contractor. </w:t>
            </w:r>
          </w:p>
          <w:p w14:paraId="07B81B01" w14:textId="77777777" w:rsidR="005867BE"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Resolution Window</w:t>
            </w:r>
            <w:r>
              <w:rPr>
                <w:rFonts w:cs="Arial"/>
                <w:szCs w:val="20"/>
              </w:rPr>
              <w:t xml:space="preserve">: The lesser of five (5) business days from the Identification Date or one (1) month prior to the Transition-Out start date. </w:t>
            </w:r>
          </w:p>
          <w:p w14:paraId="3CF0AB50"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Approved:</w:t>
            </w:r>
            <w:r>
              <w:rPr>
                <w:rFonts w:cs="Arial"/>
                <w:szCs w:val="20"/>
              </w:rPr>
              <w:t xml:space="preserve"> Formal Department sign-off documented in writing.</w:t>
            </w:r>
          </w:p>
        </w:tc>
      </w:tr>
      <w:tr w:rsidR="005867BE" w:rsidRPr="002C7415" w14:paraId="3DDE2A2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DEC7F13" w14:textId="77777777" w:rsidR="005867BE" w:rsidRPr="002C7415" w:rsidRDefault="005867BE" w:rsidP="00DB06F0">
            <w:pPr>
              <w:rPr>
                <w:rFonts w:cs="Arial"/>
                <w:b w:val="0"/>
                <w:bCs w:val="0"/>
                <w:szCs w:val="20"/>
              </w:rPr>
            </w:pPr>
            <w:r>
              <w:rPr>
                <w:rFonts w:cs="Arial"/>
                <w:szCs w:val="20"/>
              </w:rPr>
              <w:lastRenderedPageBreak/>
              <w:t>Exclusions</w:t>
            </w:r>
          </w:p>
        </w:tc>
        <w:tc>
          <w:tcPr>
            <w:tcW w:w="8900" w:type="dxa"/>
          </w:tcPr>
          <w:p w14:paraId="34D3D6A4"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Artifacts added to the scope by the Department after the initial Department-approved Transition-Out Artifacts register, where the Department also approves an alternate delivery date in writing, are excluded from the original deadline to the extent of that written approval. Delays caused by Department-controlled review processes, demonstrated through verifiable records, are excluded.</w:t>
            </w:r>
          </w:p>
        </w:tc>
      </w:tr>
      <w:tr w:rsidR="005867BE" w:rsidRPr="002C7415" w14:paraId="328F593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F039BBF" w14:textId="77777777" w:rsidR="005867BE" w:rsidRPr="002C7415" w:rsidRDefault="005867BE" w:rsidP="00DB06F0">
            <w:pPr>
              <w:rPr>
                <w:rFonts w:cs="Arial"/>
                <w:b w:val="0"/>
                <w:bCs w:val="0"/>
                <w:szCs w:val="20"/>
              </w:rPr>
            </w:pPr>
            <w:r>
              <w:rPr>
                <w:rFonts w:cs="Arial"/>
                <w:szCs w:val="20"/>
              </w:rPr>
              <w:t>Process to Compile and Report SLA</w:t>
            </w:r>
          </w:p>
        </w:tc>
        <w:tc>
          <w:tcPr>
            <w:tcW w:w="8900" w:type="dxa"/>
          </w:tcPr>
          <w:p w14:paraId="187A9ABF" w14:textId="77777777" w:rsidR="005867BE" w:rsidRPr="002C7415" w:rsidRDefault="005867BE"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 Transition-Out Artifacts register that includes, at a minimum, the following data for each artifact: scope area (M&amp;O, DDI, SA, PM, or other Department-defined); artifact title and identifier; due date; date provided; Department review status; date any issue was formally reported by the Department or identified during review; date the issue was resolved; proof of delivery for the initial artifact, the reported issue, and the resolution; approver and approval date; and the specific Transition-Out start date for which the artifact is being readied. The Transition-Out Artifacts Register and all supporting delivery, issue, and resolution evidence must be submitted in the Transition-Out Weekly Status Report.</w:t>
            </w:r>
          </w:p>
        </w:tc>
      </w:tr>
      <w:tr w:rsidR="005867BE" w:rsidRPr="002C7415" w14:paraId="60027311"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05F80C8" w14:textId="77777777" w:rsidR="005867BE" w:rsidRPr="002C7415" w:rsidRDefault="005867BE" w:rsidP="00DB06F0">
            <w:pPr>
              <w:rPr>
                <w:rFonts w:cs="Arial"/>
                <w:b w:val="0"/>
                <w:bCs w:val="0"/>
                <w:szCs w:val="20"/>
              </w:rPr>
            </w:pPr>
            <w:r>
              <w:rPr>
                <w:rFonts w:cs="Arial"/>
                <w:szCs w:val="20"/>
              </w:rPr>
              <w:t>Converged E&amp;E System and AMS Service Credit</w:t>
            </w:r>
          </w:p>
        </w:tc>
        <w:tc>
          <w:tcPr>
            <w:tcW w:w="8900" w:type="dxa"/>
          </w:tcPr>
          <w:p w14:paraId="2ADC49A8" w14:textId="77777777" w:rsidR="005867BE" w:rsidRPr="002C7415" w:rsidRDefault="005867BE"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the Department identifies an artifact as incomplete or inaccurate based on an agreed-upon standard (e.g. DED, RFP requirements), and the Contractor fails to address the issue to the Department’s satisfaction within the greater of one (1) month prior to the Transition-Out date or five (5) business days from issue identification, a service credit of five thousand dollars ($5,000) per month per affected artifact applies until resolved. The service credit is prorated based on the exact number of business days of delay within the month.</w:t>
            </w:r>
          </w:p>
        </w:tc>
      </w:tr>
    </w:tbl>
    <w:p w14:paraId="12D03FD7" w14:textId="5046EAEC" w:rsidR="00861029" w:rsidRPr="002C7415" w:rsidRDefault="00861029" w:rsidP="00861029">
      <w:pPr>
        <w:pStyle w:val="HeadingSLA"/>
      </w:pPr>
      <w:bookmarkStart w:id="103" w:name="_Toc230258266"/>
      <w:bookmarkStart w:id="104" w:name="_Toc233199168"/>
      <w:r>
        <w:t>Transition-Out Weekly and Monthly Reporting</w:t>
      </w:r>
      <w:bookmarkEnd w:id="103"/>
      <w:bookmarkEnd w:id="104"/>
    </w:p>
    <w:tbl>
      <w:tblPr>
        <w:tblStyle w:val="DOH-LeftHeader"/>
        <w:tblW w:w="4998" w:type="pct"/>
        <w:tblLayout w:type="fixed"/>
        <w:tblLook w:val="0480" w:firstRow="0" w:lastRow="0" w:firstColumn="1" w:lastColumn="0" w:noHBand="0" w:noVBand="1"/>
      </w:tblPr>
      <w:tblGrid>
        <w:gridCol w:w="1886"/>
        <w:gridCol w:w="8900"/>
      </w:tblGrid>
      <w:tr w:rsidR="00861029" w:rsidRPr="002C7415" w14:paraId="4BF6A86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A2DDB3E" w14:textId="77777777" w:rsidR="00861029" w:rsidRPr="002C7415" w:rsidRDefault="00861029" w:rsidP="00DB06F0">
            <w:pPr>
              <w:rPr>
                <w:rFonts w:cs="Arial"/>
                <w:b w:val="0"/>
                <w:bCs w:val="0"/>
                <w:szCs w:val="20"/>
              </w:rPr>
            </w:pPr>
            <w:r>
              <w:rPr>
                <w:rFonts w:cs="Arial"/>
                <w:szCs w:val="20"/>
              </w:rPr>
              <w:t>Purpose</w:t>
            </w:r>
          </w:p>
        </w:tc>
        <w:tc>
          <w:tcPr>
            <w:tcW w:w="8900" w:type="dxa"/>
          </w:tcPr>
          <w:p w14:paraId="2C40C5F2" w14:textId="77777777" w:rsidR="00861029" w:rsidRPr="002C7415"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ensures the Department has continuous visibility into Transition-Out progress. Weekly reports identify emerging issues in real-time, while monthly reports provide executive-level summaries of trends and risks. These reports are critical for alignment on project health and required Department actions; late or missing reports directly compromise the transition’s success.</w:t>
            </w:r>
          </w:p>
        </w:tc>
      </w:tr>
      <w:tr w:rsidR="00861029" w:rsidRPr="002C7415" w14:paraId="0741CC2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0A69EC7" w14:textId="77777777" w:rsidR="00861029" w:rsidRPr="002C7415" w:rsidRDefault="00861029" w:rsidP="00DB06F0">
            <w:pPr>
              <w:rPr>
                <w:rFonts w:cs="Arial"/>
                <w:b w:val="0"/>
                <w:bCs w:val="0"/>
                <w:szCs w:val="20"/>
              </w:rPr>
            </w:pPr>
            <w:r>
              <w:rPr>
                <w:rFonts w:cs="Arial"/>
                <w:szCs w:val="20"/>
              </w:rPr>
              <w:t>Specification</w:t>
            </w:r>
          </w:p>
        </w:tc>
        <w:tc>
          <w:tcPr>
            <w:tcW w:w="8900" w:type="dxa"/>
          </w:tcPr>
          <w:p w14:paraId="232616B4" w14:textId="77777777" w:rsidR="00861029" w:rsidRPr="002C7415" w:rsidRDefault="00861029"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Throughout the Transition-Out period, the Contractor must develop and submit weekly and monthly Transition-Out status reports describing progress on each Transition-Out task, deliverable, and milestone. Each report must reach the Department on or before its scheduled due date and must comply with the report format, content, and submission requirements set by the Department and the approved Transition-Out Plan.</w:t>
            </w:r>
          </w:p>
        </w:tc>
      </w:tr>
      <w:tr w:rsidR="00861029" w:rsidRPr="002C7415" w14:paraId="3D481BF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2411EE7" w14:textId="77777777" w:rsidR="00861029" w:rsidRPr="002C7415" w:rsidRDefault="00861029" w:rsidP="00DB06F0">
            <w:pPr>
              <w:rPr>
                <w:rFonts w:cs="Arial"/>
                <w:b w:val="0"/>
                <w:bCs w:val="0"/>
                <w:szCs w:val="20"/>
              </w:rPr>
            </w:pPr>
            <w:r>
              <w:rPr>
                <w:rFonts w:cs="Arial"/>
                <w:szCs w:val="20"/>
              </w:rPr>
              <w:t>Service Level</w:t>
            </w:r>
          </w:p>
        </w:tc>
        <w:tc>
          <w:tcPr>
            <w:tcW w:w="8900" w:type="dxa"/>
          </w:tcPr>
          <w:p w14:paraId="174B42A3" w14:textId="77777777" w:rsidR="00861029" w:rsidRPr="002C7415"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required weekly and monthly Transition-Out status reports must be submitted to the Department by their scheduled due dates throughout the Transition-Out period. Each separate report is not compliant if it is submitted more than two (2) business days after the scheduled due date.</w:t>
            </w:r>
          </w:p>
        </w:tc>
      </w:tr>
      <w:tr w:rsidR="00861029" w:rsidRPr="002C7415" w14:paraId="1FD558F1"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265BEC8" w14:textId="77777777" w:rsidR="00861029" w:rsidRPr="002C7415" w:rsidRDefault="00861029" w:rsidP="00DB06F0">
            <w:pPr>
              <w:rPr>
                <w:rFonts w:cs="Arial"/>
                <w:b w:val="0"/>
                <w:bCs w:val="0"/>
                <w:szCs w:val="20"/>
              </w:rPr>
            </w:pPr>
            <w:r>
              <w:rPr>
                <w:rFonts w:cs="Arial"/>
                <w:szCs w:val="20"/>
              </w:rPr>
              <w:t>Notes</w:t>
            </w:r>
          </w:p>
        </w:tc>
        <w:tc>
          <w:tcPr>
            <w:tcW w:w="8900" w:type="dxa"/>
          </w:tcPr>
          <w:p w14:paraId="6454AF48" w14:textId="77777777" w:rsidR="00861029" w:rsidRPr="002C7415" w:rsidRDefault="00861029"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Scheduled due dates for weekly and monthly reports, the required content, and the Department’s designated recipients are defined in the approved Transition-Out Plan. Submission is considered complete when the report is delivered to the designated recipients in the approved format and through the approved channel, with a verifiable timestamp. The Contractor must designate a single point of contact responsible for report preparation, submission, and SLA tracking.</w:t>
            </w:r>
          </w:p>
        </w:tc>
      </w:tr>
      <w:tr w:rsidR="00861029" w:rsidRPr="002C7415" w14:paraId="2685727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6C1CBB9" w14:textId="77777777" w:rsidR="00861029" w:rsidRPr="002C7415" w:rsidRDefault="00861029" w:rsidP="00DB06F0">
            <w:pPr>
              <w:rPr>
                <w:rFonts w:cs="Arial"/>
                <w:b w:val="0"/>
                <w:bCs w:val="0"/>
                <w:szCs w:val="20"/>
              </w:rPr>
            </w:pPr>
            <w:r>
              <w:rPr>
                <w:rFonts w:cs="Arial"/>
                <w:szCs w:val="20"/>
              </w:rPr>
              <w:t>Reporting Frequency</w:t>
            </w:r>
          </w:p>
        </w:tc>
        <w:tc>
          <w:tcPr>
            <w:tcW w:w="8900" w:type="dxa"/>
          </w:tcPr>
          <w:p w14:paraId="63B15E8F" w14:textId="77777777" w:rsidR="00861029" w:rsidRPr="002C7415"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and monthly throughout the Transition-Out period. Each report has its own scheduled due date, and compliance is evaluated independently. SLA is effective for the duration of the Transition-Out Period.</w:t>
            </w:r>
          </w:p>
        </w:tc>
      </w:tr>
      <w:tr w:rsidR="00861029" w:rsidRPr="002C7415" w14:paraId="16879D1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883E809" w14:textId="77777777" w:rsidR="00861029" w:rsidRPr="002C7415" w:rsidRDefault="00861029" w:rsidP="00DB06F0">
            <w:pPr>
              <w:rPr>
                <w:rFonts w:cs="Arial"/>
                <w:szCs w:val="20"/>
              </w:rPr>
            </w:pPr>
            <w:r>
              <w:rPr>
                <w:rFonts w:cs="Arial"/>
                <w:szCs w:val="20"/>
              </w:rPr>
              <w:t>SLA Calculations</w:t>
            </w:r>
          </w:p>
        </w:tc>
        <w:tc>
          <w:tcPr>
            <w:tcW w:w="8900" w:type="dxa"/>
          </w:tcPr>
          <w:p w14:paraId="276987B3" w14:textId="77777777" w:rsidR="00861029" w:rsidRPr="002C7415" w:rsidRDefault="00861029"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evaluated per scheduled report. A report is compliant when received by the Department within two (2) business days of the scheduled due date. For each report submitted more than two (2) business days beyond the submission due date, a service credit of five thousand dollars ($5,000) is applied. If the report remains unsubmitted more than five (5) business days past its scheduled due date, each additional business day, or portion thereof, beginning with business day six (6), accrues an additional one thousand dollars ($1,000) per business day, or portion thereof, until the report is submitted.</w:t>
            </w:r>
          </w:p>
        </w:tc>
      </w:tr>
      <w:tr w:rsidR="00861029" w:rsidRPr="002C7415" w14:paraId="683FEF45"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BA35F7D" w14:textId="77777777" w:rsidR="00861029" w:rsidRPr="002C7415" w:rsidRDefault="00861029" w:rsidP="00DB06F0">
            <w:pPr>
              <w:rPr>
                <w:rFonts w:cs="Arial"/>
                <w:b w:val="0"/>
                <w:bCs w:val="0"/>
                <w:szCs w:val="20"/>
              </w:rPr>
            </w:pPr>
            <w:r>
              <w:rPr>
                <w:rFonts w:cs="Arial"/>
                <w:szCs w:val="20"/>
              </w:rPr>
              <w:lastRenderedPageBreak/>
              <w:t>SLA Calculations Definitions</w:t>
            </w:r>
          </w:p>
        </w:tc>
        <w:tc>
          <w:tcPr>
            <w:tcW w:w="8900" w:type="dxa"/>
          </w:tcPr>
          <w:p w14:paraId="75932535" w14:textId="77777777" w:rsidR="00861029"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Weekly Transition-Out Status Report</w:t>
            </w:r>
            <w:r>
              <w:rPr>
                <w:rFonts w:cs="Arial"/>
                <w:szCs w:val="20"/>
              </w:rPr>
              <w:t xml:space="preserve">: The report covering Transition-Out progress for the weekly reporting period, including each task, deliverable, and milestone, as defined in the approved Transition-Out Plan. </w:t>
            </w:r>
          </w:p>
          <w:p w14:paraId="29076A8D" w14:textId="77777777" w:rsidR="00861029"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Monthly Transition-Out Status Report</w:t>
            </w:r>
            <w:r>
              <w:rPr>
                <w:rFonts w:cs="Arial"/>
                <w:szCs w:val="20"/>
              </w:rPr>
              <w:t>: The report rolling up progress for the calendar month, including a trend view and forward-looking risks.</w:t>
            </w:r>
          </w:p>
          <w:p w14:paraId="1C8F6649" w14:textId="77777777" w:rsidR="00861029"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Scheduled Due Date</w:t>
            </w:r>
            <w:r>
              <w:rPr>
                <w:rFonts w:cs="Arial"/>
                <w:szCs w:val="20"/>
              </w:rPr>
              <w:t xml:space="preserve">: The date by which the report must be delivered to the Department, as defined in the approved Transition-Out Plan. </w:t>
            </w:r>
          </w:p>
          <w:p w14:paraId="4453C7CD" w14:textId="77777777" w:rsidR="00861029"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Two (2) Business Days Window</w:t>
            </w:r>
            <w:r>
              <w:rPr>
                <w:rFonts w:cs="Arial"/>
                <w:szCs w:val="20"/>
              </w:rPr>
              <w:t xml:space="preserve">: Two (2) business day grace period beyond the original scheduled due date, after which the report is treated as missed for SLA purposes. </w:t>
            </w:r>
          </w:p>
          <w:p w14:paraId="5D24CFAC" w14:textId="77777777" w:rsidR="00861029" w:rsidRPr="002C7415"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Five (5) Business Day Threshold</w:t>
            </w:r>
            <w:r>
              <w:rPr>
                <w:rFonts w:cs="Arial"/>
                <w:szCs w:val="20"/>
              </w:rPr>
              <w:t>: Five (5) business days past the original scheduled due date, beyond which additional service credits accrue.</w:t>
            </w:r>
          </w:p>
        </w:tc>
      </w:tr>
      <w:tr w:rsidR="00861029" w:rsidRPr="002C7415" w14:paraId="1C1F1001"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7CB1895" w14:textId="77777777" w:rsidR="00861029" w:rsidRPr="002C7415" w:rsidRDefault="00861029" w:rsidP="00DB06F0">
            <w:pPr>
              <w:rPr>
                <w:rFonts w:cs="Arial"/>
                <w:b w:val="0"/>
                <w:bCs w:val="0"/>
                <w:szCs w:val="20"/>
              </w:rPr>
            </w:pPr>
            <w:r>
              <w:rPr>
                <w:rFonts w:cs="Arial"/>
                <w:szCs w:val="20"/>
              </w:rPr>
              <w:t>Exclusions</w:t>
            </w:r>
          </w:p>
        </w:tc>
        <w:tc>
          <w:tcPr>
            <w:tcW w:w="8900" w:type="dxa"/>
          </w:tcPr>
          <w:p w14:paraId="457B0942" w14:textId="77777777" w:rsidR="00861029" w:rsidRPr="002C7415" w:rsidRDefault="00861029"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Reports for which the Department has approved an alternative due date in writing prior to the original scheduled due date are excluded from this SLA to the extent of that written approval. Delays directly caused by Department-controlled systems or processes used for report submission, demonstrated through verifiable records, are excluded.</w:t>
            </w:r>
          </w:p>
        </w:tc>
      </w:tr>
      <w:tr w:rsidR="00861029" w:rsidRPr="002C7415" w14:paraId="7FB5B57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EB5C6D5" w14:textId="77777777" w:rsidR="00861029" w:rsidRPr="002C7415" w:rsidRDefault="00861029" w:rsidP="00DB06F0">
            <w:pPr>
              <w:rPr>
                <w:rFonts w:cs="Arial"/>
                <w:b w:val="0"/>
                <w:bCs w:val="0"/>
                <w:szCs w:val="20"/>
              </w:rPr>
            </w:pPr>
            <w:r>
              <w:rPr>
                <w:rFonts w:cs="Arial"/>
                <w:szCs w:val="20"/>
              </w:rPr>
              <w:t>Process to Compile and Report SLA</w:t>
            </w:r>
          </w:p>
        </w:tc>
        <w:tc>
          <w:tcPr>
            <w:tcW w:w="8900" w:type="dxa"/>
          </w:tcPr>
          <w:p w14:paraId="4E99DCBA" w14:textId="77777777" w:rsidR="00861029" w:rsidRPr="002C7415"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 Transition-Out reporting register listing, for each scheduled weekly and monthly report: the reporting period covered; the scheduled due date; the actual submission date and timestamp; the recipient list and confirmation of delivery; the report storage location and version reference; and any deviations from the Department-required content. Supporting submission evidence (email transmittals with timestamps, system or workflow submission confirmations, repository upload timestamps and version history) must be retained and available to the Department on request. A consolidated compliance summary is included in the final Transition-Out Weekly Status Report.</w:t>
            </w:r>
          </w:p>
        </w:tc>
      </w:tr>
      <w:tr w:rsidR="00861029" w:rsidRPr="002C7415" w14:paraId="3D44814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8FEA323" w14:textId="77777777" w:rsidR="00861029" w:rsidRPr="002C7415" w:rsidRDefault="00861029" w:rsidP="00DB06F0">
            <w:pPr>
              <w:rPr>
                <w:rFonts w:cs="Arial"/>
                <w:b w:val="0"/>
                <w:bCs w:val="0"/>
                <w:szCs w:val="20"/>
              </w:rPr>
            </w:pPr>
            <w:r>
              <w:rPr>
                <w:rFonts w:cs="Arial"/>
                <w:szCs w:val="20"/>
              </w:rPr>
              <w:t>Converged E&amp;E System and AMS Service Credit</w:t>
            </w:r>
          </w:p>
        </w:tc>
        <w:tc>
          <w:tcPr>
            <w:tcW w:w="8900" w:type="dxa"/>
          </w:tcPr>
          <w:p w14:paraId="5BC575EA" w14:textId="77777777" w:rsidR="00861029" w:rsidRDefault="00861029"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Report (Initial Service Credit):</w:t>
            </w:r>
            <w:r>
              <w:rPr>
                <w:rFonts w:cs="Arial"/>
                <w:szCs w:val="20"/>
              </w:rPr>
              <w:t xml:space="preserve"> For each required weekly or monthly Transition-Out status report not submitted within two (2) business days of its scheduled due date, a service credit of five thousand dollars ($5,000) applies per missed report. </w:t>
            </w:r>
          </w:p>
          <w:p w14:paraId="41498A1E" w14:textId="77777777" w:rsidR="00861029" w:rsidRPr="002C7415" w:rsidRDefault="00861029"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Delay (Additional Service Credit):</w:t>
            </w:r>
            <w:r>
              <w:rPr>
                <w:rFonts w:cs="Arial"/>
                <w:szCs w:val="20"/>
              </w:rPr>
              <w:t xml:space="preserve"> For any such report that remains unsubmitted more than five (5) business days past its scheduled due date, an additional service credit of one thousand dollars ($1,000) per business day, or portion thereof, applies until the report is submitted.</w:t>
            </w:r>
          </w:p>
        </w:tc>
      </w:tr>
    </w:tbl>
    <w:p w14:paraId="42A83AE5" w14:textId="4BAF4B08" w:rsidR="00861029" w:rsidRPr="002C7415" w:rsidRDefault="00861029" w:rsidP="00861029">
      <w:pPr>
        <w:pStyle w:val="HeadingSLA"/>
      </w:pPr>
      <w:bookmarkStart w:id="105" w:name="_Toc230258267"/>
      <w:bookmarkStart w:id="106" w:name="_Toc233199169"/>
      <w:r>
        <w:t>Transition-Out Monthly Status Meetings</w:t>
      </w:r>
      <w:bookmarkEnd w:id="105"/>
      <w:bookmarkEnd w:id="106"/>
    </w:p>
    <w:tbl>
      <w:tblPr>
        <w:tblStyle w:val="DOH-LeftHeader"/>
        <w:tblW w:w="4998" w:type="pct"/>
        <w:tblLayout w:type="fixed"/>
        <w:tblLook w:val="0480" w:firstRow="0" w:lastRow="0" w:firstColumn="1" w:lastColumn="0" w:noHBand="0" w:noVBand="1"/>
      </w:tblPr>
      <w:tblGrid>
        <w:gridCol w:w="1886"/>
        <w:gridCol w:w="8900"/>
      </w:tblGrid>
      <w:tr w:rsidR="00861029" w:rsidRPr="002C7415" w14:paraId="7393719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AE83D68" w14:textId="77777777" w:rsidR="00861029" w:rsidRPr="002C7415" w:rsidRDefault="00861029" w:rsidP="00DB06F0">
            <w:pPr>
              <w:rPr>
                <w:rFonts w:cs="Arial"/>
                <w:b w:val="0"/>
                <w:bCs w:val="0"/>
                <w:szCs w:val="20"/>
              </w:rPr>
            </w:pPr>
            <w:r>
              <w:rPr>
                <w:rFonts w:cs="Arial"/>
                <w:szCs w:val="20"/>
              </w:rPr>
              <w:t>Purpose</w:t>
            </w:r>
          </w:p>
        </w:tc>
        <w:tc>
          <w:tcPr>
            <w:tcW w:w="8900" w:type="dxa"/>
          </w:tcPr>
          <w:p w14:paraId="4A888CEE" w14:textId="77777777" w:rsidR="00861029" w:rsidRPr="002C7415"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ensures the Contractor meets with the Department and the Successor Contractor at least once per calendar month during the Transition-Out period. Written status reports provide essential data, but live status meetings provide the necessary context for effective oversight. These meetings facilitate real-time questioning, decision-making, and risk mitigation. Written reports are not a substitute for these live interactions.</w:t>
            </w:r>
          </w:p>
        </w:tc>
      </w:tr>
      <w:tr w:rsidR="00861029" w:rsidRPr="002C7415" w14:paraId="30A083E4"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A7A3DC4" w14:textId="77777777" w:rsidR="00861029" w:rsidRPr="002C7415" w:rsidRDefault="00861029" w:rsidP="00DB06F0">
            <w:pPr>
              <w:rPr>
                <w:rFonts w:cs="Arial"/>
                <w:b w:val="0"/>
                <w:bCs w:val="0"/>
                <w:szCs w:val="20"/>
              </w:rPr>
            </w:pPr>
            <w:r>
              <w:rPr>
                <w:rFonts w:cs="Arial"/>
                <w:szCs w:val="20"/>
              </w:rPr>
              <w:t>Specification</w:t>
            </w:r>
          </w:p>
        </w:tc>
        <w:tc>
          <w:tcPr>
            <w:tcW w:w="8900" w:type="dxa"/>
          </w:tcPr>
          <w:p w14:paraId="3EA08F26" w14:textId="77777777" w:rsidR="00861029" w:rsidRPr="002C7415" w:rsidRDefault="00861029"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Throughout the Transition-Out period, the Contractor must conduct a monthly Transition-Out status meeting with the Department or with a Successor Contractor (or both, as directed by the Department) to review the status of all Transition-Out activities, tasks, and deliverables. The meeting must be scheduled in advance, must have an agenda, must produce written minutes, and must record attendance.</w:t>
            </w:r>
          </w:p>
        </w:tc>
      </w:tr>
      <w:tr w:rsidR="00861029" w:rsidRPr="002C7415" w14:paraId="311D8B05"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8F08890" w14:textId="77777777" w:rsidR="00861029" w:rsidRPr="002C7415" w:rsidRDefault="00861029" w:rsidP="00DB06F0">
            <w:pPr>
              <w:rPr>
                <w:rFonts w:cs="Arial"/>
                <w:b w:val="0"/>
                <w:bCs w:val="0"/>
                <w:szCs w:val="20"/>
              </w:rPr>
            </w:pPr>
            <w:r>
              <w:rPr>
                <w:rFonts w:cs="Arial"/>
                <w:szCs w:val="20"/>
              </w:rPr>
              <w:t>Service Level</w:t>
            </w:r>
          </w:p>
        </w:tc>
        <w:tc>
          <w:tcPr>
            <w:tcW w:w="8900" w:type="dxa"/>
          </w:tcPr>
          <w:p w14:paraId="5EB3C1C5" w14:textId="77777777" w:rsidR="00861029" w:rsidRPr="002C7415"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required Transition-Out monthly status meetings must be held once per calendar month for every calendar month during the Transition-Out period. Compliance is evaluated per calendar month. A calendar month in which the required meeting is not held constitutes a non-compliance event for that month.</w:t>
            </w:r>
          </w:p>
        </w:tc>
      </w:tr>
      <w:tr w:rsidR="00861029" w:rsidRPr="002C7415" w14:paraId="41CB012C"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56AFA3C" w14:textId="77777777" w:rsidR="00861029" w:rsidRPr="002C7415" w:rsidRDefault="00861029" w:rsidP="00DB06F0">
            <w:pPr>
              <w:rPr>
                <w:rFonts w:cs="Arial"/>
                <w:b w:val="0"/>
                <w:bCs w:val="0"/>
                <w:szCs w:val="20"/>
              </w:rPr>
            </w:pPr>
            <w:r>
              <w:rPr>
                <w:rFonts w:cs="Arial"/>
                <w:szCs w:val="20"/>
              </w:rPr>
              <w:t>Notes</w:t>
            </w:r>
          </w:p>
        </w:tc>
        <w:tc>
          <w:tcPr>
            <w:tcW w:w="8900" w:type="dxa"/>
          </w:tcPr>
          <w:p w14:paraId="040EAB37" w14:textId="77777777" w:rsidR="00861029" w:rsidRPr="002C7415" w:rsidRDefault="00861029"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must propose meeting dates in advance and confirm them with the Department and the Successor Contractor. Rescheduling within the same calendar month, as long as the meeting is held before the end of that calendar month, does not constitute non-compliance. A </w:t>
            </w:r>
            <w:r>
              <w:rPr>
                <w:rFonts w:cs="Arial"/>
                <w:szCs w:val="20"/>
              </w:rPr>
              <w:lastRenderedPageBreak/>
              <w:t>meeting is considered held when it convenes with required participants from the Department and, where applicable, the Successor Contractor, with the agenda walked through and minutes produced. The Contractor must designate a single point of contact responsible for scheduling, agenda preparation, minutes, and SLA tracking.</w:t>
            </w:r>
          </w:p>
        </w:tc>
      </w:tr>
      <w:tr w:rsidR="00861029" w:rsidRPr="002C7415" w14:paraId="2F9F0C8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3F8C48F" w14:textId="77777777" w:rsidR="00861029" w:rsidRPr="002C7415" w:rsidRDefault="00861029" w:rsidP="00DB06F0">
            <w:pPr>
              <w:rPr>
                <w:rFonts w:cs="Arial"/>
                <w:b w:val="0"/>
                <w:bCs w:val="0"/>
                <w:szCs w:val="20"/>
              </w:rPr>
            </w:pPr>
            <w:r>
              <w:rPr>
                <w:rFonts w:cs="Arial"/>
                <w:szCs w:val="20"/>
              </w:rPr>
              <w:lastRenderedPageBreak/>
              <w:t>Reporting Frequency</w:t>
            </w:r>
          </w:p>
        </w:tc>
        <w:tc>
          <w:tcPr>
            <w:tcW w:w="8900" w:type="dxa"/>
          </w:tcPr>
          <w:p w14:paraId="1999780B" w14:textId="77777777" w:rsidR="00861029" w:rsidRPr="002C7415"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Once per calendar month throughout the Transition-Out period. SLA compliance is evaluated for each calendar month. SLA is effective for the duration of the Transition-Out Period.</w:t>
            </w:r>
          </w:p>
        </w:tc>
      </w:tr>
      <w:tr w:rsidR="00861029" w:rsidRPr="002C7415" w14:paraId="4A46942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3B031F2" w14:textId="77777777" w:rsidR="00861029" w:rsidRPr="002C7415" w:rsidRDefault="00861029" w:rsidP="00DB06F0">
            <w:pPr>
              <w:rPr>
                <w:rFonts w:cs="Arial"/>
                <w:szCs w:val="20"/>
              </w:rPr>
            </w:pPr>
            <w:r>
              <w:rPr>
                <w:rFonts w:cs="Arial"/>
                <w:szCs w:val="20"/>
              </w:rPr>
              <w:t>SLA Calculations</w:t>
            </w:r>
          </w:p>
        </w:tc>
        <w:tc>
          <w:tcPr>
            <w:tcW w:w="8900" w:type="dxa"/>
          </w:tcPr>
          <w:p w14:paraId="1978CC69" w14:textId="77777777" w:rsidR="00861029" w:rsidRPr="002C7415" w:rsidRDefault="00861029"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evaluated per calendar month. A calendar month is compliant when the required Transition-Out monthly status meeting is held within that calendar month with the required participants, agenda, minutes, and attendance record. A calendar month is non-compliant when the required meeting is not held within that calendar month for any reason not covered by an exclusion.</w:t>
            </w:r>
          </w:p>
        </w:tc>
      </w:tr>
      <w:tr w:rsidR="00861029" w:rsidRPr="002C7415" w14:paraId="71CFC68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0AED5B2" w14:textId="77777777" w:rsidR="00861029" w:rsidRPr="002C7415" w:rsidRDefault="00861029" w:rsidP="00DB06F0">
            <w:pPr>
              <w:rPr>
                <w:rFonts w:cs="Arial"/>
                <w:b w:val="0"/>
                <w:bCs w:val="0"/>
                <w:szCs w:val="20"/>
              </w:rPr>
            </w:pPr>
            <w:r>
              <w:rPr>
                <w:rFonts w:cs="Arial"/>
                <w:szCs w:val="20"/>
              </w:rPr>
              <w:t>SLA Calculations Definitions</w:t>
            </w:r>
          </w:p>
        </w:tc>
        <w:tc>
          <w:tcPr>
            <w:tcW w:w="8900" w:type="dxa"/>
          </w:tcPr>
          <w:p w14:paraId="1E48B740" w14:textId="77777777" w:rsidR="00861029"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Transition-Out Monthly Status Meeting</w:t>
            </w:r>
            <w:r>
              <w:rPr>
                <w:rFonts w:cs="Arial"/>
                <w:szCs w:val="20"/>
              </w:rPr>
              <w:t xml:space="preserve">: A scheduled status review meeting between the Contractor and the Department, the Successor Contractor, or both, covering Transition-Out activities, tasks, and deliverables. </w:t>
            </w:r>
          </w:p>
          <w:p w14:paraId="66AAE4D2" w14:textId="77777777" w:rsidR="00861029"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Held:</w:t>
            </w:r>
            <w:r>
              <w:rPr>
                <w:rFonts w:cs="Arial"/>
                <w:szCs w:val="20"/>
              </w:rPr>
              <w:t xml:space="preserve"> Convened on the scheduled date with required participants, an agenda walked through, attendance recorded, and minutes produced.</w:t>
            </w:r>
          </w:p>
          <w:p w14:paraId="45192C92" w14:textId="77777777" w:rsidR="00861029" w:rsidRPr="002C7415"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Calendar Month</w:t>
            </w:r>
            <w:r>
              <w:rPr>
                <w:rFonts w:cs="Arial"/>
                <w:szCs w:val="20"/>
              </w:rPr>
              <w:t>: A complete calendar month falling within the Transition-Out period.</w:t>
            </w:r>
          </w:p>
        </w:tc>
      </w:tr>
      <w:tr w:rsidR="00861029" w:rsidRPr="002C7415" w14:paraId="4EDEF03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B006C61" w14:textId="77777777" w:rsidR="00861029" w:rsidRPr="002C7415" w:rsidRDefault="00861029" w:rsidP="00DB06F0">
            <w:pPr>
              <w:rPr>
                <w:rFonts w:cs="Arial"/>
                <w:b w:val="0"/>
                <w:bCs w:val="0"/>
                <w:szCs w:val="20"/>
              </w:rPr>
            </w:pPr>
            <w:r>
              <w:rPr>
                <w:rFonts w:cs="Arial"/>
                <w:szCs w:val="20"/>
              </w:rPr>
              <w:t>Exclusions</w:t>
            </w:r>
          </w:p>
        </w:tc>
        <w:tc>
          <w:tcPr>
            <w:tcW w:w="8900" w:type="dxa"/>
          </w:tcPr>
          <w:p w14:paraId="6A4AB3C1" w14:textId="77777777" w:rsidR="00861029" w:rsidRPr="002C7415" w:rsidRDefault="00861029"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 calendar month in which the Department, in writing, waives the monthly meeting requirement in advance is excluded from this SLA. A calendar month in which the Department or the Successor Contractor unilaterally declines to attend after the Contractor has scheduled, confirmed, and made reasonable effort to hold the meeting is excluded to the extent the Contractor can demonstrate the cause through verifiable records.</w:t>
            </w:r>
          </w:p>
        </w:tc>
      </w:tr>
      <w:tr w:rsidR="00861029" w:rsidRPr="002C7415" w14:paraId="5F296BD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9B36166" w14:textId="77777777" w:rsidR="00861029" w:rsidRPr="002C7415" w:rsidRDefault="00861029" w:rsidP="00DB06F0">
            <w:pPr>
              <w:rPr>
                <w:rFonts w:cs="Arial"/>
                <w:b w:val="0"/>
                <w:bCs w:val="0"/>
                <w:szCs w:val="20"/>
              </w:rPr>
            </w:pPr>
            <w:r>
              <w:rPr>
                <w:rFonts w:cs="Arial"/>
                <w:szCs w:val="20"/>
              </w:rPr>
              <w:t>Process to Compile and Report SLA</w:t>
            </w:r>
          </w:p>
        </w:tc>
        <w:tc>
          <w:tcPr>
            <w:tcW w:w="8900" w:type="dxa"/>
          </w:tcPr>
          <w:p w14:paraId="51AC6EF4" w14:textId="77777777" w:rsidR="00861029" w:rsidRPr="002C7415" w:rsidRDefault="00861029"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 Transition-Out monthly meeting register listing, for each calendar month in the Transition-Out period: the scheduled meeting date; meeting calendar invite and confirmations; the agenda; the attendees and required participants; the meeting minutes; the date the minutes were distributed; and the SLA compliance status for the month. Supporting evidence (calendar invites, attendee lists, signed minutes, distribution emails) must be retained and made available to the Department on request. A meeting compliance summary is included in the Transition-Out Weekly Status Report.</w:t>
            </w:r>
          </w:p>
        </w:tc>
      </w:tr>
      <w:tr w:rsidR="00861029" w:rsidRPr="002C7415" w14:paraId="440CD4D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31C0CB2" w14:textId="77777777" w:rsidR="00861029" w:rsidRPr="002C7415" w:rsidRDefault="00861029" w:rsidP="00DB06F0">
            <w:pPr>
              <w:rPr>
                <w:rFonts w:cs="Arial"/>
                <w:b w:val="0"/>
                <w:bCs w:val="0"/>
                <w:szCs w:val="20"/>
              </w:rPr>
            </w:pPr>
            <w:r>
              <w:rPr>
                <w:rFonts w:cs="Arial"/>
                <w:szCs w:val="20"/>
              </w:rPr>
              <w:t>Converged E&amp;E System and AMS Service Credit</w:t>
            </w:r>
          </w:p>
        </w:tc>
        <w:tc>
          <w:tcPr>
            <w:tcW w:w="8900" w:type="dxa"/>
          </w:tcPr>
          <w:p w14:paraId="761FFBD3" w14:textId="77777777" w:rsidR="00861029" w:rsidRPr="002C7415" w:rsidRDefault="00861029"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For each calendar month during the Transition-Out period in which the required Transition-Out monthly status meeting is not held, a service credit of twenty-five thousand dollars ($25,000) applies for that calendar month.</w:t>
            </w:r>
          </w:p>
        </w:tc>
      </w:tr>
    </w:tbl>
    <w:p w14:paraId="71DE3D7B" w14:textId="1EDE4FF2" w:rsidR="00FE6F2A" w:rsidRPr="002C7415" w:rsidRDefault="00FE6F2A" w:rsidP="00FE6F2A">
      <w:pPr>
        <w:pStyle w:val="HeadingSLA"/>
      </w:pPr>
      <w:bookmarkStart w:id="107" w:name="_Toc230258268"/>
      <w:bookmarkStart w:id="108" w:name="_Toc233199170"/>
      <w:r>
        <w:t>Transition-Out Training and Transition-Out Training and Knowledge Transfer Plan Submission</w:t>
      </w:r>
      <w:bookmarkEnd w:id="107"/>
      <w:bookmarkEnd w:id="108"/>
    </w:p>
    <w:tbl>
      <w:tblPr>
        <w:tblStyle w:val="DOH-LeftHeader"/>
        <w:tblW w:w="4998" w:type="pct"/>
        <w:tblLayout w:type="fixed"/>
        <w:tblLook w:val="0480" w:firstRow="0" w:lastRow="0" w:firstColumn="1" w:lastColumn="0" w:noHBand="0" w:noVBand="1"/>
      </w:tblPr>
      <w:tblGrid>
        <w:gridCol w:w="1886"/>
        <w:gridCol w:w="8900"/>
      </w:tblGrid>
      <w:tr w:rsidR="00FE6F2A" w:rsidRPr="002C7415" w14:paraId="5A775E0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5E97FD5" w14:textId="77777777" w:rsidR="00FE6F2A" w:rsidRPr="002C7415" w:rsidRDefault="00FE6F2A" w:rsidP="00DB06F0">
            <w:pPr>
              <w:rPr>
                <w:rFonts w:cs="Arial"/>
                <w:b w:val="0"/>
                <w:bCs w:val="0"/>
                <w:szCs w:val="20"/>
              </w:rPr>
            </w:pPr>
            <w:r>
              <w:rPr>
                <w:rFonts w:cs="Arial"/>
                <w:szCs w:val="20"/>
              </w:rPr>
              <w:t>Purpose</w:t>
            </w:r>
          </w:p>
        </w:tc>
        <w:tc>
          <w:tcPr>
            <w:tcW w:w="8900" w:type="dxa"/>
          </w:tcPr>
          <w:p w14:paraId="19D9FACE"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Transition-Out Training and Knowledge Transfer Plan is the playbook for the entire Transition-Out knowledge handoff. Until it exists and is Department-approved, the rest of Transition-Out cannot be scheduled, scoped, or staffed properly. This SLA ensures the Contractor delivers that plan promptly, within thirty (30) calendar days of the Department’s request, so the larger Transition-Out work can move forward on time.</w:t>
            </w:r>
          </w:p>
        </w:tc>
      </w:tr>
      <w:tr w:rsidR="00FE6F2A" w:rsidRPr="002C7415" w14:paraId="39C6602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05EAD99" w14:textId="77777777" w:rsidR="00FE6F2A" w:rsidRPr="002C7415" w:rsidRDefault="00FE6F2A" w:rsidP="00DB06F0">
            <w:pPr>
              <w:rPr>
                <w:rFonts w:cs="Arial"/>
                <w:b w:val="0"/>
                <w:bCs w:val="0"/>
                <w:szCs w:val="20"/>
              </w:rPr>
            </w:pPr>
            <w:r>
              <w:rPr>
                <w:rFonts w:cs="Arial"/>
                <w:szCs w:val="20"/>
              </w:rPr>
              <w:t>Specification</w:t>
            </w:r>
          </w:p>
        </w:tc>
        <w:tc>
          <w:tcPr>
            <w:tcW w:w="8900" w:type="dxa"/>
          </w:tcPr>
          <w:p w14:paraId="3B36A0DF" w14:textId="43F38ED3"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When the Department requests the Transition-Out Training and Knowledge Transfer Plan, the Contractor must submit a complete Transition-Out Training and Knowledge Transfer Plan deliverable to the Department within thirty (30) calendar days of the request. The submitted Plan must conform to the deliverable definition set forth in </w:t>
            </w:r>
            <w:r>
              <w:rPr>
                <w:rFonts w:cs="Arial"/>
                <w:b/>
                <w:bCs/>
                <w:szCs w:val="20"/>
              </w:rPr>
              <w:t xml:space="preserve">Section 5.8 – Deliverables </w:t>
            </w:r>
            <w:r>
              <w:rPr>
                <w:rFonts w:cs="Arial"/>
                <w:szCs w:val="20"/>
              </w:rPr>
              <w:t>and must be in a form suitable for Department review and approval</w:t>
            </w:r>
            <w:r>
              <w:rPr>
                <w:rFonts w:cs="Arial"/>
                <w:b/>
                <w:bCs/>
                <w:szCs w:val="20"/>
              </w:rPr>
              <w:t>.</w:t>
            </w:r>
          </w:p>
        </w:tc>
      </w:tr>
      <w:tr w:rsidR="00FE6F2A" w:rsidRPr="002C7415" w14:paraId="7DBDC715"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A62B905" w14:textId="77777777" w:rsidR="00FE6F2A" w:rsidRPr="002C7415" w:rsidRDefault="00FE6F2A" w:rsidP="00DB06F0">
            <w:pPr>
              <w:rPr>
                <w:rFonts w:cs="Arial"/>
                <w:b w:val="0"/>
                <w:bCs w:val="0"/>
                <w:szCs w:val="20"/>
              </w:rPr>
            </w:pPr>
            <w:r>
              <w:rPr>
                <w:rFonts w:cs="Arial"/>
                <w:szCs w:val="20"/>
              </w:rPr>
              <w:t>Service Level</w:t>
            </w:r>
          </w:p>
        </w:tc>
        <w:tc>
          <w:tcPr>
            <w:tcW w:w="8900" w:type="dxa"/>
          </w:tcPr>
          <w:p w14:paraId="08609EEE"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Transition-Out Training and Knowledge Transfer Plan must be submitted to the Department for approval within thirty (30) calendar days of the Department’s written request. Compliance is evaluated against the date of the Department’s request.</w:t>
            </w:r>
          </w:p>
        </w:tc>
      </w:tr>
      <w:tr w:rsidR="00FE6F2A" w:rsidRPr="002C7415" w14:paraId="554AB7E1"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48B5A6D" w14:textId="77777777" w:rsidR="00FE6F2A" w:rsidRPr="002C7415" w:rsidRDefault="00FE6F2A" w:rsidP="00DB06F0">
            <w:pPr>
              <w:rPr>
                <w:rFonts w:cs="Arial"/>
                <w:b w:val="0"/>
                <w:bCs w:val="0"/>
                <w:szCs w:val="20"/>
              </w:rPr>
            </w:pPr>
            <w:r>
              <w:rPr>
                <w:rFonts w:cs="Arial"/>
                <w:szCs w:val="20"/>
              </w:rPr>
              <w:lastRenderedPageBreak/>
              <w:t>Notes</w:t>
            </w:r>
          </w:p>
        </w:tc>
        <w:tc>
          <w:tcPr>
            <w:tcW w:w="8900" w:type="dxa"/>
          </w:tcPr>
          <w:p w14:paraId="2118F3B9"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Department’s request must be in writing and time-stamped; the thirty (30) calendar day clock starts on the date of that written request. Submission alone does not satisfy this SLA: the Plan must also reach Department approval. If the Department requests revisions, the service credit clock continues to run until the revised Plan is approved by the Department. The Contractor must designate a single point of contact responsible for Plan preparation, submission, revisions, and SLA tracking.</w:t>
            </w:r>
          </w:p>
        </w:tc>
      </w:tr>
      <w:tr w:rsidR="00FE6F2A" w:rsidRPr="002C7415" w14:paraId="62F2015F"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E7D0B01" w14:textId="77777777" w:rsidR="00FE6F2A" w:rsidRPr="002C7415" w:rsidRDefault="00FE6F2A" w:rsidP="00DB06F0">
            <w:pPr>
              <w:rPr>
                <w:rFonts w:cs="Arial"/>
                <w:b w:val="0"/>
                <w:bCs w:val="0"/>
                <w:szCs w:val="20"/>
              </w:rPr>
            </w:pPr>
            <w:r>
              <w:rPr>
                <w:rFonts w:cs="Arial"/>
                <w:szCs w:val="20"/>
              </w:rPr>
              <w:t>Reporting Frequency</w:t>
            </w:r>
          </w:p>
        </w:tc>
        <w:tc>
          <w:tcPr>
            <w:tcW w:w="8900" w:type="dxa"/>
          </w:tcPr>
          <w:p w14:paraId="0E1BFE28"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Plan status is tracked continuously following the Department’s request and reported in the Contractor’s weekly Transition-Out status report. A final submission compliance entry is captured at the time the Plan is Department-approved. SLA is effective prior to the start of the Transition-Out Period.</w:t>
            </w:r>
          </w:p>
        </w:tc>
      </w:tr>
      <w:tr w:rsidR="00FE6F2A" w:rsidRPr="002C7415" w14:paraId="6C91CD2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92B863B" w14:textId="77777777" w:rsidR="00FE6F2A" w:rsidRPr="002C7415" w:rsidRDefault="00FE6F2A" w:rsidP="00DB06F0">
            <w:pPr>
              <w:rPr>
                <w:rFonts w:cs="Arial"/>
                <w:szCs w:val="20"/>
              </w:rPr>
            </w:pPr>
            <w:r>
              <w:rPr>
                <w:rFonts w:cs="Arial"/>
                <w:szCs w:val="20"/>
              </w:rPr>
              <w:t>SLA Calculations</w:t>
            </w:r>
          </w:p>
        </w:tc>
        <w:tc>
          <w:tcPr>
            <w:tcW w:w="8900" w:type="dxa"/>
          </w:tcPr>
          <w:p w14:paraId="15C974C8"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evaluated using the following: the Submission Compliance Window equals thirty (30) calendar days starting on the date of the Department’s written request. The SLA is compliant when the Transition-Out Training and Knowledge Transfer Plan is both submitted by the Contractor and approved by the Department on or before the end of the Submission Compliance Window. If the Plan is not approved by the Department by the end of that window, a service credit is applied for every calendar day beyond the initial thirty (30) calendar days. The service credit calculation is measured in calendar days, or portions thereof, beyond the thirtieth (30th) calendar day until the Plan is Department-approved.</w:t>
            </w:r>
          </w:p>
        </w:tc>
      </w:tr>
      <w:tr w:rsidR="00FE6F2A" w:rsidRPr="002C7415" w14:paraId="276957C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0777F33" w14:textId="77777777" w:rsidR="00FE6F2A" w:rsidRPr="002C7415" w:rsidRDefault="00FE6F2A" w:rsidP="00DB06F0">
            <w:pPr>
              <w:rPr>
                <w:rFonts w:cs="Arial"/>
                <w:b w:val="0"/>
                <w:bCs w:val="0"/>
                <w:szCs w:val="20"/>
              </w:rPr>
            </w:pPr>
            <w:r>
              <w:rPr>
                <w:rFonts w:cs="Arial"/>
                <w:szCs w:val="20"/>
              </w:rPr>
              <w:t>SLA Calculations Definitions</w:t>
            </w:r>
          </w:p>
        </w:tc>
        <w:tc>
          <w:tcPr>
            <w:tcW w:w="8900" w:type="dxa"/>
          </w:tcPr>
          <w:p w14:paraId="73578617" w14:textId="77777777" w:rsidR="00FE6F2A"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Transition-Out Training and Knowledge Transfer Plan</w:t>
            </w:r>
            <w:r>
              <w:rPr>
                <w:rFonts w:cs="Arial"/>
                <w:szCs w:val="20"/>
              </w:rPr>
              <w:t xml:space="preserve">: The deliverable as described in the contract section addressing Deliverables, covering the scope, schedule, methods, and acceptance criteria for Knowledge Transfer activities during Transition-Out. </w:t>
            </w:r>
          </w:p>
          <w:p w14:paraId="7FC013E4" w14:textId="77777777" w:rsidR="00FE6F2A"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Department Request</w:t>
            </w:r>
            <w:r>
              <w:rPr>
                <w:rFonts w:cs="Arial"/>
                <w:szCs w:val="20"/>
              </w:rPr>
              <w:t>: A written, time-stamped request from the Department for submission of the Transition-Out Training and Knowledge Transfer Plan.</w:t>
            </w:r>
          </w:p>
          <w:p w14:paraId="06C815A1" w14:textId="77777777" w:rsidR="00FE6F2A"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Submission Compliance Window</w:t>
            </w:r>
            <w:r>
              <w:rPr>
                <w:rFonts w:cs="Arial"/>
                <w:szCs w:val="20"/>
              </w:rPr>
              <w:t xml:space="preserve">: Thirty (30) calendar days from the Department Request date. </w:t>
            </w:r>
          </w:p>
          <w:p w14:paraId="44F28872"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Approved</w:t>
            </w:r>
            <w:r>
              <w:rPr>
                <w:rFonts w:cs="Arial"/>
                <w:szCs w:val="20"/>
              </w:rPr>
              <w:t>: Formal Department sign-off documented in writing.</w:t>
            </w:r>
          </w:p>
        </w:tc>
      </w:tr>
      <w:tr w:rsidR="00FE6F2A" w:rsidRPr="002C7415" w14:paraId="750FE94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F594962" w14:textId="77777777" w:rsidR="00FE6F2A" w:rsidRPr="002C7415" w:rsidRDefault="00FE6F2A" w:rsidP="00DB06F0">
            <w:pPr>
              <w:rPr>
                <w:rFonts w:cs="Arial"/>
                <w:b w:val="0"/>
                <w:bCs w:val="0"/>
                <w:szCs w:val="20"/>
              </w:rPr>
            </w:pPr>
            <w:r>
              <w:rPr>
                <w:rFonts w:cs="Arial"/>
                <w:szCs w:val="20"/>
              </w:rPr>
              <w:t>Exclusions</w:t>
            </w:r>
          </w:p>
        </w:tc>
        <w:tc>
          <w:tcPr>
            <w:tcW w:w="8900" w:type="dxa"/>
          </w:tcPr>
          <w:p w14:paraId="6F60F124"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Periods during which the Department has, in writing, paused review of the Plan for reasons not attributable to the Contractor (for example, internal Department scheduling) are excluded from the SLA clock to the extent the Contractor can demonstrate the pause through verifiable Department records.</w:t>
            </w:r>
          </w:p>
        </w:tc>
      </w:tr>
      <w:tr w:rsidR="00FE6F2A" w:rsidRPr="002C7415" w14:paraId="08A0E88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E75956B" w14:textId="77777777" w:rsidR="00FE6F2A" w:rsidRPr="002C7415" w:rsidRDefault="00FE6F2A" w:rsidP="00DB06F0">
            <w:pPr>
              <w:rPr>
                <w:rFonts w:cs="Arial"/>
                <w:b w:val="0"/>
                <w:bCs w:val="0"/>
                <w:szCs w:val="20"/>
              </w:rPr>
            </w:pPr>
            <w:r>
              <w:rPr>
                <w:rFonts w:cs="Arial"/>
                <w:szCs w:val="20"/>
              </w:rPr>
              <w:t>Process to Compile and Report SLA</w:t>
            </w:r>
          </w:p>
        </w:tc>
        <w:tc>
          <w:tcPr>
            <w:tcW w:w="8900" w:type="dxa"/>
          </w:tcPr>
          <w:p w14:paraId="7FF22C78"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capture and retain: the Department’s written request and timestamp; the date the Plan was submitted to the Department; the format and channel of submission; the recipient list; any Department comments or revision requests; the dates of any resubmissions; and the date of formal Department approval. The Contractor must include the Transition-Out Training and Knowledge Transfer Plan submission status in each weekly Transition-Out status report until the Plan is Department-approved, with explicit reference to the elapsed calendar days from the Department’s request.</w:t>
            </w:r>
          </w:p>
        </w:tc>
      </w:tr>
      <w:tr w:rsidR="00FE6F2A" w:rsidRPr="002C7415" w14:paraId="5D83F31C"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004B93E" w14:textId="77777777" w:rsidR="00FE6F2A" w:rsidRPr="002C7415" w:rsidRDefault="00FE6F2A" w:rsidP="00DB06F0">
            <w:pPr>
              <w:rPr>
                <w:rFonts w:cs="Arial"/>
                <w:b w:val="0"/>
                <w:bCs w:val="0"/>
                <w:szCs w:val="20"/>
              </w:rPr>
            </w:pPr>
            <w:r>
              <w:rPr>
                <w:rFonts w:cs="Arial"/>
                <w:szCs w:val="20"/>
              </w:rPr>
              <w:t>Converged E&amp;E System and AMS Service Credit</w:t>
            </w:r>
          </w:p>
        </w:tc>
        <w:tc>
          <w:tcPr>
            <w:tcW w:w="8900" w:type="dxa"/>
          </w:tcPr>
          <w:p w14:paraId="70433638"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the Transition-Out Training and Knowledge Transfer Plan is not submitted to and approved by the Department within thirty (30) calendar days of the Department’s request, damages of ten thousand dollars ($10,000) apply per calendar day, or portion thereof, until the Plan is submitted to and approved by the Department.</w:t>
            </w:r>
          </w:p>
        </w:tc>
      </w:tr>
    </w:tbl>
    <w:p w14:paraId="5AB01C7C" w14:textId="51ADA8D1" w:rsidR="00FE6F2A" w:rsidRPr="002C7415" w:rsidRDefault="00FE6F2A" w:rsidP="00FE6F2A">
      <w:pPr>
        <w:pStyle w:val="HeadingSLA"/>
      </w:pPr>
      <w:bookmarkStart w:id="109" w:name="_Toc230258269"/>
      <w:bookmarkStart w:id="110" w:name="_Toc233199171"/>
      <w:r>
        <w:t>Transition Out Training and Knowledge Transfer Plan Completion</w:t>
      </w:r>
      <w:bookmarkEnd w:id="109"/>
      <w:bookmarkEnd w:id="110"/>
    </w:p>
    <w:tbl>
      <w:tblPr>
        <w:tblStyle w:val="DOH-LeftHeader"/>
        <w:tblW w:w="4998" w:type="pct"/>
        <w:tblLayout w:type="fixed"/>
        <w:tblLook w:val="0480" w:firstRow="0" w:lastRow="0" w:firstColumn="1" w:lastColumn="0" w:noHBand="0" w:noVBand="1"/>
      </w:tblPr>
      <w:tblGrid>
        <w:gridCol w:w="1886"/>
        <w:gridCol w:w="8900"/>
      </w:tblGrid>
      <w:tr w:rsidR="00FE6F2A" w:rsidRPr="002C7415" w14:paraId="1EAC0A7F"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141B4AA" w14:textId="77777777" w:rsidR="00FE6F2A" w:rsidRPr="002C7415" w:rsidRDefault="00FE6F2A" w:rsidP="00DB06F0">
            <w:pPr>
              <w:rPr>
                <w:rFonts w:cs="Arial"/>
                <w:b w:val="0"/>
                <w:bCs w:val="0"/>
                <w:szCs w:val="20"/>
              </w:rPr>
            </w:pPr>
            <w:r>
              <w:rPr>
                <w:rFonts w:cs="Arial"/>
                <w:szCs w:val="20"/>
              </w:rPr>
              <w:t>Purpose</w:t>
            </w:r>
          </w:p>
        </w:tc>
        <w:tc>
          <w:tcPr>
            <w:tcW w:w="8900" w:type="dxa"/>
          </w:tcPr>
          <w:p w14:paraId="40BC9BA6"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purpose of this SLA is to ensure the timely and successful execution of the Transition-Out Training and Knowledge Transfer Plan. Following the approved schedule and plan is essential, as any delays in knowledge transfer may create operational risks and service gaps for both the Department and the Successor Contractor following the incumbent Contractor’s departure.</w:t>
            </w:r>
          </w:p>
        </w:tc>
      </w:tr>
      <w:tr w:rsidR="00FE6F2A" w:rsidRPr="002C7415" w14:paraId="578AF4F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91B5FC9" w14:textId="77777777" w:rsidR="00FE6F2A" w:rsidRPr="002C7415" w:rsidRDefault="00FE6F2A" w:rsidP="00DB06F0">
            <w:pPr>
              <w:rPr>
                <w:rFonts w:cs="Arial"/>
                <w:b w:val="0"/>
                <w:bCs w:val="0"/>
                <w:szCs w:val="20"/>
              </w:rPr>
            </w:pPr>
            <w:r>
              <w:rPr>
                <w:rFonts w:cs="Arial"/>
                <w:szCs w:val="20"/>
              </w:rPr>
              <w:t>Specification</w:t>
            </w:r>
          </w:p>
        </w:tc>
        <w:tc>
          <w:tcPr>
            <w:tcW w:w="8900" w:type="dxa"/>
          </w:tcPr>
          <w:p w14:paraId="3A367DF5"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must complete all knowledge transfer activities within the timeline specified in the Department-approved Transition-Out Training and Knowledge Transfer Plan. Completion includes execution of every knowledge transfer session, delivery of every supporting artifact, training of </w:t>
            </w:r>
            <w:r>
              <w:rPr>
                <w:rFonts w:cs="Arial"/>
                <w:szCs w:val="20"/>
              </w:rPr>
              <w:lastRenderedPageBreak/>
              <w:t>designated Department staff and Department contractors on Converged E&amp;E and AMS Systems operations, maintenance, and troubleshooting. The Department’s written approval and verification that the plan is complete is the last component.</w:t>
            </w:r>
          </w:p>
        </w:tc>
      </w:tr>
      <w:tr w:rsidR="00FE6F2A" w:rsidRPr="002C7415" w14:paraId="55BC7FA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8E4CD8D" w14:textId="77777777" w:rsidR="00FE6F2A" w:rsidRPr="002C7415" w:rsidRDefault="00FE6F2A" w:rsidP="00DB06F0">
            <w:pPr>
              <w:rPr>
                <w:rFonts w:cs="Arial"/>
                <w:b w:val="0"/>
                <w:bCs w:val="0"/>
                <w:szCs w:val="20"/>
              </w:rPr>
            </w:pPr>
            <w:r>
              <w:rPr>
                <w:rFonts w:cs="Arial"/>
                <w:szCs w:val="20"/>
              </w:rPr>
              <w:lastRenderedPageBreak/>
              <w:t>Service Level</w:t>
            </w:r>
          </w:p>
        </w:tc>
        <w:tc>
          <w:tcPr>
            <w:tcW w:w="8900" w:type="dxa"/>
          </w:tcPr>
          <w:p w14:paraId="4CAE4C93"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all knowledge transfer tasks in the approved plan must be finished, verified, and approved by the Department by the dates listed for each task and by the overall Plan completion date</w:t>
            </w:r>
          </w:p>
        </w:tc>
      </w:tr>
      <w:tr w:rsidR="00FE6F2A" w:rsidRPr="002C7415" w14:paraId="13C1CC6A"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B79810F" w14:textId="77777777" w:rsidR="00FE6F2A" w:rsidRPr="002C7415" w:rsidRDefault="00FE6F2A" w:rsidP="00DB06F0">
            <w:pPr>
              <w:rPr>
                <w:rFonts w:cs="Arial"/>
                <w:b w:val="0"/>
                <w:bCs w:val="0"/>
                <w:szCs w:val="20"/>
              </w:rPr>
            </w:pPr>
            <w:r>
              <w:rPr>
                <w:rFonts w:cs="Arial"/>
                <w:szCs w:val="20"/>
              </w:rPr>
              <w:t>Notes</w:t>
            </w:r>
          </w:p>
        </w:tc>
        <w:tc>
          <w:tcPr>
            <w:tcW w:w="8900" w:type="dxa"/>
          </w:tcPr>
          <w:p w14:paraId="3F58E50E" w14:textId="77777777" w:rsidR="00FE6F2A" w:rsidRPr="002C7415" w:rsidRDefault="00FE6F2A" w:rsidP="00DB06F0">
            <w:pPr>
              <w:pStyle w:val="TableBullet"/>
              <w:cnfStyle w:val="000000010000" w:firstRow="0" w:lastRow="0" w:firstColumn="0" w:lastColumn="0" w:oddVBand="0" w:evenVBand="0" w:oddHBand="0" w:evenHBand="1" w:firstRowFirstColumn="0" w:firstRowLastColumn="0" w:lastRowFirstColumn="0" w:lastRowLastColumn="0"/>
            </w:pPr>
            <w:r>
              <w:t>Work is only considered finished once the Department approves it in writing.</w:t>
            </w:r>
          </w:p>
          <w:p w14:paraId="5058244D" w14:textId="77777777" w:rsidR="00FE6F2A" w:rsidRPr="002C7415" w:rsidRDefault="00FE6F2A" w:rsidP="00DB06F0">
            <w:pPr>
              <w:pStyle w:val="TableBullet"/>
              <w:cnfStyle w:val="000000010000" w:firstRow="0" w:lastRow="0" w:firstColumn="0" w:lastColumn="0" w:oddVBand="0" w:evenVBand="0" w:oddHBand="0" w:evenHBand="1" w:firstRowFirstColumn="0" w:firstRowLastColumn="0" w:lastRowFirstColumn="0" w:lastRowLastColumn="0"/>
            </w:pPr>
            <w:r>
              <w:t>The Contractor must get written approval from the Department in advance if they need to extend any plan dates.</w:t>
            </w:r>
          </w:p>
          <w:p w14:paraId="60756C1F" w14:textId="77777777" w:rsidR="00FE6F2A" w:rsidRPr="002C7415" w:rsidRDefault="00FE6F2A" w:rsidP="00DB06F0">
            <w:pPr>
              <w:pStyle w:val="TableBullet"/>
              <w:cnfStyle w:val="000000010000" w:firstRow="0" w:lastRow="0" w:firstColumn="0" w:lastColumn="0" w:oddVBand="0" w:evenVBand="0" w:oddHBand="0" w:evenHBand="1" w:firstRowFirstColumn="0" w:firstRowLastColumn="0" w:lastRowFirstColumn="0" w:lastRowLastColumn="0"/>
            </w:pPr>
            <w:r>
              <w:t>The Contractor must name a single person responsible for tracking all handover tasks and reporting on this SLA.</w:t>
            </w:r>
          </w:p>
        </w:tc>
      </w:tr>
      <w:tr w:rsidR="00FE6F2A" w:rsidRPr="002C7415" w14:paraId="7B6C91F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CCBA83F" w14:textId="77777777" w:rsidR="00FE6F2A" w:rsidRPr="002C7415" w:rsidRDefault="00FE6F2A" w:rsidP="00DB06F0">
            <w:pPr>
              <w:rPr>
                <w:rFonts w:cs="Arial"/>
                <w:b w:val="0"/>
                <w:bCs w:val="0"/>
                <w:szCs w:val="20"/>
              </w:rPr>
            </w:pPr>
            <w:r>
              <w:rPr>
                <w:rFonts w:cs="Arial"/>
                <w:szCs w:val="20"/>
              </w:rPr>
              <w:t>Reporting Frequency</w:t>
            </w:r>
          </w:p>
        </w:tc>
        <w:tc>
          <w:tcPr>
            <w:tcW w:w="8900" w:type="dxa"/>
          </w:tcPr>
          <w:p w14:paraId="7C023307"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 Knowledge transfer completion progress is tracked continuously and reported in the Contractor’s weekly Transition-Out status report. SLA is finalized at the end of the Transition-Out Period.</w:t>
            </w:r>
          </w:p>
        </w:tc>
      </w:tr>
      <w:tr w:rsidR="00FE6F2A" w:rsidRPr="002C7415" w14:paraId="2CCB9C5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F27DB3E" w14:textId="77777777" w:rsidR="00FE6F2A" w:rsidRPr="002C7415" w:rsidRDefault="00FE6F2A" w:rsidP="00DB06F0">
            <w:pPr>
              <w:rPr>
                <w:rFonts w:cs="Arial"/>
                <w:szCs w:val="20"/>
              </w:rPr>
            </w:pPr>
            <w:r>
              <w:rPr>
                <w:rFonts w:cs="Arial"/>
                <w:szCs w:val="20"/>
              </w:rPr>
              <w:t>SLA Calculations</w:t>
            </w:r>
          </w:p>
        </w:tc>
        <w:tc>
          <w:tcPr>
            <w:tcW w:w="8900" w:type="dxa"/>
          </w:tcPr>
          <w:p w14:paraId="0712836A"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Here is how to measure if this SLA was met:</w:t>
            </w:r>
          </w:p>
          <w:p w14:paraId="6C481B39"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Review the Plan Completion Dates</w:t>
            </w:r>
            <w:r>
              <w:rPr>
                <w:rFonts w:cs="Arial"/>
                <w:szCs w:val="20"/>
              </w:rPr>
              <w:t>: Identify the completion dates for all tasks in the approved Transition-Out Training and Knowledge Transfer Plan.</w:t>
            </w:r>
          </w:p>
          <w:p w14:paraId="25494FDF"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Determine SLA Compliance</w:t>
            </w:r>
            <w:r>
              <w:rPr>
                <w:rFonts w:cs="Arial"/>
                <w:szCs w:val="20"/>
              </w:rPr>
              <w:t>: If all scheduled tasks are not finished and approved by the dates in the plan, a service credit is applied.</w:t>
            </w:r>
          </w:p>
          <w:p w14:paraId="0889E2BA"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Calculate the Shortfall</w:t>
            </w:r>
            <w:r>
              <w:rPr>
                <w:rFonts w:cs="Arial"/>
                <w:szCs w:val="20"/>
              </w:rPr>
              <w:t xml:space="preserve">: Count the number of calendar days between the scheduled Transition-Out Training and Knowledge Transfer Plan completion date and the Actual Completion Date. The service credit of twelve thousand dollars ($12,000) is multiplied by the number of calendar days the plan was incomplete. </w:t>
            </w:r>
          </w:p>
        </w:tc>
      </w:tr>
      <w:tr w:rsidR="00FE6F2A" w:rsidRPr="002C7415" w14:paraId="48794BF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A3973E0" w14:textId="77777777" w:rsidR="00FE6F2A" w:rsidRPr="002C7415" w:rsidRDefault="00FE6F2A" w:rsidP="00DB06F0">
            <w:pPr>
              <w:rPr>
                <w:rFonts w:cs="Arial"/>
                <w:b w:val="0"/>
                <w:bCs w:val="0"/>
                <w:szCs w:val="20"/>
              </w:rPr>
            </w:pPr>
            <w:r>
              <w:rPr>
                <w:rFonts w:cs="Arial"/>
                <w:szCs w:val="20"/>
              </w:rPr>
              <w:t>SLA Calculations Definitions</w:t>
            </w:r>
          </w:p>
        </w:tc>
        <w:tc>
          <w:tcPr>
            <w:tcW w:w="8900" w:type="dxa"/>
          </w:tcPr>
          <w:p w14:paraId="291F09AE" w14:textId="77777777" w:rsidR="00FE6F2A"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Knowledge Transfer Activity</w:t>
            </w:r>
            <w:r>
              <w:rPr>
                <w:rFonts w:cs="Arial"/>
                <w:szCs w:val="20"/>
              </w:rPr>
              <w:t>: A specific knowledge transfer session, artifact delivery, training event, or other action identified in the Department-approved Transition-Out Training and Knowledge Transfer Plan.</w:t>
            </w:r>
          </w:p>
          <w:p w14:paraId="26C31F9F" w14:textId="77777777" w:rsidR="00FE6F2A"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Department-Approved Transition-Out Training and Knowledge Transfer Plan</w:t>
            </w:r>
            <w:r>
              <w:rPr>
                <w:rFonts w:cs="Arial"/>
                <w:szCs w:val="20"/>
              </w:rPr>
              <w:t>: The Transition-Out Training and Knowledge Transfer Plan submitted by the Contractor and approved by the Department, including any Department-approved revisions.</w:t>
            </w:r>
          </w:p>
          <w:p w14:paraId="26A0CE36" w14:textId="77777777" w:rsidR="00FE6F2A"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Completion:</w:t>
            </w:r>
            <w:r>
              <w:rPr>
                <w:rFonts w:cs="Arial"/>
                <w:szCs w:val="20"/>
              </w:rPr>
              <w:t xml:space="preserve"> All activities delivered as specified in the Plan, with verification and written approval by the Department.</w:t>
            </w:r>
          </w:p>
          <w:p w14:paraId="0213B0FB"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Verified and Approved</w:t>
            </w:r>
            <w:r>
              <w:rPr>
                <w:rFonts w:cs="Arial"/>
                <w:szCs w:val="20"/>
              </w:rPr>
              <w:t>: Documented Department acceptance that the activity, or the Plan as a whole, has been completed to the Department’s satisfaction.</w:t>
            </w:r>
          </w:p>
        </w:tc>
      </w:tr>
      <w:tr w:rsidR="00FE6F2A" w:rsidRPr="002C7415" w14:paraId="7412FC7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064718A" w14:textId="77777777" w:rsidR="00FE6F2A" w:rsidRPr="002C7415" w:rsidRDefault="00FE6F2A" w:rsidP="00DB06F0">
            <w:pPr>
              <w:rPr>
                <w:rFonts w:cs="Arial"/>
                <w:b w:val="0"/>
                <w:bCs w:val="0"/>
                <w:szCs w:val="20"/>
              </w:rPr>
            </w:pPr>
            <w:r>
              <w:rPr>
                <w:rFonts w:cs="Arial"/>
                <w:szCs w:val="20"/>
              </w:rPr>
              <w:t>Exclusions</w:t>
            </w:r>
          </w:p>
        </w:tc>
        <w:tc>
          <w:tcPr>
            <w:tcW w:w="8900" w:type="dxa"/>
          </w:tcPr>
          <w:p w14:paraId="5864A30F"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 delay does not count as a breach if:</w:t>
            </w:r>
          </w:p>
          <w:p w14:paraId="27D04DE4" w14:textId="77777777" w:rsidR="00FE6F2A" w:rsidRPr="002C7415" w:rsidRDefault="00FE6F2A" w:rsidP="00DB06F0">
            <w:pPr>
              <w:pStyle w:val="TableBullet"/>
              <w:cnfStyle w:val="000000010000" w:firstRow="0" w:lastRow="0" w:firstColumn="0" w:lastColumn="0" w:oddVBand="0" w:evenVBand="0" w:oddHBand="0" w:evenHBand="1" w:firstRowFirstColumn="0" w:firstRowLastColumn="0" w:lastRowFirstColumn="0" w:lastRowLastColumn="0"/>
            </w:pPr>
            <w:r>
              <w:t>The Department approved a deadline extension in writing before the original date passed.</w:t>
            </w:r>
          </w:p>
          <w:p w14:paraId="7D48FCB1" w14:textId="77777777" w:rsidR="00FE6F2A" w:rsidRPr="002C7415" w:rsidRDefault="00FE6F2A" w:rsidP="00DB06F0">
            <w:pPr>
              <w:pStyle w:val="TableBullet"/>
              <w:cnfStyle w:val="000000010000" w:firstRow="0" w:lastRow="0" w:firstColumn="0" w:lastColumn="0" w:oddVBand="0" w:evenVBand="0" w:oddHBand="0" w:evenHBand="1" w:firstRowFirstColumn="0" w:firstRowLastColumn="0" w:lastRowFirstColumn="0" w:lastRowLastColumn="0"/>
            </w:pPr>
            <w:r>
              <w:t>The delay was caused by Department actions or because the  Contractor was unavailable, provided the delay was beyond the Contractor’s control, the Contractor can prove it with records, and the Department acknowledges the delay in writing.</w:t>
            </w:r>
          </w:p>
        </w:tc>
      </w:tr>
      <w:tr w:rsidR="00FE6F2A" w:rsidRPr="002C7415" w14:paraId="4F568BFC"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76C96A2" w14:textId="77777777" w:rsidR="00FE6F2A" w:rsidRPr="002C7415" w:rsidRDefault="00FE6F2A" w:rsidP="00DB06F0">
            <w:pPr>
              <w:rPr>
                <w:rFonts w:cs="Arial"/>
                <w:b w:val="0"/>
                <w:bCs w:val="0"/>
                <w:szCs w:val="20"/>
              </w:rPr>
            </w:pPr>
            <w:r>
              <w:rPr>
                <w:rFonts w:cs="Arial"/>
                <w:szCs w:val="20"/>
              </w:rPr>
              <w:t>Process to Compile and Report SLA</w:t>
            </w:r>
          </w:p>
        </w:tc>
        <w:tc>
          <w:tcPr>
            <w:tcW w:w="8900" w:type="dxa"/>
          </w:tcPr>
          <w:p w14:paraId="3BDB9540"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include a Knowledge Transfer Completion summary within the final Transition-Out Weekly Status Report. For every task in the plan, the summary must include:</w:t>
            </w:r>
          </w:p>
          <w:p w14:paraId="71F98E44" w14:textId="77777777" w:rsidR="00FE6F2A" w:rsidRPr="002C7415" w:rsidRDefault="00FE6F2A" w:rsidP="00DB06F0">
            <w:pPr>
              <w:pStyle w:val="TableBullet"/>
              <w:cnfStyle w:val="000000000000" w:firstRow="0" w:lastRow="0" w:firstColumn="0" w:lastColumn="0" w:oddVBand="0" w:evenVBand="0" w:oddHBand="0" w:evenHBand="0" w:firstRowFirstColumn="0" w:firstRowLastColumn="0" w:lastRowFirstColumn="0" w:lastRowLastColumn="0"/>
            </w:pPr>
            <w:r>
              <w:t>The task name and ID</w:t>
            </w:r>
          </w:p>
          <w:p w14:paraId="0DD3B4A0" w14:textId="77777777" w:rsidR="00FE6F2A" w:rsidRPr="002C7415" w:rsidRDefault="00FE6F2A" w:rsidP="00DB06F0">
            <w:pPr>
              <w:pStyle w:val="TableBullet"/>
              <w:cnfStyle w:val="000000000000" w:firstRow="0" w:lastRow="0" w:firstColumn="0" w:lastColumn="0" w:oddVBand="0" w:evenVBand="0" w:oddHBand="0" w:evenHBand="0" w:firstRowFirstColumn="0" w:firstRowLastColumn="0" w:lastRowFirstColumn="0" w:lastRowLastColumn="0"/>
            </w:pPr>
            <w:r>
              <w:t>The planned and actual completion dates</w:t>
            </w:r>
          </w:p>
          <w:p w14:paraId="0DC52396" w14:textId="77777777" w:rsidR="00FE6F2A" w:rsidRPr="002C7415" w:rsidRDefault="00FE6F2A" w:rsidP="00DB06F0">
            <w:pPr>
              <w:pStyle w:val="TableBullet"/>
              <w:cnfStyle w:val="000000000000" w:firstRow="0" w:lastRow="0" w:firstColumn="0" w:lastColumn="0" w:oddVBand="0" w:evenVBand="0" w:oddHBand="0" w:evenHBand="0" w:firstRowFirstColumn="0" w:firstRowLastColumn="0" w:lastRowFirstColumn="0" w:lastRowLastColumn="0"/>
            </w:pPr>
            <w:r>
              <w:t>Proof that the work was done (e.g., attendance lists, signed forms, or delivered documents)</w:t>
            </w:r>
          </w:p>
          <w:p w14:paraId="5EF2F394" w14:textId="77777777" w:rsidR="00FE6F2A" w:rsidRPr="002C7415" w:rsidRDefault="00FE6F2A" w:rsidP="00DB06F0">
            <w:pPr>
              <w:pStyle w:val="TableBullet"/>
              <w:cnfStyle w:val="000000000000" w:firstRow="0" w:lastRow="0" w:firstColumn="0" w:lastColumn="0" w:oddVBand="0" w:evenVBand="0" w:oddHBand="0" w:evenHBand="0" w:firstRowFirstColumn="0" w:firstRowLastColumn="0" w:lastRowFirstColumn="0" w:lastRowLastColumn="0"/>
            </w:pPr>
            <w:r>
              <w:t>A list of the training materials used to teach Department staff and other contractors how to run and fix the specified systems</w:t>
            </w:r>
          </w:p>
          <w:p w14:paraId="2977568C" w14:textId="77777777" w:rsidR="00FE6F2A" w:rsidRPr="002C7415" w:rsidRDefault="00FE6F2A" w:rsidP="00DB06F0">
            <w:pPr>
              <w:pStyle w:val="TableBullet"/>
              <w:cnfStyle w:val="000000000000" w:firstRow="0" w:lastRow="0" w:firstColumn="0" w:lastColumn="0" w:oddVBand="0" w:evenVBand="0" w:oddHBand="0" w:evenHBand="0" w:firstRowFirstColumn="0" w:firstRowLastColumn="0" w:lastRowFirstColumn="0" w:lastRowLastColumn="0"/>
            </w:pPr>
            <w:r>
              <w:t>The date the Department approved the task.</w:t>
            </w:r>
          </w:p>
          <w:p w14:paraId="62401445"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keep a permanent record of all completed knowledge transfer activities, along with all Department-approved revisions and extensions to the plan.</w:t>
            </w:r>
          </w:p>
        </w:tc>
      </w:tr>
      <w:tr w:rsidR="00FE6F2A" w:rsidRPr="002C7415" w14:paraId="213B429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645121F" w14:textId="77777777" w:rsidR="00FE6F2A" w:rsidRPr="002C7415" w:rsidRDefault="00FE6F2A" w:rsidP="00DB06F0">
            <w:pPr>
              <w:rPr>
                <w:rFonts w:cs="Arial"/>
                <w:b w:val="0"/>
                <w:bCs w:val="0"/>
                <w:szCs w:val="20"/>
              </w:rPr>
            </w:pPr>
            <w:r>
              <w:rPr>
                <w:rFonts w:cs="Arial"/>
                <w:szCs w:val="20"/>
              </w:rPr>
              <w:lastRenderedPageBreak/>
              <w:t>Converged E&amp;E System and AMS Service Credit</w:t>
            </w:r>
          </w:p>
        </w:tc>
        <w:tc>
          <w:tcPr>
            <w:tcW w:w="8900" w:type="dxa"/>
          </w:tcPr>
          <w:p w14:paraId="62D5055A"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knowledge transfer tasks are not finished on the Department-approved plan completion date, a service credit of ten thousand dollars ($10,000) per calendar day, or portion of the day, applies until the Contractor submits the Knowledge Transfer Completion summary.</w:t>
            </w:r>
          </w:p>
        </w:tc>
      </w:tr>
    </w:tbl>
    <w:p w14:paraId="3BF8EBC8" w14:textId="0E3232B8" w:rsidR="00FE6F2A" w:rsidRPr="002C7415" w:rsidRDefault="00FE6F2A" w:rsidP="00FE6F2A">
      <w:pPr>
        <w:pStyle w:val="HeadingSLA"/>
      </w:pPr>
      <w:bookmarkStart w:id="111" w:name="_Toc230258270"/>
      <w:bookmarkStart w:id="112" w:name="_Toc233199172"/>
      <w:r>
        <w:t>Key Staff Turnover</w:t>
      </w:r>
      <w:bookmarkEnd w:id="111"/>
      <w:bookmarkEnd w:id="112"/>
    </w:p>
    <w:tbl>
      <w:tblPr>
        <w:tblStyle w:val="DOH-LeftHeader"/>
        <w:tblW w:w="4998" w:type="pct"/>
        <w:tblLayout w:type="fixed"/>
        <w:tblLook w:val="0480" w:firstRow="0" w:lastRow="0" w:firstColumn="1" w:lastColumn="0" w:noHBand="0" w:noVBand="1"/>
      </w:tblPr>
      <w:tblGrid>
        <w:gridCol w:w="1886"/>
        <w:gridCol w:w="8900"/>
      </w:tblGrid>
      <w:tr w:rsidR="00FE6F2A" w:rsidRPr="002C7415" w14:paraId="4619E92C"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77A1B2A" w14:textId="77777777" w:rsidR="00FE6F2A" w:rsidRPr="002C7415" w:rsidRDefault="00FE6F2A" w:rsidP="00DB06F0">
            <w:pPr>
              <w:rPr>
                <w:rFonts w:cs="Arial"/>
                <w:b w:val="0"/>
                <w:bCs w:val="0"/>
                <w:szCs w:val="20"/>
              </w:rPr>
            </w:pPr>
            <w:r>
              <w:rPr>
                <w:rFonts w:cs="Arial"/>
                <w:szCs w:val="20"/>
              </w:rPr>
              <w:t>Purpose</w:t>
            </w:r>
          </w:p>
        </w:tc>
        <w:tc>
          <w:tcPr>
            <w:tcW w:w="8900" w:type="dxa"/>
          </w:tcPr>
          <w:p w14:paraId="02710D5A"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holds the Contractor accountable for quickly replacing any departing Key Staff to ensure expertise is maintained on the project.</w:t>
            </w:r>
          </w:p>
        </w:tc>
      </w:tr>
      <w:tr w:rsidR="00FE6F2A" w:rsidRPr="002C7415" w14:paraId="358FA1C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B130EA8" w14:textId="77777777" w:rsidR="00FE6F2A" w:rsidRPr="002C7415" w:rsidRDefault="00FE6F2A" w:rsidP="00DB06F0">
            <w:pPr>
              <w:rPr>
                <w:rFonts w:cs="Arial"/>
                <w:b w:val="0"/>
                <w:bCs w:val="0"/>
                <w:szCs w:val="20"/>
              </w:rPr>
            </w:pPr>
            <w:r>
              <w:rPr>
                <w:rFonts w:cs="Arial"/>
                <w:szCs w:val="20"/>
              </w:rPr>
              <w:t>Specification</w:t>
            </w:r>
          </w:p>
        </w:tc>
        <w:tc>
          <w:tcPr>
            <w:tcW w:w="8900" w:type="dxa"/>
          </w:tcPr>
          <w:p w14:paraId="5526336C"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When a Key Staff position becomes vacant, the Contractor must find a qualified replacement candidate for the Department to review and approve. The Department has the right to review resumes, interview all candidates, and reject any candidate for any reason.</w:t>
            </w:r>
          </w:p>
        </w:tc>
      </w:tr>
      <w:tr w:rsidR="00FE6F2A" w:rsidRPr="002C7415" w14:paraId="388CD3D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23D5C0D" w14:textId="77777777" w:rsidR="00FE6F2A" w:rsidRPr="002C7415" w:rsidRDefault="00FE6F2A" w:rsidP="00DB06F0">
            <w:pPr>
              <w:rPr>
                <w:rFonts w:cs="Arial"/>
                <w:b w:val="0"/>
                <w:bCs w:val="0"/>
                <w:szCs w:val="20"/>
              </w:rPr>
            </w:pPr>
            <w:r>
              <w:rPr>
                <w:rFonts w:cs="Arial"/>
                <w:szCs w:val="20"/>
              </w:rPr>
              <w:t>Service Level</w:t>
            </w:r>
          </w:p>
        </w:tc>
        <w:tc>
          <w:tcPr>
            <w:tcW w:w="8900" w:type="dxa"/>
          </w:tcPr>
          <w:p w14:paraId="670150FC" w14:textId="77777777" w:rsidR="00FE6F2A" w:rsidRPr="002C7415" w:rsidRDefault="00FE6F2A"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A Department-approved replacement must start work within thirty (30) total calendar days of the position becoming vacant. This thirty (30)-day clock is paused while the Department is formally reviewing a candidate.</w:t>
            </w:r>
          </w:p>
        </w:tc>
      </w:tr>
      <w:tr w:rsidR="00FE6F2A" w:rsidRPr="002C7415" w14:paraId="532045D1"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DA71E4C" w14:textId="77777777" w:rsidR="00FE6F2A" w:rsidRPr="002C7415" w:rsidRDefault="00FE6F2A" w:rsidP="00DB06F0">
            <w:pPr>
              <w:rPr>
                <w:rFonts w:cs="Arial"/>
                <w:b w:val="0"/>
                <w:bCs w:val="0"/>
                <w:szCs w:val="20"/>
              </w:rPr>
            </w:pPr>
            <w:r>
              <w:rPr>
                <w:rFonts w:cs="Arial"/>
                <w:szCs w:val="20"/>
              </w:rPr>
              <w:t>Notes</w:t>
            </w:r>
          </w:p>
        </w:tc>
        <w:tc>
          <w:tcPr>
            <w:tcW w:w="8900" w:type="dxa"/>
          </w:tcPr>
          <w:p w14:paraId="5F41F883" w14:textId="7668DD33"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official list of Key Staff positions is in </w:t>
            </w:r>
            <w:r>
              <w:rPr>
                <w:rFonts w:cs="Arial"/>
                <w:b/>
                <w:bCs/>
                <w:szCs w:val="20"/>
              </w:rPr>
              <w:t>Exhibit G.26 – Converged E&amp;E System and AMS Staffing Table Key Staff</w:t>
            </w:r>
            <w:r>
              <w:rPr>
                <w:rFonts w:cs="Arial"/>
                <w:szCs w:val="20"/>
              </w:rPr>
              <w:t>.</w:t>
            </w:r>
          </w:p>
          <w:p w14:paraId="00E7AE8F"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eastAsia="Calibri" w:cs="Arial"/>
                <w:szCs w:val="20"/>
              </w:rPr>
              <w:t>T</w:t>
            </w:r>
            <w:r>
              <w:rPr>
                <w:rFonts w:cs="Arial"/>
                <w:szCs w:val="20"/>
              </w:rPr>
              <w:t>he Department can require the removal and replacement of any Contractor staff member at any time if their performance is not acceptable.</w:t>
            </w:r>
          </w:p>
        </w:tc>
      </w:tr>
      <w:tr w:rsidR="00FE6F2A" w:rsidRPr="002C7415" w14:paraId="2F781F3F"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82340AA" w14:textId="77777777" w:rsidR="00FE6F2A" w:rsidRPr="002C7415" w:rsidRDefault="00FE6F2A" w:rsidP="00DB06F0">
            <w:pPr>
              <w:rPr>
                <w:rFonts w:cs="Arial"/>
                <w:b w:val="0"/>
                <w:bCs w:val="0"/>
                <w:szCs w:val="20"/>
              </w:rPr>
            </w:pPr>
            <w:r>
              <w:rPr>
                <w:rFonts w:cs="Arial"/>
                <w:szCs w:val="20"/>
              </w:rPr>
              <w:t>Reporting Frequency</w:t>
            </w:r>
          </w:p>
        </w:tc>
        <w:tc>
          <w:tcPr>
            <w:tcW w:w="8900" w:type="dxa"/>
          </w:tcPr>
          <w:p w14:paraId="1B74819E" w14:textId="77777777" w:rsidR="00FE6F2A" w:rsidRPr="002C7415" w:rsidRDefault="00FE6F2A"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Per occurrence.</w:t>
            </w:r>
          </w:p>
          <w:p w14:paraId="5F9D454A" w14:textId="77777777" w:rsidR="00FE6F2A" w:rsidRPr="002C7415" w:rsidRDefault="00FE6F2A"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is reported for each event in which a key staff vacancy occurs throughout the Contract term. </w:t>
            </w:r>
          </w:p>
        </w:tc>
      </w:tr>
      <w:tr w:rsidR="00FE6F2A" w:rsidRPr="002C7415" w14:paraId="0942B52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E5374ED" w14:textId="77777777" w:rsidR="00FE6F2A" w:rsidRPr="002C7415" w:rsidRDefault="00FE6F2A" w:rsidP="00DB06F0">
            <w:pPr>
              <w:rPr>
                <w:rFonts w:cs="Arial"/>
                <w:szCs w:val="20"/>
              </w:rPr>
            </w:pPr>
            <w:r>
              <w:rPr>
                <w:rFonts w:cs="Arial"/>
                <w:szCs w:val="20"/>
              </w:rPr>
              <w:t>SLA Calculations</w:t>
            </w:r>
          </w:p>
        </w:tc>
        <w:tc>
          <w:tcPr>
            <w:tcW w:w="8900" w:type="dxa"/>
          </w:tcPr>
          <w:p w14:paraId="52B9750C"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Here is how the thirty (30) calendar day timeframe is measured for each vacancy:</w:t>
            </w:r>
          </w:p>
          <w:p w14:paraId="2FCC3C1B" w14:textId="77777777" w:rsidR="00FE6F2A" w:rsidRPr="002C7415" w:rsidRDefault="00FE6F2A"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Start the Clock</w:t>
            </w:r>
            <w:r>
              <w:rPr>
                <w:rFonts w:cs="Arial"/>
                <w:szCs w:val="20"/>
              </w:rPr>
              <w:t>: The “Vacancy Clock” begins on the first day a Key Staff position is vacant.</w:t>
            </w:r>
          </w:p>
          <w:p w14:paraId="492A9D1E" w14:textId="77777777" w:rsidR="00FE6F2A" w:rsidRPr="002C7415" w:rsidRDefault="00FE6F2A"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Pause the Clock</w:t>
            </w:r>
            <w:r>
              <w:rPr>
                <w:rFonts w:cs="Arial"/>
                <w:szCs w:val="20"/>
              </w:rPr>
              <w:t>: The clock is paused on the day the Contractor formally submits a candidate’s resume to the Department for review.</w:t>
            </w:r>
          </w:p>
          <w:p w14:paraId="02DA626A" w14:textId="77777777" w:rsidR="00FE6F2A" w:rsidRPr="002C7415" w:rsidRDefault="00FE6F2A"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Restart the Clock</w:t>
            </w:r>
            <w:r>
              <w:rPr>
                <w:rFonts w:cs="Arial"/>
                <w:szCs w:val="20"/>
              </w:rPr>
              <w:t>: The clock resumes on the day the Department provides its disposition (approved or rejected).</w:t>
            </w:r>
          </w:p>
          <w:p w14:paraId="0EFE402C" w14:textId="77777777" w:rsidR="00FE6F2A" w:rsidRPr="002C7415" w:rsidRDefault="00FE6F2A"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Calculate Total Vacancy Calendar Days:</w:t>
            </w:r>
            <w:r>
              <w:rPr>
                <w:rFonts w:cs="Arial"/>
                <w:szCs w:val="20"/>
              </w:rPr>
              <w:t xml:space="preserve"> The total number of calendar days the Vacancy Clock was running is calculated from the start of the vacancy until the replacement’s first day of work, excluding the calendar days when the Vacancy Clock is paused.</w:t>
            </w:r>
          </w:p>
          <w:p w14:paraId="4AF08C49" w14:textId="77777777" w:rsidR="00FE6F2A" w:rsidRPr="002C7415" w:rsidRDefault="00FE6F2A"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Evaluate Compliance: </w:t>
            </w:r>
            <w:r>
              <w:rPr>
                <w:rFonts w:cs="Arial"/>
                <w:szCs w:val="20"/>
              </w:rPr>
              <w:t>Count the total number of calendar days the clock was running from the first day of the vacancy until the replacement’s first day of work, excluding days when the Vacancy Clock was paused. If the total is more than thirty (30) calendar days, a service credit applies for every day over the thirty (30)-day limit.</w:t>
            </w:r>
          </w:p>
        </w:tc>
      </w:tr>
      <w:tr w:rsidR="00FE6F2A" w:rsidRPr="002C7415" w14:paraId="0E00135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F2B2F9D" w14:textId="77777777" w:rsidR="00FE6F2A" w:rsidRPr="002C7415" w:rsidRDefault="00FE6F2A" w:rsidP="00DB06F0">
            <w:pPr>
              <w:rPr>
                <w:rFonts w:cs="Arial"/>
                <w:b w:val="0"/>
                <w:bCs w:val="0"/>
                <w:szCs w:val="20"/>
              </w:rPr>
            </w:pPr>
            <w:r>
              <w:rPr>
                <w:rFonts w:cs="Arial"/>
                <w:szCs w:val="20"/>
              </w:rPr>
              <w:t>SLA Calculations Definitions</w:t>
            </w:r>
          </w:p>
        </w:tc>
        <w:tc>
          <w:tcPr>
            <w:tcW w:w="8900" w:type="dxa"/>
          </w:tcPr>
          <w:p w14:paraId="16CE9392"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Calendar Day</w:t>
            </w:r>
            <w:r>
              <w:rPr>
                <w:rFonts w:cs="Arial"/>
                <w:szCs w:val="20"/>
              </w:rPr>
              <w:t>: Any day of the month from 12:00 a.m. through 11:59 p.m. Eastern Time, including weekends and state and federal holidays</w:t>
            </w:r>
          </w:p>
        </w:tc>
      </w:tr>
      <w:tr w:rsidR="00FE6F2A" w:rsidRPr="002C7415" w14:paraId="2F43E5A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3F2DF80" w14:textId="77777777" w:rsidR="00FE6F2A" w:rsidRPr="002C7415" w:rsidRDefault="00FE6F2A" w:rsidP="00DB06F0">
            <w:pPr>
              <w:rPr>
                <w:rFonts w:cs="Arial"/>
                <w:b w:val="0"/>
                <w:bCs w:val="0"/>
                <w:szCs w:val="20"/>
              </w:rPr>
            </w:pPr>
            <w:r>
              <w:rPr>
                <w:rFonts w:cs="Arial"/>
                <w:szCs w:val="20"/>
              </w:rPr>
              <w:t>Exclusions</w:t>
            </w:r>
          </w:p>
        </w:tc>
        <w:tc>
          <w:tcPr>
            <w:tcW w:w="8900" w:type="dxa"/>
          </w:tcPr>
          <w:p w14:paraId="077504C0"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time the Department spends formally reviewing a candidate’s resume does not count against the Contractor’s thirty (30) calendar day limit. The Contractor is responsible for providing proof of the exact dates the Vacancy Clock was paused.</w:t>
            </w:r>
          </w:p>
        </w:tc>
      </w:tr>
      <w:tr w:rsidR="00FE6F2A" w:rsidRPr="002C7415" w14:paraId="4588894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ACE48CE" w14:textId="77777777" w:rsidR="00FE6F2A" w:rsidRPr="002C7415" w:rsidRDefault="00FE6F2A" w:rsidP="00DB06F0">
            <w:pPr>
              <w:rPr>
                <w:rFonts w:cs="Arial"/>
                <w:b w:val="0"/>
                <w:bCs w:val="0"/>
                <w:szCs w:val="20"/>
              </w:rPr>
            </w:pPr>
            <w:r>
              <w:rPr>
                <w:rFonts w:cs="Arial"/>
                <w:szCs w:val="20"/>
              </w:rPr>
              <w:t>Process to Compile and Report SLA</w:t>
            </w:r>
          </w:p>
        </w:tc>
        <w:tc>
          <w:tcPr>
            <w:tcW w:w="8900" w:type="dxa"/>
          </w:tcPr>
          <w:p w14:paraId="36CBDA75" w14:textId="77777777" w:rsidR="00FE6F2A" w:rsidRPr="002C7415" w:rsidRDefault="00FE6F2A"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an up-to-date Key Staff roster and track all staff changes in the change log of the Staff and Resource Management Plan. For any vacancy, the Contractor must report the total number of calendar days the position has been vacant (not including the time the clock was paused) in the Weekly and Monthly Status Reports and calculate any service credits.</w:t>
            </w:r>
          </w:p>
        </w:tc>
      </w:tr>
      <w:tr w:rsidR="00FE6F2A" w:rsidRPr="002C7415" w14:paraId="6226834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20658C8" w14:textId="77777777" w:rsidR="00FE6F2A" w:rsidRPr="002C7415" w:rsidRDefault="00FE6F2A" w:rsidP="00DB06F0">
            <w:pPr>
              <w:rPr>
                <w:rFonts w:cs="Arial"/>
                <w:b w:val="0"/>
                <w:bCs w:val="0"/>
                <w:szCs w:val="20"/>
              </w:rPr>
            </w:pPr>
            <w:r>
              <w:rPr>
                <w:rFonts w:cs="Arial"/>
                <w:szCs w:val="20"/>
              </w:rPr>
              <w:t>Converged E&amp;E System and AMS Service Credit</w:t>
            </w:r>
          </w:p>
        </w:tc>
        <w:tc>
          <w:tcPr>
            <w:tcW w:w="8900" w:type="dxa"/>
          </w:tcPr>
          <w:p w14:paraId="6888C626" w14:textId="77777777" w:rsidR="00FE6F2A" w:rsidRPr="002C7415" w:rsidRDefault="00FE6F2A"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A service credit of one thousand dollars ($1,000) per each additional calendar day, per each vacancy, or portion thereof, beyond the original thirty (30) calendar day period will apply, until the Department approved replacement staff starts on the Contract. </w:t>
            </w:r>
          </w:p>
        </w:tc>
      </w:tr>
    </w:tbl>
    <w:p w14:paraId="32B3FA50" w14:textId="36D079B0" w:rsidR="008E1773" w:rsidRPr="002C7415" w:rsidRDefault="008E1773" w:rsidP="008E1773">
      <w:pPr>
        <w:pStyle w:val="HeadingSLA"/>
      </w:pPr>
      <w:bookmarkStart w:id="113" w:name="_Toc230258271"/>
      <w:bookmarkStart w:id="114" w:name="_Toc233199173"/>
      <w:r>
        <w:lastRenderedPageBreak/>
        <w:t>Key and Support Staff Replacement Timeliness</w:t>
      </w:r>
      <w:bookmarkEnd w:id="113"/>
      <w:bookmarkEnd w:id="114"/>
    </w:p>
    <w:tbl>
      <w:tblPr>
        <w:tblStyle w:val="DOH-LeftHeader"/>
        <w:tblW w:w="4998" w:type="pct"/>
        <w:tblLayout w:type="fixed"/>
        <w:tblLook w:val="0480" w:firstRow="0" w:lastRow="0" w:firstColumn="1" w:lastColumn="0" w:noHBand="0" w:noVBand="1"/>
      </w:tblPr>
      <w:tblGrid>
        <w:gridCol w:w="1886"/>
        <w:gridCol w:w="8900"/>
      </w:tblGrid>
      <w:tr w:rsidR="008E1773" w:rsidRPr="002C7415" w14:paraId="2E88983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D969D4A" w14:textId="77777777" w:rsidR="008E1773" w:rsidRPr="002C7415" w:rsidRDefault="008E1773" w:rsidP="00DB06F0">
            <w:pPr>
              <w:rPr>
                <w:rFonts w:cs="Arial"/>
                <w:b w:val="0"/>
                <w:bCs w:val="0"/>
                <w:szCs w:val="20"/>
              </w:rPr>
            </w:pPr>
            <w:r>
              <w:rPr>
                <w:rFonts w:cs="Arial"/>
                <w:szCs w:val="20"/>
              </w:rPr>
              <w:t>Purpose</w:t>
            </w:r>
          </w:p>
        </w:tc>
        <w:tc>
          <w:tcPr>
            <w:tcW w:w="8900" w:type="dxa"/>
          </w:tcPr>
          <w:p w14:paraId="561CEBA2"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 xml:space="preserve">This SLA enforces the timeline for Contractor resource replacement when the Department requests removal and replacement. Prompt replacement of Contractor staff with performance issues is essential for project success, quality, and timely delivery. Vacant positions in both key and support roles impair the Contractor’s ability for quality delivery in a timely manner. </w:t>
            </w:r>
          </w:p>
        </w:tc>
      </w:tr>
      <w:tr w:rsidR="008E1773" w:rsidRPr="002C7415" w14:paraId="656D9E4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94370AF" w14:textId="77777777" w:rsidR="008E1773" w:rsidRPr="002C7415" w:rsidRDefault="008E1773" w:rsidP="00DB06F0">
            <w:pPr>
              <w:rPr>
                <w:rFonts w:cs="Arial"/>
                <w:b w:val="0"/>
                <w:bCs w:val="0"/>
                <w:szCs w:val="20"/>
              </w:rPr>
            </w:pPr>
            <w:r>
              <w:rPr>
                <w:rFonts w:cs="Arial"/>
                <w:szCs w:val="20"/>
              </w:rPr>
              <w:t>Specification</w:t>
            </w:r>
          </w:p>
        </w:tc>
        <w:tc>
          <w:tcPr>
            <w:tcW w:w="8900" w:type="dxa"/>
          </w:tcPr>
          <w:p w14:paraId="3B46BE18"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eastAsia="Calibri" w:cs="Arial"/>
              </w:rPr>
            </w:pPr>
            <w:r>
              <w:rPr>
                <w:rFonts w:eastAsia="Calibri" w:cs="Arial"/>
              </w:rPr>
              <w:t>The Department, at its sole discretion, reserves the right to direct the Contractor to immediately remove a Key or Support Staff member. When the Department orders the removal of a Key or Support Staff member in writing, the Contractor must remove them according to the Department’s specified timeline and must propose a qualified replacement staff member for the Department’s review and approval.</w:t>
            </w:r>
          </w:p>
          <w:p w14:paraId="23F7745D" w14:textId="77777777" w:rsidR="008E1773" w:rsidRDefault="008E1773" w:rsidP="00DB06F0">
            <w:pPr>
              <w:cnfStyle w:val="000000010000" w:firstRow="0" w:lastRow="0" w:firstColumn="0" w:lastColumn="0" w:oddVBand="0" w:evenVBand="0" w:oddHBand="0" w:evenHBand="1" w:firstRowFirstColumn="0" w:firstRowLastColumn="0" w:lastRowFirstColumn="0" w:lastRowLastColumn="0"/>
              <w:rPr>
                <w:rFonts w:eastAsia="Calibri" w:cs="Arial"/>
                <w:szCs w:val="20"/>
              </w:rPr>
            </w:pPr>
            <w:r>
              <w:rPr>
                <w:rFonts w:eastAsia="Calibri" w:cs="Arial"/>
                <w:szCs w:val="20"/>
              </w:rPr>
              <w:t>The Contractor must then submit a replacement candidate who has at least the equivalent qualifications, experience, and availability. When submitting a candidate, the Contractor must provide all requested information, including resumes, experience descriptions, and certifications. The Department has the sole right to interview and reject any candidate.</w:t>
            </w:r>
          </w:p>
          <w:p w14:paraId="6737DEDC"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eastAsia="Calibri" w:cs="Arial"/>
                <w:szCs w:val="20"/>
              </w:rPr>
            </w:pPr>
            <w:r>
              <w:rPr>
                <w:rFonts w:eastAsia="Calibri" w:cs="Arial"/>
                <w:szCs w:val="20"/>
              </w:rPr>
              <w:t xml:space="preserve">If a proposed replacement is not approved, the Contractor must submit an alternative replacement candidate for the Department’s approval at no additional cost to the Department. This process continues until the Department has approved a replacement. </w:t>
            </w:r>
          </w:p>
        </w:tc>
      </w:tr>
      <w:tr w:rsidR="008E1773" w:rsidRPr="002C7415" w14:paraId="4FD2F2A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95DC30A" w14:textId="77777777" w:rsidR="008E1773" w:rsidRPr="002C7415" w:rsidRDefault="008E1773" w:rsidP="00DB06F0">
            <w:pPr>
              <w:rPr>
                <w:rFonts w:cs="Arial"/>
                <w:b w:val="0"/>
                <w:bCs w:val="0"/>
                <w:szCs w:val="20"/>
              </w:rPr>
            </w:pPr>
            <w:r>
              <w:rPr>
                <w:rFonts w:cs="Arial"/>
                <w:szCs w:val="20"/>
              </w:rPr>
              <w:t>Service Level</w:t>
            </w:r>
          </w:p>
        </w:tc>
        <w:tc>
          <w:tcPr>
            <w:tcW w:w="8900" w:type="dxa"/>
          </w:tcPr>
          <w:p w14:paraId="5D1027C7" w14:textId="77777777" w:rsidR="008E1773" w:rsidRPr="002C7415" w:rsidRDefault="008E1773"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Contractor must submit an initial replacement candidate within thirty (30) calendar days of the Department’s written removal request. If the Department rejects a candidate, the Contractor must submit a new candidate within forty-five (45) calendar days of the rejection notice receipt. The Vacancy Clock pauses while the Department formally reviews a candidate.</w:t>
            </w:r>
          </w:p>
        </w:tc>
      </w:tr>
      <w:tr w:rsidR="008E1773" w:rsidRPr="002C7415" w14:paraId="40CAF9A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AB2F58F" w14:textId="77777777" w:rsidR="008E1773" w:rsidRPr="002C7415" w:rsidRDefault="008E1773" w:rsidP="00DB06F0">
            <w:pPr>
              <w:rPr>
                <w:rFonts w:cs="Arial"/>
                <w:b w:val="0"/>
                <w:bCs w:val="0"/>
                <w:szCs w:val="20"/>
              </w:rPr>
            </w:pPr>
            <w:r>
              <w:rPr>
                <w:rFonts w:cs="Arial"/>
                <w:szCs w:val="20"/>
              </w:rPr>
              <w:t>Notes</w:t>
            </w:r>
          </w:p>
        </w:tc>
        <w:tc>
          <w:tcPr>
            <w:tcW w:w="8900" w:type="dxa"/>
          </w:tcPr>
          <w:p w14:paraId="6E835E71" w14:textId="77777777" w:rsidR="008E1773" w:rsidRPr="002C7415" w:rsidRDefault="008E1773"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continue and fulfill the duties of the vacant position without a drop in service quality while the replacement is found.</w:t>
            </w:r>
          </w:p>
        </w:tc>
      </w:tr>
      <w:tr w:rsidR="008E1773" w:rsidRPr="002C7415" w14:paraId="1864882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5D95FF4" w14:textId="77777777" w:rsidR="008E1773" w:rsidRPr="002C7415" w:rsidRDefault="008E1773" w:rsidP="00DB06F0">
            <w:pPr>
              <w:rPr>
                <w:rFonts w:cs="Arial"/>
                <w:b w:val="0"/>
                <w:bCs w:val="0"/>
                <w:szCs w:val="20"/>
              </w:rPr>
            </w:pPr>
            <w:r>
              <w:rPr>
                <w:rFonts w:cs="Arial"/>
                <w:szCs w:val="20"/>
              </w:rPr>
              <w:t>Reporting Frequency</w:t>
            </w:r>
          </w:p>
        </w:tc>
        <w:tc>
          <w:tcPr>
            <w:tcW w:w="8900" w:type="dxa"/>
          </w:tcPr>
          <w:p w14:paraId="3F42E204" w14:textId="77777777" w:rsidR="008E1773" w:rsidRPr="002C7415" w:rsidRDefault="008E1773"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Weekly.</w:t>
            </w:r>
          </w:p>
          <w:p w14:paraId="03E58D25" w14:textId="77777777" w:rsidR="008E1773" w:rsidRPr="002C7415" w:rsidRDefault="008E1773"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report the replacement status in every Weekly and Monthly Status Report until the position is filled. A final Compliance Report is due within ten (10) business days after the new staff member is approved.</w:t>
            </w:r>
          </w:p>
        </w:tc>
      </w:tr>
      <w:tr w:rsidR="008E1773" w:rsidRPr="002C7415" w14:paraId="56DA415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3C907FA" w14:textId="77777777" w:rsidR="008E1773" w:rsidRPr="002C7415" w:rsidRDefault="008E1773" w:rsidP="00DB06F0">
            <w:pPr>
              <w:rPr>
                <w:rFonts w:cs="Arial"/>
                <w:szCs w:val="20"/>
              </w:rPr>
            </w:pPr>
            <w:r>
              <w:rPr>
                <w:rFonts w:cs="Arial"/>
                <w:szCs w:val="20"/>
              </w:rPr>
              <w:t>SLA Calculations</w:t>
            </w:r>
          </w:p>
        </w:tc>
        <w:tc>
          <w:tcPr>
            <w:tcW w:w="8900" w:type="dxa"/>
          </w:tcPr>
          <w:p w14:paraId="3243F5A9" w14:textId="77777777" w:rsidR="008E1773" w:rsidRPr="002C7415" w:rsidRDefault="008E1773"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Here is how compliance is determined for each vacancy:</w:t>
            </w:r>
          </w:p>
          <w:p w14:paraId="74342730" w14:textId="77777777" w:rsidR="008E1773" w:rsidRPr="002C7415" w:rsidRDefault="008E1773"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Start the Clock</w:t>
            </w:r>
            <w:r>
              <w:rPr>
                <w:rFonts w:cs="Arial"/>
                <w:szCs w:val="20"/>
              </w:rPr>
              <w:t>: The Vacancy Clock starts on the day the Department’s written removal request (for the initial thirty [(30] calendar day limit) is received, or the day the Department’s written candidate rejection (for the subsequent forty-five (45) calendar day limit) is received.</w:t>
            </w:r>
          </w:p>
          <w:p w14:paraId="0FD051A1" w14:textId="77777777" w:rsidR="008E1773" w:rsidRPr="002C7415" w:rsidRDefault="008E1773"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Pause the Clock:</w:t>
            </w:r>
            <w:r>
              <w:rPr>
                <w:rFonts w:cs="Arial"/>
                <w:szCs w:val="20"/>
              </w:rPr>
              <w:t xml:space="preserve"> The Vacancy Clock pauses on the day the Contractor officially submits a candidate’s resume for Department review.</w:t>
            </w:r>
          </w:p>
          <w:p w14:paraId="45D84443" w14:textId="77777777" w:rsidR="008E1773" w:rsidRPr="002C7415" w:rsidRDefault="008E1773"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Restart the Clock:</w:t>
            </w:r>
            <w:r>
              <w:rPr>
                <w:rFonts w:cs="Arial"/>
                <w:szCs w:val="20"/>
              </w:rPr>
              <w:t xml:space="preserve"> The Vacancy Clock restarts on the day the Department gives its written decision (approved or rejected).</w:t>
            </w:r>
          </w:p>
          <w:p w14:paraId="14BF8FB7" w14:textId="77777777" w:rsidR="008E1773" w:rsidRPr="002C7415" w:rsidRDefault="008E1773"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Check for a Breach</w:t>
            </w:r>
            <w:r>
              <w:rPr>
                <w:rFonts w:cs="Arial"/>
                <w:szCs w:val="20"/>
              </w:rPr>
              <w:t>: If the total vacancy period exceeds the applicable limit (thirty [30] or forty-five [45] calendar days), a service credit applies.</w:t>
            </w:r>
          </w:p>
          <w:p w14:paraId="13F91D00" w14:textId="77777777" w:rsidR="008E1773" w:rsidRPr="002C7415" w:rsidRDefault="008E1773"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Calculate the Penalty:</w:t>
            </w:r>
            <w:r>
              <w:rPr>
                <w:rFonts w:cs="Arial"/>
                <w:szCs w:val="20"/>
              </w:rPr>
              <w:t xml:space="preserve"> The service credit applies for each business day the vacancy continues past the deadline, until the approved replacement starts work.</w:t>
            </w:r>
          </w:p>
        </w:tc>
      </w:tr>
      <w:tr w:rsidR="008E1773" w:rsidRPr="002C7415" w14:paraId="41EB734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E09BD97" w14:textId="77777777" w:rsidR="008E1773" w:rsidRPr="002C7415" w:rsidRDefault="008E1773" w:rsidP="00DB06F0">
            <w:pPr>
              <w:rPr>
                <w:rFonts w:cs="Arial"/>
                <w:b w:val="0"/>
                <w:bCs w:val="0"/>
                <w:szCs w:val="20"/>
              </w:rPr>
            </w:pPr>
            <w:r>
              <w:rPr>
                <w:rFonts w:cs="Arial"/>
                <w:szCs w:val="20"/>
              </w:rPr>
              <w:t>SLA Calculations Definitions</w:t>
            </w:r>
          </w:p>
        </w:tc>
        <w:tc>
          <w:tcPr>
            <w:tcW w:w="8900" w:type="dxa"/>
          </w:tcPr>
          <w:p w14:paraId="26BAFD8F"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b/>
                <w:bCs/>
                <w:szCs w:val="20"/>
              </w:rPr>
            </w:pPr>
            <w:r>
              <w:rPr>
                <w:rFonts w:cs="Arial"/>
                <w:b/>
                <w:bCs/>
                <w:szCs w:val="20"/>
              </w:rPr>
              <w:t xml:space="preserve">Business Day </w:t>
            </w:r>
            <w:r>
              <w:rPr>
                <w:rFonts w:cs="Arial"/>
                <w:szCs w:val="20"/>
              </w:rPr>
              <w:t>– Any day from Monday through Friday, excluding State and federal holidays</w:t>
            </w:r>
          </w:p>
          <w:p w14:paraId="6E9E1729"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Calendar Day</w:t>
            </w:r>
            <w:r>
              <w:rPr>
                <w:rFonts w:cs="Arial"/>
                <w:szCs w:val="20"/>
              </w:rPr>
              <w:t xml:space="preserve"> – All days in a month, from 12:00 a.m. through 11:59 p.m. Eastern Standard/Daylight Time, including weekends and state and federal holidays</w:t>
            </w:r>
          </w:p>
        </w:tc>
      </w:tr>
      <w:tr w:rsidR="008E1773" w:rsidRPr="002C7415" w14:paraId="65DB035C"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0B286DF" w14:textId="77777777" w:rsidR="008E1773" w:rsidRPr="002C7415" w:rsidRDefault="008E1773" w:rsidP="00DB06F0">
            <w:pPr>
              <w:rPr>
                <w:rFonts w:cs="Arial"/>
                <w:b w:val="0"/>
                <w:bCs w:val="0"/>
                <w:szCs w:val="20"/>
              </w:rPr>
            </w:pPr>
            <w:r>
              <w:rPr>
                <w:rFonts w:cs="Arial"/>
                <w:szCs w:val="20"/>
              </w:rPr>
              <w:t>Exclusions</w:t>
            </w:r>
          </w:p>
        </w:tc>
        <w:tc>
          <w:tcPr>
            <w:tcW w:w="8900" w:type="dxa"/>
          </w:tcPr>
          <w:p w14:paraId="5BECDA33"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 delay does not count as a breach if:</w:t>
            </w:r>
          </w:p>
          <w:p w14:paraId="287BB16B" w14:textId="77777777" w:rsidR="008E1773" w:rsidRPr="002C7415" w:rsidRDefault="008E1773" w:rsidP="00DB06F0">
            <w:pPr>
              <w:pStyle w:val="TableBullet"/>
              <w:cnfStyle w:val="000000010000" w:firstRow="0" w:lastRow="0" w:firstColumn="0" w:lastColumn="0" w:oddVBand="0" w:evenVBand="0" w:oddHBand="0" w:evenHBand="1" w:firstRowFirstColumn="0" w:firstRowLastColumn="0" w:lastRowFirstColumn="0" w:lastRowLastColumn="0"/>
            </w:pPr>
            <w:r>
              <w:t>The delay is caused by the time the Department spends formally reviewing a candidate’s resume. The Contractor must document the exact submission and decision dates to use this exclusion.</w:t>
            </w:r>
          </w:p>
          <w:p w14:paraId="2C52217A" w14:textId="77777777" w:rsidR="008E1773" w:rsidRPr="002C7415" w:rsidRDefault="008E1773" w:rsidP="00DB06F0">
            <w:pPr>
              <w:pStyle w:val="TableBullet"/>
              <w:cnfStyle w:val="000000010000" w:firstRow="0" w:lastRow="0" w:firstColumn="0" w:lastColumn="0" w:oddVBand="0" w:evenVBand="0" w:oddHBand="0" w:evenHBand="1" w:firstRowFirstColumn="0" w:firstRowLastColumn="0" w:lastRowFirstColumn="0" w:lastRowLastColumn="0"/>
            </w:pPr>
            <w:r>
              <w:t>The Department gives a formal written waiver to extend the deadline.</w:t>
            </w:r>
          </w:p>
        </w:tc>
      </w:tr>
      <w:tr w:rsidR="008E1773" w:rsidRPr="002C7415" w14:paraId="63968F5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E1CC98C" w14:textId="77777777" w:rsidR="008E1773" w:rsidRPr="002C7415" w:rsidRDefault="008E1773" w:rsidP="00DB06F0">
            <w:pPr>
              <w:rPr>
                <w:rFonts w:cs="Arial"/>
                <w:b w:val="0"/>
                <w:bCs w:val="0"/>
                <w:szCs w:val="20"/>
              </w:rPr>
            </w:pPr>
            <w:r>
              <w:rPr>
                <w:rFonts w:cs="Arial"/>
                <w:szCs w:val="20"/>
              </w:rPr>
              <w:lastRenderedPageBreak/>
              <w:t>Process to Compile and Report SLA</w:t>
            </w:r>
          </w:p>
        </w:tc>
        <w:tc>
          <w:tcPr>
            <w:tcW w:w="8900" w:type="dxa"/>
          </w:tcPr>
          <w:p w14:paraId="516CD3A1"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keep a log tracking:</w:t>
            </w:r>
          </w:p>
          <w:p w14:paraId="56FFA42C" w14:textId="77777777" w:rsidR="008E1773" w:rsidRPr="002C7415" w:rsidRDefault="008E1773" w:rsidP="00DB06F0">
            <w:pPr>
              <w:pStyle w:val="TableBullet"/>
              <w:cnfStyle w:val="000000000000" w:firstRow="0" w:lastRow="0" w:firstColumn="0" w:lastColumn="0" w:oddVBand="0" w:evenVBand="0" w:oddHBand="0" w:evenHBand="0" w:firstRowFirstColumn="0" w:firstRowLastColumn="0" w:lastRowFirstColumn="0" w:lastRowLastColumn="0"/>
            </w:pPr>
            <w:r>
              <w:t>Removal request received date</w:t>
            </w:r>
          </w:p>
          <w:p w14:paraId="284A2046" w14:textId="77777777" w:rsidR="008E1773" w:rsidRPr="002C7415" w:rsidRDefault="008E1773" w:rsidP="00DB06F0">
            <w:pPr>
              <w:pStyle w:val="TableBullet"/>
              <w:cnfStyle w:val="000000000000" w:firstRow="0" w:lastRow="0" w:firstColumn="0" w:lastColumn="0" w:oddVBand="0" w:evenVBand="0" w:oddHBand="0" w:evenHBand="0" w:firstRowFirstColumn="0" w:firstRowLastColumn="0" w:lastRowFirstColumn="0" w:lastRowLastColumn="0"/>
            </w:pPr>
            <w:r>
              <w:t>Submission date for each candidate resume</w:t>
            </w:r>
          </w:p>
          <w:p w14:paraId="3EC4F3AC" w14:textId="77777777" w:rsidR="008E1773" w:rsidRPr="002C7415" w:rsidRDefault="008E1773" w:rsidP="00DB06F0">
            <w:pPr>
              <w:pStyle w:val="TableBullet"/>
              <w:cnfStyle w:val="000000000000" w:firstRow="0" w:lastRow="0" w:firstColumn="0" w:lastColumn="0" w:oddVBand="0" w:evenVBand="0" w:oddHBand="0" w:evenHBand="0" w:firstRowFirstColumn="0" w:firstRowLastColumn="0" w:lastRowFirstColumn="0" w:lastRowLastColumn="0"/>
            </w:pPr>
            <w:r>
              <w:t>Department decision date for each candidate (approval/rejection)</w:t>
            </w:r>
          </w:p>
          <w:p w14:paraId="24C4E9F3" w14:textId="77777777" w:rsidR="008E1773" w:rsidRPr="002C7415" w:rsidRDefault="008E1773" w:rsidP="00DB06F0">
            <w:pPr>
              <w:pStyle w:val="TableBullet"/>
              <w:cnfStyle w:val="000000000000" w:firstRow="0" w:lastRow="0" w:firstColumn="0" w:lastColumn="0" w:oddVBand="0" w:evenVBand="0" w:oddHBand="0" w:evenHBand="0" w:firstRowFirstColumn="0" w:firstRowLastColumn="0" w:lastRowFirstColumn="0" w:lastRowLastColumn="0"/>
            </w:pPr>
            <w:r>
              <w:t>Final start date of the approved replacement</w:t>
            </w:r>
          </w:p>
          <w:p w14:paraId="314FC84D" w14:textId="77777777" w:rsidR="008E1773"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log, along with the total days accrued against each staff position replacement request, must be included in all Weekly and Monthly Status Reports until the position is filled.</w:t>
            </w:r>
          </w:p>
          <w:p w14:paraId="5CC3EE37" w14:textId="77777777" w:rsidR="008E1773" w:rsidRPr="002C7415" w:rsidRDefault="008E1773"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approved change to the Staff and Resource Management Plan’s Key and Support Staff Personnel Rosters showing the replacement staff name must be provided within 10 business days after Department approval receipt.</w:t>
            </w:r>
          </w:p>
        </w:tc>
      </w:tr>
      <w:tr w:rsidR="008E1773" w:rsidRPr="002C7415" w14:paraId="591E688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2050060" w14:textId="77777777" w:rsidR="008E1773" w:rsidRPr="002C7415" w:rsidRDefault="008E1773" w:rsidP="00DB06F0">
            <w:pPr>
              <w:rPr>
                <w:rFonts w:cs="Arial"/>
                <w:b w:val="0"/>
                <w:bCs w:val="0"/>
                <w:szCs w:val="20"/>
              </w:rPr>
            </w:pPr>
            <w:r>
              <w:rPr>
                <w:rFonts w:cs="Arial"/>
                <w:szCs w:val="20"/>
              </w:rPr>
              <w:t>Converged E&amp;E System and AMS Service Credit</w:t>
            </w:r>
          </w:p>
        </w:tc>
        <w:tc>
          <w:tcPr>
            <w:tcW w:w="8900" w:type="dxa"/>
          </w:tcPr>
          <w:p w14:paraId="34EC3692"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Vacancy (Initial Service Credit):</w:t>
            </w:r>
            <w:r>
              <w:rPr>
                <w:rFonts w:cs="Arial"/>
                <w:szCs w:val="20"/>
              </w:rPr>
              <w:t xml:space="preserve"> A service credit of one thousand dollars ($1,000) per each business day, per each vacancy, or portion thereof, beyond the original thirty (30) calendar day staff replacement period applies until the Contractor submits an initial replacement candidate resume.</w:t>
            </w:r>
          </w:p>
          <w:p w14:paraId="64F654C1" w14:textId="77777777" w:rsidR="008E1773" w:rsidRPr="002C7415" w:rsidRDefault="008E1773"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Rejection Vacancy (Additional Service Credit):</w:t>
            </w:r>
            <w:r>
              <w:rPr>
                <w:rFonts w:cs="Arial"/>
                <w:szCs w:val="20"/>
              </w:rPr>
              <w:t xml:space="preserve"> An additional service credit of one thousand dollars ($1,000) per each business day, per each vacancy, or portion thereof, beyond the original forty-five (45) calendar day rejected candidate replacement period applies, until the Department approved replacement staff starts on the Contract. </w:t>
            </w:r>
          </w:p>
        </w:tc>
      </w:tr>
    </w:tbl>
    <w:p w14:paraId="26B15B08" w14:textId="79A93BD7" w:rsidR="00C23715" w:rsidRDefault="00C23715" w:rsidP="00C23715">
      <w:pPr>
        <w:pStyle w:val="Heading2"/>
      </w:pPr>
      <w:bookmarkStart w:id="115" w:name="_Toc233199174"/>
      <w:r>
        <w:t>Operational</w:t>
      </w:r>
      <w:bookmarkEnd w:id="115"/>
    </w:p>
    <w:p w14:paraId="7B6A0DAC" w14:textId="0E9A0106" w:rsidR="005562EB" w:rsidRPr="002C7415" w:rsidRDefault="005562EB" w:rsidP="00CB1E19">
      <w:pPr>
        <w:pStyle w:val="HeadingSLA"/>
      </w:pPr>
      <w:bookmarkStart w:id="116" w:name="_Toc233199175"/>
      <w:r>
        <w:t>Converged Eligibility and Enrollment System and Appeals Management System Production Environment Availability</w:t>
      </w:r>
      <w:bookmarkEnd w:id="94"/>
      <w:bookmarkEnd w:id="116"/>
    </w:p>
    <w:tbl>
      <w:tblPr>
        <w:tblStyle w:val="DOH-LeftHeader"/>
        <w:tblW w:w="4998" w:type="pct"/>
        <w:tblLayout w:type="fixed"/>
        <w:tblLook w:val="0480" w:firstRow="0" w:lastRow="0" w:firstColumn="1" w:lastColumn="0" w:noHBand="0" w:noVBand="1"/>
      </w:tblPr>
      <w:tblGrid>
        <w:gridCol w:w="1886"/>
        <w:gridCol w:w="8900"/>
      </w:tblGrid>
      <w:tr w:rsidR="005562EB" w:rsidRPr="002C7415" w14:paraId="084FB957" w14:textId="77777777" w:rsidTr="0047451E">
        <w:tc>
          <w:tcPr>
            <w:cnfStyle w:val="001000000000" w:firstRow="0" w:lastRow="0" w:firstColumn="1" w:lastColumn="0" w:oddVBand="0" w:evenVBand="0" w:oddHBand="0" w:evenHBand="0" w:firstRowFirstColumn="0" w:firstRowLastColumn="0" w:lastRowFirstColumn="0" w:lastRowLastColumn="0"/>
            <w:tcW w:w="1886" w:type="dxa"/>
          </w:tcPr>
          <w:p w14:paraId="783F96DA" w14:textId="77777777" w:rsidR="005562EB" w:rsidRPr="002C7415" w:rsidRDefault="005562EB" w:rsidP="002413AA">
            <w:pPr>
              <w:rPr>
                <w:rFonts w:cs="Arial"/>
                <w:b w:val="0"/>
                <w:bCs w:val="0"/>
                <w:szCs w:val="20"/>
              </w:rPr>
            </w:pPr>
            <w:r>
              <w:rPr>
                <w:rFonts w:cs="Arial"/>
                <w:szCs w:val="20"/>
              </w:rPr>
              <w:t>Purpose</w:t>
            </w:r>
          </w:p>
        </w:tc>
        <w:tc>
          <w:tcPr>
            <w:tcW w:w="8900" w:type="dxa"/>
          </w:tcPr>
          <w:p w14:paraId="3A8B2D25" w14:textId="01C4AAEB" w:rsidR="005562EB" w:rsidRPr="002C7415" w:rsidRDefault="0047451E"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holds the Contractor accountable for sustained, near-continuous availability of the production system. This is about keeping the Converged E&amp;E System and AMS continuously up and running. When the Production Environment is down, eligibility workers cannot process applications, members cannot access the services they depend on, and the State’s core health services delivery slows or stops. </w:t>
            </w:r>
          </w:p>
        </w:tc>
      </w:tr>
      <w:tr w:rsidR="005562EB" w:rsidRPr="002C7415" w14:paraId="280F85B3" w14:textId="77777777" w:rsidTr="0047451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585EA5C" w14:textId="77777777" w:rsidR="005562EB" w:rsidRPr="002C7415" w:rsidRDefault="005562EB" w:rsidP="002413AA">
            <w:pPr>
              <w:rPr>
                <w:rFonts w:cs="Arial"/>
                <w:b w:val="0"/>
                <w:bCs w:val="0"/>
                <w:szCs w:val="20"/>
              </w:rPr>
            </w:pPr>
            <w:r>
              <w:rPr>
                <w:rFonts w:cs="Arial"/>
                <w:szCs w:val="20"/>
              </w:rPr>
              <w:t>Specification</w:t>
            </w:r>
          </w:p>
        </w:tc>
        <w:tc>
          <w:tcPr>
            <w:tcW w:w="8900" w:type="dxa"/>
          </w:tcPr>
          <w:p w14:paraId="2D7CCE9F" w14:textId="541CE18A"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operate and maintain the Converged E&amp;E System and AMS Production Environment so that it is available to all authorized End Users at a level of at least ninety-nine point ninety-nine percent (99.99%), measured outside of scheduled system outages and Department-approved planned maintenance windows. The Production Environment includes, at a minimum, all portals, application servers, web servers, database servers, integration components, supporting infrastructure, and any network paths within the Contractor’s managed boundary that are required for End Users to perform eligibility, enrollment, case management, and member-facing functions. This SLA covers any unavailability event arising from the Contractor’s configuration, deployment, code, environment management, or operational practices that results in a Production Environment outage.</w:t>
            </w:r>
          </w:p>
        </w:tc>
      </w:tr>
      <w:tr w:rsidR="005562EB" w:rsidRPr="002C7415" w14:paraId="4991E35C" w14:textId="77777777" w:rsidTr="0047451E">
        <w:tc>
          <w:tcPr>
            <w:cnfStyle w:val="001000000000" w:firstRow="0" w:lastRow="0" w:firstColumn="1" w:lastColumn="0" w:oddVBand="0" w:evenVBand="0" w:oddHBand="0" w:evenHBand="0" w:firstRowFirstColumn="0" w:firstRowLastColumn="0" w:lastRowFirstColumn="0" w:lastRowLastColumn="0"/>
            <w:tcW w:w="1886" w:type="dxa"/>
          </w:tcPr>
          <w:p w14:paraId="7688F8FE" w14:textId="77777777" w:rsidR="005562EB" w:rsidRPr="002C7415" w:rsidRDefault="005562EB" w:rsidP="002413AA">
            <w:pPr>
              <w:rPr>
                <w:rFonts w:cs="Arial"/>
                <w:b w:val="0"/>
                <w:bCs w:val="0"/>
                <w:szCs w:val="20"/>
              </w:rPr>
            </w:pPr>
            <w:r>
              <w:rPr>
                <w:rFonts w:cs="Arial"/>
                <w:szCs w:val="20"/>
              </w:rPr>
              <w:t>Service Level</w:t>
            </w:r>
          </w:p>
        </w:tc>
        <w:tc>
          <w:tcPr>
            <w:tcW w:w="8900" w:type="dxa"/>
          </w:tcPr>
          <w:p w14:paraId="7FC527B9" w14:textId="4FF40B3B"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Converged E&amp;E System and AMS Production Environment must be available at least ninety-nine point ninety-nine percent (99.99%) of the time during each calendar month, excluding Department-approved scheduled outages and planned maintenance windows.</w:t>
            </w:r>
          </w:p>
        </w:tc>
      </w:tr>
      <w:tr w:rsidR="005562EB" w:rsidRPr="002C7415" w14:paraId="2F1DC0B4" w14:textId="77777777" w:rsidTr="0047451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CCC23B3" w14:textId="77777777" w:rsidR="005562EB" w:rsidRPr="002C7415" w:rsidRDefault="005562EB" w:rsidP="002413AA">
            <w:pPr>
              <w:rPr>
                <w:rFonts w:cs="Arial"/>
                <w:b w:val="0"/>
                <w:bCs w:val="0"/>
                <w:szCs w:val="20"/>
              </w:rPr>
            </w:pPr>
            <w:r>
              <w:rPr>
                <w:rFonts w:cs="Arial"/>
                <w:szCs w:val="20"/>
              </w:rPr>
              <w:t>Notes</w:t>
            </w:r>
          </w:p>
        </w:tc>
        <w:tc>
          <w:tcPr>
            <w:tcW w:w="8900" w:type="dxa"/>
          </w:tcPr>
          <w:p w14:paraId="3E827DB8" w14:textId="08F0B520"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continuously monitor the Production Environment in real time and provide the Department with read-only access to availability dashboards and the underlying availability data at all times. Department-approved scheduled outages and planned maintenance windows must be documented in advance, in writing, and posted to the agreed maintenance calendar. Any unplanned outage must be reported to the Department within the timeframes set out in the M&amp;O Manual and is subject to a documented root cause analysis.</w:t>
            </w:r>
          </w:p>
        </w:tc>
      </w:tr>
      <w:tr w:rsidR="005562EB" w:rsidRPr="002C7415" w14:paraId="4878673E" w14:textId="77777777" w:rsidTr="0047451E">
        <w:tc>
          <w:tcPr>
            <w:cnfStyle w:val="001000000000" w:firstRow="0" w:lastRow="0" w:firstColumn="1" w:lastColumn="0" w:oddVBand="0" w:evenVBand="0" w:oddHBand="0" w:evenHBand="0" w:firstRowFirstColumn="0" w:firstRowLastColumn="0" w:lastRowFirstColumn="0" w:lastRowLastColumn="0"/>
            <w:tcW w:w="1886" w:type="dxa"/>
          </w:tcPr>
          <w:p w14:paraId="23769076" w14:textId="77777777" w:rsidR="005562EB" w:rsidRPr="002C7415" w:rsidRDefault="005562EB" w:rsidP="002413AA">
            <w:pPr>
              <w:rPr>
                <w:rFonts w:cs="Arial"/>
                <w:b w:val="0"/>
                <w:bCs w:val="0"/>
                <w:szCs w:val="20"/>
              </w:rPr>
            </w:pPr>
            <w:r>
              <w:rPr>
                <w:rFonts w:cs="Arial"/>
                <w:szCs w:val="20"/>
              </w:rPr>
              <w:lastRenderedPageBreak/>
              <w:t>Reporting Frequency</w:t>
            </w:r>
          </w:p>
        </w:tc>
        <w:tc>
          <w:tcPr>
            <w:tcW w:w="8900" w:type="dxa"/>
          </w:tcPr>
          <w:p w14:paraId="1690B4E5" w14:textId="26C2ADEA"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Availability is measured continuously. The Contractor must report availability to the Department in the daily and weekly Operations Report. A monthly roll-up of availability must be delivered to the Department within five (5) business days after the end of each calendar month. This SLA is in effect after the Transition-In Cutover and continues until the Transition-Out Cutover.</w:t>
            </w:r>
          </w:p>
        </w:tc>
      </w:tr>
      <w:tr w:rsidR="005562EB" w:rsidRPr="002C7415" w14:paraId="5C93EB16" w14:textId="77777777" w:rsidTr="0047451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E1D9C40" w14:textId="77777777" w:rsidR="005562EB" w:rsidRPr="002C7415" w:rsidRDefault="005562EB" w:rsidP="002413AA">
            <w:pPr>
              <w:rPr>
                <w:rFonts w:cs="Arial"/>
                <w:szCs w:val="20"/>
              </w:rPr>
            </w:pPr>
            <w:r>
              <w:rPr>
                <w:rFonts w:cs="Arial"/>
                <w:szCs w:val="20"/>
              </w:rPr>
              <w:t>SLA Calculations</w:t>
            </w:r>
          </w:p>
        </w:tc>
        <w:tc>
          <w:tcPr>
            <w:tcW w:w="8900" w:type="dxa"/>
          </w:tcPr>
          <w:p w14:paraId="375068AC" w14:textId="77777777" w:rsidR="00C37263"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Availability is calculated each calendar month using the following formula: Availability % = ((Total Scheduled Operational Minutes − Unplanned Outage Minutes) / Total Scheduled Operational Minutes) × one hundred (100). Total Scheduled Operational Minutes equals the total minutes in the calendar month minus any Department-approved scheduled outage or planned maintenance minutes.</w:t>
            </w:r>
          </w:p>
          <w:p w14:paraId="61001E36" w14:textId="607B1930"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Unplanned Outage Minutes accumulate from the moment the Production Environment becomes unavailable to any authorized End User until full availability is restored. For the purposes of calculating Service Credits, any partial hour of unavailability is treated as a full hour.</w:t>
            </w:r>
          </w:p>
        </w:tc>
      </w:tr>
      <w:tr w:rsidR="005562EB" w:rsidRPr="002C7415" w14:paraId="63A2D1CF" w14:textId="77777777" w:rsidTr="0047451E">
        <w:tc>
          <w:tcPr>
            <w:cnfStyle w:val="001000000000" w:firstRow="0" w:lastRow="0" w:firstColumn="1" w:lastColumn="0" w:oddVBand="0" w:evenVBand="0" w:oddHBand="0" w:evenHBand="0" w:firstRowFirstColumn="0" w:firstRowLastColumn="0" w:lastRowFirstColumn="0" w:lastRowLastColumn="0"/>
            <w:tcW w:w="1886" w:type="dxa"/>
          </w:tcPr>
          <w:p w14:paraId="31AE934B"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11557818" w14:textId="70DDBC81"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Production Environment: </w:t>
            </w:r>
            <w:r>
              <w:rPr>
                <w:rFonts w:cs="Arial"/>
                <w:szCs w:val="20"/>
              </w:rPr>
              <w:t>The production Converged E&amp;E System and AMS used by authorized End Users for eligibility, enrollment, case management, and member-facing functions, including all portals, application servers, web servers, database servers, integration components, supporting infrastructure, and network paths within the Contractor’s managed boundary.</w:t>
            </w:r>
          </w:p>
          <w:p w14:paraId="16ECEE03"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Scheduled Outage / Planned Maintenance: </w:t>
            </w:r>
            <w:r>
              <w:rPr>
                <w:rFonts w:cs="Arial"/>
                <w:szCs w:val="20"/>
              </w:rPr>
              <w:t>A maintenance or outage window approved in writing by the Department in advance and posted to the agreed maintenance calendar.</w:t>
            </w:r>
          </w:p>
          <w:p w14:paraId="1A73B2E6" w14:textId="48E3FEF9"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Unplanned Outage: </w:t>
            </w:r>
            <w:r>
              <w:rPr>
                <w:rFonts w:cs="Arial"/>
                <w:szCs w:val="20"/>
              </w:rPr>
              <w:t>Any period during which the Production Environment, or any component required for End Users to perform their work, is not available, except for Department-approved Scheduled Outages or Planned Maintenance.</w:t>
            </w:r>
          </w:p>
        </w:tc>
      </w:tr>
      <w:tr w:rsidR="005562EB" w:rsidRPr="002C7415" w14:paraId="66902C2F" w14:textId="77777777" w:rsidTr="0047451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857CB23" w14:textId="77777777" w:rsidR="005562EB" w:rsidRPr="002C7415" w:rsidRDefault="005562EB" w:rsidP="002413AA">
            <w:pPr>
              <w:rPr>
                <w:rFonts w:cs="Arial"/>
                <w:b w:val="0"/>
                <w:bCs w:val="0"/>
                <w:szCs w:val="20"/>
              </w:rPr>
            </w:pPr>
            <w:r>
              <w:rPr>
                <w:rFonts w:cs="Arial"/>
                <w:szCs w:val="20"/>
              </w:rPr>
              <w:t>Exclusions</w:t>
            </w:r>
          </w:p>
        </w:tc>
        <w:tc>
          <w:tcPr>
            <w:tcW w:w="8900" w:type="dxa"/>
          </w:tcPr>
          <w:p w14:paraId="5B18EEDB" w14:textId="7CEC6CF9"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unavailability caused by: (a) Department-approved scheduled outages or planned maintenance windows; or (b) failures of third-party systems, networks, or interfaces operated outside the Contractor’s managed boundary, where the Contractor demonstrates with system records that the failure originated outside that boundary. The Contractor is responsible for demonstrating, with supporting records, that any claimed exclusion applies.</w:t>
            </w:r>
          </w:p>
        </w:tc>
      </w:tr>
      <w:tr w:rsidR="005562EB" w:rsidRPr="002C7415" w14:paraId="1B14AFCB" w14:textId="77777777" w:rsidTr="0047451E">
        <w:tc>
          <w:tcPr>
            <w:cnfStyle w:val="001000000000" w:firstRow="0" w:lastRow="0" w:firstColumn="1" w:lastColumn="0" w:oddVBand="0" w:evenVBand="0" w:oddHBand="0" w:evenHBand="0" w:firstRowFirstColumn="0" w:firstRowLastColumn="0" w:lastRowFirstColumn="0" w:lastRowLastColumn="0"/>
            <w:tcW w:w="1886" w:type="dxa"/>
          </w:tcPr>
          <w:p w14:paraId="43FC051B"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365CA437" w14:textId="0DB49F7A"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The Contractor must continuously capture availability telemetry for every component of the Production Environment using monitoring tools approved by the Department. </w:t>
            </w:r>
            <w:r>
              <w:rPr>
                <w:rFonts w:eastAsia="Calibri" w:cs="Arial"/>
                <w:szCs w:val="20"/>
              </w:rPr>
              <w:t xml:space="preserve">These records are aggregated in the daily and weekly Operations Report, </w:t>
            </w:r>
            <w:r>
              <w:rPr>
                <w:rFonts w:cs="Arial"/>
                <w:szCs w:val="20"/>
              </w:rPr>
              <w:t>that includes, at a minimum: total scheduled operational minutes, total unplanned outage minutes, the calculated availability percentage, an itemized list of each unplanned outage event with start time, end time, duration, affected components, root cause, and corrective action, and a summary of any Department-approved scheduled outages or planned maintenance windows. The report must be submitted in a format that allows the Department to independently validate the calculation, and supporting raw availability data must be made accessible to the Department on request. Required artifacts include updated design and requirements documents (RSD, RTM, SDS/SDD/ICDs, user manuals, etc.) and summaries of modifications, along with UAT and deployment records, made available for review on request.</w:t>
            </w:r>
          </w:p>
        </w:tc>
      </w:tr>
      <w:tr w:rsidR="005562EB" w:rsidRPr="002C7415" w14:paraId="28B34173" w14:textId="77777777" w:rsidTr="0047451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3A8C21C" w14:textId="0595977B"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5C428D2F" w14:textId="4D185C91" w:rsidR="00CD723E"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the monthly availability of the Converged E&amp;E System and AMS Production Environment falls below ninety-nine point ninety-nine percent (99.99%) in any calendar month, a service credit of fifty thousand dollars ($50,000) applies for each hour, or portion thereof, that the Production Environment was unavailable during that month.</w:t>
            </w:r>
          </w:p>
          <w:p w14:paraId="7C2B6AF5" w14:textId="11261684"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Service Credits under this SLA are capped at five hundred thousand dollars ($500,000) per calendar month.</w:t>
            </w:r>
          </w:p>
        </w:tc>
      </w:tr>
    </w:tbl>
    <w:p w14:paraId="7FE2A9C5" w14:textId="1998E2BD" w:rsidR="005562EB" w:rsidRPr="002C7415" w:rsidRDefault="005562EB" w:rsidP="00CB1E19">
      <w:pPr>
        <w:pStyle w:val="HeadingSLA"/>
      </w:pPr>
      <w:bookmarkStart w:id="117" w:name="_Toc230258228"/>
      <w:bookmarkStart w:id="118" w:name="_Toc233199176"/>
      <w:r>
        <w:lastRenderedPageBreak/>
        <w:t>Converged Eligibility and Enrollment System and Appeals Management System Electronic Application Log Files</w:t>
      </w:r>
      <w:bookmarkEnd w:id="117"/>
      <w:bookmarkEnd w:id="118"/>
    </w:p>
    <w:tbl>
      <w:tblPr>
        <w:tblStyle w:val="DOH-LeftHeader"/>
        <w:tblW w:w="4998" w:type="pct"/>
        <w:tblLayout w:type="fixed"/>
        <w:tblLook w:val="0480" w:firstRow="0" w:lastRow="0" w:firstColumn="1" w:lastColumn="0" w:noHBand="0" w:noVBand="1"/>
      </w:tblPr>
      <w:tblGrid>
        <w:gridCol w:w="1886"/>
        <w:gridCol w:w="8900"/>
      </w:tblGrid>
      <w:tr w:rsidR="005562EB" w:rsidRPr="002C7415" w14:paraId="03D71BBB" w14:textId="77777777" w:rsidTr="001A54B4">
        <w:tc>
          <w:tcPr>
            <w:cnfStyle w:val="001000000000" w:firstRow="0" w:lastRow="0" w:firstColumn="1" w:lastColumn="0" w:oddVBand="0" w:evenVBand="0" w:oddHBand="0" w:evenHBand="0" w:firstRowFirstColumn="0" w:firstRowLastColumn="0" w:lastRowFirstColumn="0" w:lastRowLastColumn="0"/>
            <w:tcW w:w="1886" w:type="dxa"/>
          </w:tcPr>
          <w:p w14:paraId="506DE171" w14:textId="77777777" w:rsidR="005562EB" w:rsidRPr="002C7415" w:rsidRDefault="005562EB" w:rsidP="002413AA">
            <w:pPr>
              <w:rPr>
                <w:rFonts w:cs="Arial"/>
                <w:b w:val="0"/>
                <w:bCs w:val="0"/>
                <w:szCs w:val="20"/>
              </w:rPr>
            </w:pPr>
            <w:r>
              <w:rPr>
                <w:rFonts w:cs="Arial"/>
                <w:szCs w:val="20"/>
              </w:rPr>
              <w:t>Purpose</w:t>
            </w:r>
          </w:p>
        </w:tc>
        <w:tc>
          <w:tcPr>
            <w:tcW w:w="8900" w:type="dxa"/>
          </w:tcPr>
          <w:p w14:paraId="226E7DA6" w14:textId="2778812C" w:rsidR="005562EB" w:rsidRPr="002C7415" w:rsidRDefault="001A54B4"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ensures the Contractor forwards all critical log files promptly. The Department needs real-time visibility into what the Converged E&amp;E System portals are doing. Application log files contain transaction response times, user authentication data, and application alerts. If these logs do not reach the monitoring tool quickly, the Department cannot detect or triage problems as they happen. </w:t>
            </w:r>
          </w:p>
        </w:tc>
      </w:tr>
      <w:tr w:rsidR="005562EB" w:rsidRPr="002C7415" w14:paraId="69D1CF66" w14:textId="77777777" w:rsidTr="001A54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E4F80EA" w14:textId="77777777" w:rsidR="005562EB" w:rsidRPr="002C7415" w:rsidRDefault="005562EB" w:rsidP="002413AA">
            <w:pPr>
              <w:rPr>
                <w:rFonts w:cs="Arial"/>
                <w:b w:val="0"/>
                <w:bCs w:val="0"/>
                <w:szCs w:val="20"/>
              </w:rPr>
            </w:pPr>
            <w:r>
              <w:rPr>
                <w:rFonts w:cs="Arial"/>
                <w:szCs w:val="20"/>
              </w:rPr>
              <w:t>Specification</w:t>
            </w:r>
          </w:p>
        </w:tc>
        <w:tc>
          <w:tcPr>
            <w:tcW w:w="8900" w:type="dxa"/>
          </w:tcPr>
          <w:p w14:paraId="7B1182BF" w14:textId="0922135D"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forward all log files that support the Converged E&amp;E System portal infrastructure and application servers, as determined by the Department, to the systems monitoring tool (for example, Splunk or an equivalent Department-approved utility). Log files must be transmitted to the monitoring tool as they are produced by the portals’ applications and infrastructure. Any instance where Worker or Member Portal log files are not sent to the designated monitoring server within one (1) hour of being produced constitutes a failure under this SLA.</w:t>
            </w:r>
          </w:p>
        </w:tc>
      </w:tr>
      <w:tr w:rsidR="005562EB" w:rsidRPr="002C7415" w14:paraId="727541DC" w14:textId="77777777" w:rsidTr="001A54B4">
        <w:tc>
          <w:tcPr>
            <w:cnfStyle w:val="001000000000" w:firstRow="0" w:lastRow="0" w:firstColumn="1" w:lastColumn="0" w:oddVBand="0" w:evenVBand="0" w:oddHBand="0" w:evenHBand="0" w:firstRowFirstColumn="0" w:firstRowLastColumn="0" w:lastRowFirstColumn="0" w:lastRowLastColumn="0"/>
            <w:tcW w:w="1886" w:type="dxa"/>
          </w:tcPr>
          <w:p w14:paraId="310E5931" w14:textId="77777777" w:rsidR="005562EB" w:rsidRPr="002C7415" w:rsidRDefault="005562EB" w:rsidP="002413AA">
            <w:pPr>
              <w:rPr>
                <w:rFonts w:cs="Arial"/>
                <w:b w:val="0"/>
                <w:bCs w:val="0"/>
                <w:szCs w:val="20"/>
              </w:rPr>
            </w:pPr>
            <w:r>
              <w:rPr>
                <w:rFonts w:cs="Arial"/>
                <w:szCs w:val="20"/>
              </w:rPr>
              <w:t>Service Level</w:t>
            </w:r>
          </w:p>
        </w:tc>
        <w:tc>
          <w:tcPr>
            <w:tcW w:w="8900" w:type="dxa"/>
          </w:tcPr>
          <w:p w14:paraId="0E807E2D"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Assistor, Worker, Member, Issuer, Employer, and Partner Portal log files must reach the designated monitoring server within one (1) hour of being produced.</w:t>
            </w:r>
          </w:p>
        </w:tc>
      </w:tr>
      <w:tr w:rsidR="005562EB" w:rsidRPr="002C7415" w14:paraId="46EF25E4" w14:textId="77777777" w:rsidTr="001A54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76C99FF" w14:textId="77777777" w:rsidR="005562EB" w:rsidRPr="002C7415" w:rsidRDefault="005562EB" w:rsidP="002413AA">
            <w:pPr>
              <w:rPr>
                <w:rFonts w:cs="Arial"/>
                <w:b w:val="0"/>
                <w:bCs w:val="0"/>
                <w:szCs w:val="20"/>
              </w:rPr>
            </w:pPr>
            <w:r>
              <w:rPr>
                <w:rFonts w:cs="Arial"/>
                <w:szCs w:val="20"/>
              </w:rPr>
              <w:t>Notes</w:t>
            </w:r>
          </w:p>
        </w:tc>
        <w:tc>
          <w:tcPr>
            <w:tcW w:w="8900" w:type="dxa"/>
          </w:tcPr>
          <w:p w14:paraId="3C5C95E4" w14:textId="347D2B5F"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maintain monitoring tools and provide the Department with real-time access to log data and regular reports validating compliance. The list of in-scope log files is determined by the Department and may be updated over time.</w:t>
            </w:r>
          </w:p>
        </w:tc>
      </w:tr>
      <w:tr w:rsidR="005562EB" w:rsidRPr="002C7415" w14:paraId="281C808D" w14:textId="77777777" w:rsidTr="001A54B4">
        <w:tc>
          <w:tcPr>
            <w:cnfStyle w:val="001000000000" w:firstRow="0" w:lastRow="0" w:firstColumn="1" w:lastColumn="0" w:oddVBand="0" w:evenVBand="0" w:oddHBand="0" w:evenHBand="0" w:firstRowFirstColumn="0" w:firstRowLastColumn="0" w:lastRowFirstColumn="0" w:lastRowLastColumn="0"/>
            <w:tcW w:w="1886" w:type="dxa"/>
          </w:tcPr>
          <w:p w14:paraId="5F8D8267"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52D09CCF" w14:textId="34D00E36"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measured continuously. A Log File Forwarding Compliance Report is delivered to the Department within five (5) business days after the end of each calendar month. This SLA is in effect after the Transition-In Cutover and continues through the Transition-Out Cutover.</w:t>
            </w:r>
          </w:p>
        </w:tc>
      </w:tr>
      <w:tr w:rsidR="005562EB" w:rsidRPr="002C7415" w14:paraId="2EDDE669" w14:textId="77777777" w:rsidTr="001A54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87C6268" w14:textId="77777777" w:rsidR="005562EB" w:rsidRPr="002C7415" w:rsidRDefault="005562EB" w:rsidP="002413AA">
            <w:pPr>
              <w:rPr>
                <w:rFonts w:cs="Arial"/>
                <w:szCs w:val="20"/>
              </w:rPr>
            </w:pPr>
            <w:r>
              <w:rPr>
                <w:rFonts w:cs="Arial"/>
                <w:szCs w:val="20"/>
              </w:rPr>
              <w:t>SLA Calculations</w:t>
            </w:r>
          </w:p>
        </w:tc>
        <w:tc>
          <w:tcPr>
            <w:tcW w:w="8900" w:type="dxa"/>
          </w:tcPr>
          <w:p w14:paraId="06D83109" w14:textId="101748DB"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log file per one (1) hour interval. For each log file produced by the Assistor, Worker, Member, Issuer, Employer, or Partner Portal applications and infrastructure, the Contractor records the production timestamp and the timestamp of receipt at the monitoring server. Each log file not received within one (1) hour of production counts as one occurrence, with additional per-hour occurrences accruing until the log file is verifiable on the monitoring server.</w:t>
            </w:r>
          </w:p>
        </w:tc>
      </w:tr>
      <w:tr w:rsidR="005562EB" w:rsidRPr="002C7415" w14:paraId="76FAFA04" w14:textId="77777777" w:rsidTr="001A54B4">
        <w:tc>
          <w:tcPr>
            <w:cnfStyle w:val="001000000000" w:firstRow="0" w:lastRow="0" w:firstColumn="1" w:lastColumn="0" w:oddVBand="0" w:evenVBand="0" w:oddHBand="0" w:evenHBand="0" w:firstRowFirstColumn="0" w:firstRowLastColumn="0" w:lastRowFirstColumn="0" w:lastRowLastColumn="0"/>
            <w:tcW w:w="1886" w:type="dxa"/>
          </w:tcPr>
          <w:p w14:paraId="11DD1035"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68C36E5C"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Worker and Member Portal Log Files: </w:t>
            </w:r>
            <w:r>
              <w:rPr>
                <w:rFonts w:cs="Arial"/>
                <w:szCs w:val="20"/>
              </w:rPr>
              <w:t>Application and infrastructure log files supporting the Assistor, Worker, Member, Issuer, Employer, and Partner Portals, as identified by the Department, that capture transaction response times, user authentication, application alerts, and similar telemetry.</w:t>
            </w:r>
          </w:p>
          <w:p w14:paraId="2C6DA69A" w14:textId="590571C5"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Monitoring Server: </w:t>
            </w:r>
            <w:r>
              <w:rPr>
                <w:rFonts w:cs="Arial"/>
                <w:szCs w:val="20"/>
              </w:rPr>
              <w:t>The Department-designated systems monitoring tool, such as Splunk or an equivalent Department-approved utility.</w:t>
            </w:r>
          </w:p>
          <w:p w14:paraId="059D19FF" w14:textId="1813AC0C"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Unverifiable Log File: </w:t>
            </w:r>
            <w:r>
              <w:rPr>
                <w:rFonts w:cs="Arial"/>
                <w:szCs w:val="20"/>
              </w:rPr>
              <w:t>An Assistor, Worker, Member, Issuer, Employer, or Partner Portal log file that cannot be confirmed as received on the monitoring server within one (1) hour of production.</w:t>
            </w:r>
          </w:p>
        </w:tc>
      </w:tr>
      <w:tr w:rsidR="005562EB" w:rsidRPr="002C7415" w14:paraId="010A5120" w14:textId="77777777" w:rsidTr="001A54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5565601" w14:textId="77777777" w:rsidR="005562EB" w:rsidRPr="002C7415" w:rsidRDefault="005562EB" w:rsidP="002413AA">
            <w:pPr>
              <w:rPr>
                <w:rFonts w:cs="Arial"/>
                <w:b w:val="0"/>
                <w:bCs w:val="0"/>
                <w:szCs w:val="20"/>
              </w:rPr>
            </w:pPr>
            <w:r>
              <w:rPr>
                <w:rFonts w:cs="Arial"/>
                <w:szCs w:val="20"/>
              </w:rPr>
              <w:t>Exclusions</w:t>
            </w:r>
          </w:p>
        </w:tc>
        <w:tc>
          <w:tcPr>
            <w:tcW w:w="8900" w:type="dxa"/>
          </w:tcPr>
          <w:p w14:paraId="2C2E233B" w14:textId="61DDA0DE"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delays in log file receipt caused by a documented outage of the Department-designated monitoring server or the network paths leading to it, provided those systems are outside the Contractor’s direct operational control. The Contractor is responsible for demonstrating such an external failure with verifiable system records.</w:t>
            </w:r>
          </w:p>
        </w:tc>
      </w:tr>
      <w:tr w:rsidR="005562EB" w:rsidRPr="002C7415" w14:paraId="3B6D31CF" w14:textId="77777777" w:rsidTr="001A54B4">
        <w:tc>
          <w:tcPr>
            <w:cnfStyle w:val="001000000000" w:firstRow="0" w:lastRow="0" w:firstColumn="1" w:lastColumn="0" w:oddVBand="0" w:evenVBand="0" w:oddHBand="0" w:evenHBand="0" w:firstRowFirstColumn="0" w:firstRowLastColumn="0" w:lastRowFirstColumn="0" w:lastRowLastColumn="0"/>
            <w:tcW w:w="1886" w:type="dxa"/>
          </w:tcPr>
          <w:p w14:paraId="03D6DF11"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6538499E" w14:textId="7424620D"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continuously capture log production and forwarding telemetry and provide the Department with real-time access. The monthly Log File Forwarding Compliance Report must list each unverifiable log file occurrence with the production timestamp, monitoring server receipt timestamp (or non-receipt), source application or infrastructure component, and duration unverified. All raw telemetry must be available to the Department on request.</w:t>
            </w:r>
          </w:p>
        </w:tc>
      </w:tr>
      <w:tr w:rsidR="005562EB" w:rsidRPr="002C7415" w14:paraId="13657A8F" w14:textId="77777777" w:rsidTr="001A54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71CB301" w14:textId="1AEC4189"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530C2147"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comply with providing data results in a service credit of one thousand dollars ($1,000) per unverifiable log file per one (1) hour interval, continuing per hour until resolved.</w:t>
            </w:r>
          </w:p>
        </w:tc>
      </w:tr>
    </w:tbl>
    <w:p w14:paraId="371B8AA7" w14:textId="5E54A34D" w:rsidR="005562EB" w:rsidRPr="002C7415" w:rsidRDefault="005562EB" w:rsidP="00CB1E19">
      <w:pPr>
        <w:pStyle w:val="HeadingSLA"/>
      </w:pPr>
      <w:bookmarkStart w:id="119" w:name="_Toc230258229"/>
      <w:bookmarkStart w:id="120" w:name="_Toc233199177"/>
      <w:r>
        <w:lastRenderedPageBreak/>
        <w:t>Inbound Scheduled Interfaces: Critical</w:t>
      </w:r>
      <w:bookmarkEnd w:id="119"/>
      <w:bookmarkEnd w:id="120"/>
    </w:p>
    <w:tbl>
      <w:tblPr>
        <w:tblStyle w:val="DOH-LeftHeader"/>
        <w:tblW w:w="4998" w:type="pct"/>
        <w:tblLayout w:type="fixed"/>
        <w:tblLook w:val="0480" w:firstRow="0" w:lastRow="0" w:firstColumn="1" w:lastColumn="0" w:noHBand="0" w:noVBand="1"/>
      </w:tblPr>
      <w:tblGrid>
        <w:gridCol w:w="1886"/>
        <w:gridCol w:w="8900"/>
      </w:tblGrid>
      <w:tr w:rsidR="005562EB" w:rsidRPr="002C7415" w14:paraId="1BA70447" w14:textId="77777777" w:rsidTr="003653E7">
        <w:tc>
          <w:tcPr>
            <w:cnfStyle w:val="001000000000" w:firstRow="0" w:lastRow="0" w:firstColumn="1" w:lastColumn="0" w:oddVBand="0" w:evenVBand="0" w:oddHBand="0" w:evenHBand="0" w:firstRowFirstColumn="0" w:firstRowLastColumn="0" w:lastRowFirstColumn="0" w:lastRowLastColumn="0"/>
            <w:tcW w:w="1886" w:type="dxa"/>
          </w:tcPr>
          <w:p w14:paraId="684AAE82" w14:textId="77777777" w:rsidR="005562EB" w:rsidRPr="002C7415" w:rsidRDefault="005562EB" w:rsidP="002413AA">
            <w:pPr>
              <w:rPr>
                <w:rFonts w:cs="Arial"/>
                <w:b w:val="0"/>
                <w:bCs w:val="0"/>
                <w:szCs w:val="20"/>
              </w:rPr>
            </w:pPr>
            <w:r>
              <w:rPr>
                <w:rFonts w:cs="Arial"/>
                <w:szCs w:val="20"/>
              </w:rPr>
              <w:t>Purpose</w:t>
            </w:r>
          </w:p>
        </w:tc>
        <w:tc>
          <w:tcPr>
            <w:tcW w:w="8900" w:type="dxa"/>
          </w:tcPr>
          <w:p w14:paraId="1415994E" w14:textId="6D822B23" w:rsidR="005562EB" w:rsidRPr="002C7415" w:rsidRDefault="003653E7"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holds the Contractor accountable for executing each scheduled interface on time and for closing out any missed runs without compounding the delay. This is about the data flow between the Converged E&amp;E System, the AMS, and its trading partners. Critical inbound scheduled interfaces have a defined run window for a reason: downstream systems, eligibility decisions, and back-office processes depend on those files arriving on schedule. </w:t>
            </w:r>
          </w:p>
        </w:tc>
      </w:tr>
      <w:tr w:rsidR="005562EB" w:rsidRPr="002C7415" w14:paraId="1EDE86D7" w14:textId="77777777" w:rsidTr="003653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15BE172" w14:textId="77777777" w:rsidR="005562EB" w:rsidRPr="002C7415" w:rsidRDefault="005562EB" w:rsidP="002413AA">
            <w:pPr>
              <w:rPr>
                <w:rFonts w:cs="Arial"/>
                <w:b w:val="0"/>
                <w:bCs w:val="0"/>
                <w:szCs w:val="20"/>
              </w:rPr>
            </w:pPr>
            <w:r>
              <w:rPr>
                <w:rFonts w:cs="Arial"/>
                <w:szCs w:val="20"/>
              </w:rPr>
              <w:t>Specification</w:t>
            </w:r>
          </w:p>
        </w:tc>
        <w:tc>
          <w:tcPr>
            <w:tcW w:w="8900" w:type="dxa"/>
          </w:tcPr>
          <w:p w14:paraId="6CE4C175" w14:textId="76CAE296"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execute all critical inbound interfaces, unless exceptions are made by the Department, per the timeframe identified for each interface as defined by the Department. Additional interfaces identified by the Department must be added to the critical interfaces list after each Go-Live or Deployment, as applicable.</w:t>
            </w:r>
          </w:p>
        </w:tc>
      </w:tr>
      <w:tr w:rsidR="005562EB" w:rsidRPr="002C7415" w14:paraId="11A0367D" w14:textId="77777777" w:rsidTr="003653E7">
        <w:tc>
          <w:tcPr>
            <w:cnfStyle w:val="001000000000" w:firstRow="0" w:lastRow="0" w:firstColumn="1" w:lastColumn="0" w:oddVBand="0" w:evenVBand="0" w:oddHBand="0" w:evenHBand="0" w:firstRowFirstColumn="0" w:firstRowLastColumn="0" w:lastRowFirstColumn="0" w:lastRowLastColumn="0"/>
            <w:tcW w:w="1886" w:type="dxa"/>
          </w:tcPr>
          <w:p w14:paraId="59E797C8" w14:textId="77777777" w:rsidR="005562EB" w:rsidRPr="002C7415" w:rsidRDefault="005562EB" w:rsidP="002413AA">
            <w:pPr>
              <w:rPr>
                <w:rFonts w:cs="Arial"/>
                <w:b w:val="0"/>
                <w:bCs w:val="0"/>
                <w:szCs w:val="20"/>
              </w:rPr>
            </w:pPr>
            <w:r>
              <w:rPr>
                <w:rFonts w:cs="Arial"/>
                <w:szCs w:val="20"/>
              </w:rPr>
              <w:t>Service Level</w:t>
            </w:r>
          </w:p>
        </w:tc>
        <w:tc>
          <w:tcPr>
            <w:tcW w:w="8900" w:type="dxa"/>
          </w:tcPr>
          <w:p w14:paraId="24B6BDE8"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critical inbound scheduled interfaces must execute within the timeframe identified for each interface as defined by the Department.</w:t>
            </w:r>
          </w:p>
        </w:tc>
      </w:tr>
      <w:tr w:rsidR="005562EB" w:rsidRPr="002C7415" w14:paraId="1C3E4A32" w14:textId="77777777" w:rsidTr="003653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A571EA5" w14:textId="77777777" w:rsidR="005562EB" w:rsidRPr="002C7415" w:rsidRDefault="005562EB" w:rsidP="002413AA">
            <w:pPr>
              <w:rPr>
                <w:rFonts w:cs="Arial"/>
                <w:b w:val="0"/>
                <w:bCs w:val="0"/>
                <w:szCs w:val="20"/>
              </w:rPr>
            </w:pPr>
            <w:r>
              <w:rPr>
                <w:rFonts w:cs="Arial"/>
                <w:szCs w:val="20"/>
              </w:rPr>
              <w:t>Notes</w:t>
            </w:r>
          </w:p>
        </w:tc>
        <w:tc>
          <w:tcPr>
            <w:tcW w:w="8900" w:type="dxa"/>
          </w:tcPr>
          <w:p w14:paraId="0B3F737D" w14:textId="651E9B80"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list of critical inbound scheduled interfaces, including the timeframe for each, is maintained as defined by the Department. The Department may add interfaces to the list following any Go-Live or Deployment.</w:t>
            </w:r>
          </w:p>
        </w:tc>
      </w:tr>
      <w:tr w:rsidR="005562EB" w:rsidRPr="002C7415" w14:paraId="095F87FD" w14:textId="77777777" w:rsidTr="003653E7">
        <w:tc>
          <w:tcPr>
            <w:cnfStyle w:val="001000000000" w:firstRow="0" w:lastRow="0" w:firstColumn="1" w:lastColumn="0" w:oddVBand="0" w:evenVBand="0" w:oddHBand="0" w:evenHBand="0" w:firstRowFirstColumn="0" w:firstRowLastColumn="0" w:lastRowFirstColumn="0" w:lastRowLastColumn="0"/>
            <w:tcW w:w="1886" w:type="dxa"/>
          </w:tcPr>
          <w:p w14:paraId="1CB11418"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505C8B79" w14:textId="26DD7951"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measured per scheduled execution. Scheduled interface compliance is reported to the Department in the daily and weekly Operations Report. This SLA is in effect after the Transition-In Cutover and continues through the Transition-Out Cutover.</w:t>
            </w:r>
          </w:p>
        </w:tc>
      </w:tr>
      <w:tr w:rsidR="005562EB" w:rsidRPr="002C7415" w14:paraId="27952546" w14:textId="77777777" w:rsidTr="003653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0F09F05" w14:textId="77777777" w:rsidR="005562EB" w:rsidRPr="002C7415" w:rsidRDefault="005562EB" w:rsidP="002413AA">
            <w:pPr>
              <w:rPr>
                <w:rFonts w:cs="Arial"/>
                <w:szCs w:val="20"/>
              </w:rPr>
            </w:pPr>
            <w:r>
              <w:rPr>
                <w:rFonts w:cs="Arial"/>
                <w:szCs w:val="20"/>
              </w:rPr>
              <w:t>SLA Calculations</w:t>
            </w:r>
          </w:p>
        </w:tc>
        <w:tc>
          <w:tcPr>
            <w:tcW w:w="8900" w:type="dxa"/>
          </w:tcPr>
          <w:p w14:paraId="1A115FCE"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scheduled execution. For each interface and each scheduled run, the Contractor records the scheduled execution window and the actual execution timestamp. Any scheduled execution that does not run within the identified timeframe counts as one occurrence. If a missed execution is not successfully completed by the next scheduled run, the file is considered to have an overlapping instance, and an additional credit accrues for each calendar day, or portion thereof, until the file is successfully received.</w:t>
            </w:r>
          </w:p>
        </w:tc>
      </w:tr>
      <w:tr w:rsidR="005562EB" w:rsidRPr="002C7415" w14:paraId="077D1B25" w14:textId="77777777" w:rsidTr="003653E7">
        <w:tc>
          <w:tcPr>
            <w:cnfStyle w:val="001000000000" w:firstRow="0" w:lastRow="0" w:firstColumn="1" w:lastColumn="0" w:oddVBand="0" w:evenVBand="0" w:oddHBand="0" w:evenHBand="0" w:firstRowFirstColumn="0" w:firstRowLastColumn="0" w:lastRowFirstColumn="0" w:lastRowLastColumn="0"/>
            <w:tcW w:w="1886" w:type="dxa"/>
          </w:tcPr>
          <w:p w14:paraId="1FC3B431"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31E47366" w14:textId="7134E2F3"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Critical Inbound Interface: </w:t>
            </w:r>
            <w:r>
              <w:rPr>
                <w:rFonts w:cs="Arial"/>
                <w:szCs w:val="20"/>
              </w:rPr>
              <w:t>A critical inbound scheduled interface as defined by the Department, including any additional interfaces added by the Department following a Go-Live or Deployment.</w:t>
            </w:r>
          </w:p>
          <w:p w14:paraId="242BE15B"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Scheduled Execution: </w:t>
            </w:r>
            <w:r>
              <w:rPr>
                <w:rFonts w:cs="Arial"/>
                <w:szCs w:val="20"/>
              </w:rPr>
              <w:t>A planned run of an interface within the timeframe identified for that interface.</w:t>
            </w:r>
          </w:p>
          <w:p w14:paraId="4271169B"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Overlapping Instance: </w:t>
            </w:r>
            <w:r>
              <w:rPr>
                <w:rFonts w:cs="Arial"/>
                <w:szCs w:val="20"/>
              </w:rPr>
              <w:t>A missed scheduled execution that is not successfully completed before the next scheduled execution of the same interface.</w:t>
            </w:r>
          </w:p>
        </w:tc>
      </w:tr>
      <w:tr w:rsidR="005562EB" w:rsidRPr="002C7415" w14:paraId="7AE3DEAC" w14:textId="77777777" w:rsidTr="003653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586FDF5" w14:textId="77777777" w:rsidR="005562EB" w:rsidRPr="002C7415" w:rsidRDefault="005562EB" w:rsidP="002413AA">
            <w:pPr>
              <w:rPr>
                <w:rFonts w:cs="Arial"/>
                <w:b w:val="0"/>
                <w:bCs w:val="0"/>
                <w:szCs w:val="20"/>
              </w:rPr>
            </w:pPr>
            <w:r>
              <w:rPr>
                <w:rFonts w:cs="Arial"/>
                <w:szCs w:val="20"/>
              </w:rPr>
              <w:t>Exclusions</w:t>
            </w:r>
          </w:p>
        </w:tc>
        <w:tc>
          <w:tcPr>
            <w:tcW w:w="8900" w:type="dxa"/>
          </w:tcPr>
          <w:p w14:paraId="06C97D98" w14:textId="35BDE2B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a missed execution if the external trading partner failed to make the inbound file available for processing within the scheduled window. The Contractor is responsible for demonstrating such an external failure with verifiable system logs.</w:t>
            </w:r>
          </w:p>
        </w:tc>
      </w:tr>
      <w:tr w:rsidR="005562EB" w:rsidRPr="002C7415" w14:paraId="6D43A05C" w14:textId="77777777" w:rsidTr="003653E7">
        <w:tc>
          <w:tcPr>
            <w:cnfStyle w:val="001000000000" w:firstRow="0" w:lastRow="0" w:firstColumn="1" w:lastColumn="0" w:oddVBand="0" w:evenVBand="0" w:oddHBand="0" w:evenHBand="0" w:firstRowFirstColumn="0" w:firstRowLastColumn="0" w:lastRowFirstColumn="0" w:lastRowLastColumn="0"/>
            <w:tcW w:w="1886" w:type="dxa"/>
          </w:tcPr>
          <w:p w14:paraId="12E25E01"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113D0709" w14:textId="66594D5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capture, for every scheduled execution: the interface name, the scheduled timeframe, the actual execution timestamp (or evidence of non-execution), the completion status, and the root cause for any non-compliance. These records are aggregated in the daily Operations Report, which identifies missed executions and overlapping instances, totals service credits accrued, and is made available to the Department for validation.</w:t>
            </w:r>
          </w:p>
        </w:tc>
      </w:tr>
      <w:tr w:rsidR="005562EB" w:rsidRPr="002C7415" w14:paraId="48C45185" w14:textId="77777777" w:rsidTr="003653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66BDD2F" w14:textId="77777777" w:rsidR="005562EB" w:rsidRPr="002C7415" w:rsidRDefault="005562EB" w:rsidP="002413AA">
            <w:pPr>
              <w:rPr>
                <w:rFonts w:cs="Arial"/>
                <w:b w:val="0"/>
                <w:bCs w:val="0"/>
                <w:szCs w:val="20"/>
              </w:rPr>
            </w:pPr>
            <w:r>
              <w:rPr>
                <w:rFonts w:cs="Arial"/>
                <w:szCs w:val="20"/>
              </w:rPr>
              <w:t>AMS Service Credit</w:t>
            </w:r>
          </w:p>
        </w:tc>
        <w:tc>
          <w:tcPr>
            <w:tcW w:w="8900" w:type="dxa"/>
          </w:tcPr>
          <w:p w14:paraId="03114658" w14:textId="1A11AF90"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comply with executing critical inbound interfaces results in a service credit of one hundred twenty-five dollars ($125) per scheduled execution that is not executed within the timeframe identified, plus an additional one hundred twenty-five dollars ($125) per overlapping instance per calendar day, or portion thereof, until the file is successfully received.</w:t>
            </w:r>
          </w:p>
        </w:tc>
      </w:tr>
      <w:tr w:rsidR="005562EB" w:rsidRPr="002C7415" w14:paraId="2158AB54" w14:textId="77777777" w:rsidTr="003653E7">
        <w:tc>
          <w:tcPr>
            <w:cnfStyle w:val="001000000000" w:firstRow="0" w:lastRow="0" w:firstColumn="1" w:lastColumn="0" w:oddVBand="0" w:evenVBand="0" w:oddHBand="0" w:evenHBand="0" w:firstRowFirstColumn="0" w:firstRowLastColumn="0" w:lastRowFirstColumn="0" w:lastRowLastColumn="0"/>
            <w:tcW w:w="1886" w:type="dxa"/>
          </w:tcPr>
          <w:p w14:paraId="2E7833F6" w14:textId="749AEB93"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05FB6E58" w14:textId="53C09488" w:rsidR="008C2B7B" w:rsidRDefault="002A3AE9"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Incomplete Interface (Initial Service Credit):</w:t>
            </w:r>
            <w:r>
              <w:rPr>
                <w:rFonts w:cs="Arial"/>
                <w:szCs w:val="20"/>
              </w:rPr>
              <w:t xml:space="preserve"> Failure to comply with executing critical inbound interfaces results in a service credit of two thousand five hundred dollars ($2,500) per scheduled execution that is not executed within the timeframe identified.</w:t>
            </w:r>
          </w:p>
          <w:p w14:paraId="546E2A46" w14:textId="7012A816" w:rsidR="005562EB" w:rsidRPr="002C7415" w:rsidRDefault="008D4223"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Multiple Incomplete Instances (Additional Service Credit)</w:t>
            </w:r>
            <w:r>
              <w:rPr>
                <w:rFonts w:cs="Arial"/>
                <w:szCs w:val="20"/>
              </w:rPr>
              <w:t>: An additional two thousand five hundred dollars ($2,500) is applied per overlapping instance per calendar day, or portion thereof, until the file is successfully received.</w:t>
            </w:r>
          </w:p>
        </w:tc>
      </w:tr>
    </w:tbl>
    <w:p w14:paraId="61B17E92" w14:textId="5ACA2FAC" w:rsidR="005562EB" w:rsidRPr="002C7415" w:rsidRDefault="005562EB" w:rsidP="00CB1E19">
      <w:pPr>
        <w:pStyle w:val="HeadingSLA"/>
      </w:pPr>
      <w:bookmarkStart w:id="121" w:name="_Toc230258230"/>
      <w:bookmarkStart w:id="122" w:name="_Toc233199178"/>
      <w:r>
        <w:lastRenderedPageBreak/>
        <w:t>Inbound Scheduled Interfaces: Non-Critical</w:t>
      </w:r>
      <w:bookmarkEnd w:id="121"/>
      <w:bookmarkEnd w:id="122"/>
    </w:p>
    <w:tbl>
      <w:tblPr>
        <w:tblStyle w:val="DOH-LeftHeader"/>
        <w:tblW w:w="4998" w:type="pct"/>
        <w:tblLayout w:type="fixed"/>
        <w:tblLook w:val="0480" w:firstRow="0" w:lastRow="0" w:firstColumn="1" w:lastColumn="0" w:noHBand="0" w:noVBand="1"/>
      </w:tblPr>
      <w:tblGrid>
        <w:gridCol w:w="1886"/>
        <w:gridCol w:w="8900"/>
      </w:tblGrid>
      <w:tr w:rsidR="005562EB" w:rsidRPr="002C7415" w14:paraId="59DA31C5" w14:textId="77777777" w:rsidTr="00EA6E48">
        <w:tc>
          <w:tcPr>
            <w:cnfStyle w:val="001000000000" w:firstRow="0" w:lastRow="0" w:firstColumn="1" w:lastColumn="0" w:oddVBand="0" w:evenVBand="0" w:oddHBand="0" w:evenHBand="0" w:firstRowFirstColumn="0" w:firstRowLastColumn="0" w:lastRowFirstColumn="0" w:lastRowLastColumn="0"/>
            <w:tcW w:w="1886" w:type="dxa"/>
          </w:tcPr>
          <w:p w14:paraId="42278D77" w14:textId="77777777" w:rsidR="005562EB" w:rsidRPr="002C7415" w:rsidRDefault="005562EB" w:rsidP="002413AA">
            <w:pPr>
              <w:rPr>
                <w:rFonts w:cs="Arial"/>
                <w:b w:val="0"/>
                <w:bCs w:val="0"/>
                <w:szCs w:val="20"/>
              </w:rPr>
            </w:pPr>
            <w:r>
              <w:rPr>
                <w:rFonts w:cs="Arial"/>
                <w:szCs w:val="20"/>
              </w:rPr>
              <w:t>Purpose</w:t>
            </w:r>
          </w:p>
        </w:tc>
        <w:tc>
          <w:tcPr>
            <w:tcW w:w="8900" w:type="dxa"/>
          </w:tcPr>
          <w:p w14:paraId="026AE4DA" w14:textId="6336C8BD" w:rsidR="005562EB" w:rsidRPr="002C7415" w:rsidRDefault="00AA55DA"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ensures the Contractor executes each interface on schedule and resolves any missed runs quickly to prevent compounded delays. Data must flow smoothly between the Converged E&amp;E System, the AMS, and its trading partners. Non-critical inbound scheduled interfaces have strict run windows because downstream systems, eligibility decisions, and back-office processes depend on these files arriving on time. </w:t>
            </w:r>
          </w:p>
        </w:tc>
      </w:tr>
      <w:tr w:rsidR="005562EB" w:rsidRPr="002C7415" w14:paraId="3EA94ED3" w14:textId="77777777" w:rsidTr="00EA6E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2B443B6" w14:textId="77777777" w:rsidR="005562EB" w:rsidRPr="002C7415" w:rsidRDefault="005562EB" w:rsidP="002413AA">
            <w:pPr>
              <w:rPr>
                <w:rFonts w:cs="Arial"/>
                <w:b w:val="0"/>
                <w:bCs w:val="0"/>
                <w:szCs w:val="20"/>
              </w:rPr>
            </w:pPr>
            <w:r>
              <w:rPr>
                <w:rFonts w:cs="Arial"/>
                <w:szCs w:val="20"/>
              </w:rPr>
              <w:t>Specification</w:t>
            </w:r>
          </w:p>
        </w:tc>
        <w:tc>
          <w:tcPr>
            <w:tcW w:w="8900" w:type="dxa"/>
          </w:tcPr>
          <w:p w14:paraId="7896723C" w14:textId="383EB079"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execute all non-critical inbound interfaces, unless exceptions are made by the Department, per the timeframe identified for each interface as defined by the Department. Additional interfaces identified by the Department must be added to the non-critical interfaces list after each Go-Live or Deployment, as applicable.</w:t>
            </w:r>
          </w:p>
        </w:tc>
      </w:tr>
      <w:tr w:rsidR="005562EB" w:rsidRPr="002C7415" w14:paraId="3AD9695D" w14:textId="77777777" w:rsidTr="00EA6E48">
        <w:tc>
          <w:tcPr>
            <w:cnfStyle w:val="001000000000" w:firstRow="0" w:lastRow="0" w:firstColumn="1" w:lastColumn="0" w:oddVBand="0" w:evenVBand="0" w:oddHBand="0" w:evenHBand="0" w:firstRowFirstColumn="0" w:firstRowLastColumn="0" w:lastRowFirstColumn="0" w:lastRowLastColumn="0"/>
            <w:tcW w:w="1886" w:type="dxa"/>
          </w:tcPr>
          <w:p w14:paraId="0041C534" w14:textId="77777777" w:rsidR="005562EB" w:rsidRPr="002C7415" w:rsidRDefault="005562EB" w:rsidP="002413AA">
            <w:pPr>
              <w:rPr>
                <w:rFonts w:cs="Arial"/>
                <w:b w:val="0"/>
                <w:bCs w:val="0"/>
                <w:szCs w:val="20"/>
              </w:rPr>
            </w:pPr>
            <w:r>
              <w:rPr>
                <w:rFonts w:cs="Arial"/>
                <w:szCs w:val="20"/>
              </w:rPr>
              <w:t>Service Level</w:t>
            </w:r>
          </w:p>
        </w:tc>
        <w:tc>
          <w:tcPr>
            <w:tcW w:w="8900" w:type="dxa"/>
          </w:tcPr>
          <w:p w14:paraId="7637197B" w14:textId="4C478BC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non-critical inbound scheduled interfaces must execute within the timeframe identified for each interface as defined by the Department.</w:t>
            </w:r>
          </w:p>
        </w:tc>
      </w:tr>
      <w:tr w:rsidR="005562EB" w:rsidRPr="002C7415" w14:paraId="571E1427" w14:textId="77777777" w:rsidTr="00EA6E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1ABE961" w14:textId="77777777" w:rsidR="005562EB" w:rsidRPr="002C7415" w:rsidRDefault="005562EB" w:rsidP="002413AA">
            <w:pPr>
              <w:rPr>
                <w:rFonts w:cs="Arial"/>
                <w:b w:val="0"/>
                <w:bCs w:val="0"/>
                <w:szCs w:val="20"/>
              </w:rPr>
            </w:pPr>
            <w:r>
              <w:rPr>
                <w:rFonts w:cs="Arial"/>
                <w:szCs w:val="20"/>
              </w:rPr>
              <w:t>Notes</w:t>
            </w:r>
          </w:p>
        </w:tc>
        <w:tc>
          <w:tcPr>
            <w:tcW w:w="8900" w:type="dxa"/>
          </w:tcPr>
          <w:p w14:paraId="7B250AD9" w14:textId="611E1764"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list of non-critical inbound scheduled interfaces, including the timeframe for each, is maintained as defined by the Department. The Department may add interfaces to the list following any Go-Live or Deployment.</w:t>
            </w:r>
          </w:p>
        </w:tc>
      </w:tr>
      <w:tr w:rsidR="005562EB" w:rsidRPr="002C7415" w14:paraId="5FD57D91" w14:textId="77777777" w:rsidTr="00EA6E48">
        <w:tc>
          <w:tcPr>
            <w:cnfStyle w:val="001000000000" w:firstRow="0" w:lastRow="0" w:firstColumn="1" w:lastColumn="0" w:oddVBand="0" w:evenVBand="0" w:oddHBand="0" w:evenHBand="0" w:firstRowFirstColumn="0" w:firstRowLastColumn="0" w:lastRowFirstColumn="0" w:lastRowLastColumn="0"/>
            <w:tcW w:w="1886" w:type="dxa"/>
          </w:tcPr>
          <w:p w14:paraId="37F7F69B"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3EBC7B5D" w14:textId="5C84A77C"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measured per scheduled execution. Scheduled interface compliance is reported to the Department in the daily and weekly Operations Report. This SLA is in effect after the Transition-In Cutover and continues through the Transition-Out Cutover.</w:t>
            </w:r>
          </w:p>
        </w:tc>
      </w:tr>
      <w:tr w:rsidR="005562EB" w:rsidRPr="002C7415" w14:paraId="4122441C" w14:textId="77777777" w:rsidTr="00EA6E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C3F1B44" w14:textId="77777777" w:rsidR="005562EB" w:rsidRPr="002C7415" w:rsidRDefault="005562EB" w:rsidP="002413AA">
            <w:pPr>
              <w:rPr>
                <w:rFonts w:cs="Arial"/>
                <w:szCs w:val="20"/>
              </w:rPr>
            </w:pPr>
            <w:r>
              <w:rPr>
                <w:rFonts w:cs="Arial"/>
                <w:szCs w:val="20"/>
              </w:rPr>
              <w:t>SLA Calculations</w:t>
            </w:r>
          </w:p>
        </w:tc>
        <w:tc>
          <w:tcPr>
            <w:tcW w:w="8900" w:type="dxa"/>
          </w:tcPr>
          <w:p w14:paraId="3C05AF48" w14:textId="7FAFFE35"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scheduled execution. For each interface and each scheduled run, the Contractor records the scheduled execution window and the actual execution timestamp. Any scheduled execution that does not run within the identified timeframe counts as one (1) occurrence. If a missed execution is not successfully completed by the next scheduled run, the file is considered to have an overlapping instance, and an additional credit accrues for each calendar day, or portion thereof, until the file is successfully received.</w:t>
            </w:r>
          </w:p>
        </w:tc>
      </w:tr>
      <w:tr w:rsidR="005562EB" w:rsidRPr="002C7415" w14:paraId="68A5DFB4" w14:textId="77777777" w:rsidTr="00EA6E48">
        <w:tc>
          <w:tcPr>
            <w:cnfStyle w:val="001000000000" w:firstRow="0" w:lastRow="0" w:firstColumn="1" w:lastColumn="0" w:oddVBand="0" w:evenVBand="0" w:oddHBand="0" w:evenHBand="0" w:firstRowFirstColumn="0" w:firstRowLastColumn="0" w:lastRowFirstColumn="0" w:lastRowLastColumn="0"/>
            <w:tcW w:w="1886" w:type="dxa"/>
          </w:tcPr>
          <w:p w14:paraId="5A9BAFAD"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21AF60F5" w14:textId="1B62BC93"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Non-Critical Inbound Interface: </w:t>
            </w:r>
            <w:r>
              <w:rPr>
                <w:rFonts w:cs="Arial"/>
                <w:szCs w:val="20"/>
              </w:rPr>
              <w:t>A non-critical inbound scheduled interface as defined by the Department, including any additional interfaces added by the Department following a Go-Live or Deployment.</w:t>
            </w:r>
          </w:p>
          <w:p w14:paraId="60275A10"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Scheduled Execution: </w:t>
            </w:r>
            <w:r>
              <w:rPr>
                <w:rFonts w:cs="Arial"/>
                <w:szCs w:val="20"/>
              </w:rPr>
              <w:t>A planned run of an interface within the timeframe identified for that interface.</w:t>
            </w:r>
          </w:p>
          <w:p w14:paraId="60B70774"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Overlapping Instance: </w:t>
            </w:r>
            <w:r>
              <w:rPr>
                <w:rFonts w:cs="Arial"/>
                <w:szCs w:val="20"/>
              </w:rPr>
              <w:t>A missed scheduled execution that is not successfully completed before the next scheduled execution of the same interface.</w:t>
            </w:r>
          </w:p>
        </w:tc>
      </w:tr>
      <w:tr w:rsidR="005562EB" w:rsidRPr="002C7415" w14:paraId="6A1E996A" w14:textId="77777777" w:rsidTr="00EA6E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E83F22E" w14:textId="77777777" w:rsidR="005562EB" w:rsidRPr="002C7415" w:rsidRDefault="005562EB" w:rsidP="002413AA">
            <w:pPr>
              <w:rPr>
                <w:rFonts w:cs="Arial"/>
                <w:b w:val="0"/>
                <w:bCs w:val="0"/>
                <w:szCs w:val="20"/>
              </w:rPr>
            </w:pPr>
            <w:r>
              <w:rPr>
                <w:rFonts w:cs="Arial"/>
                <w:szCs w:val="20"/>
              </w:rPr>
              <w:t>Exclusions</w:t>
            </w:r>
          </w:p>
        </w:tc>
        <w:tc>
          <w:tcPr>
            <w:tcW w:w="8900" w:type="dxa"/>
          </w:tcPr>
          <w:p w14:paraId="66EE96DD" w14:textId="1D8FA9FC"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a missed execution if the external trading partner failed to make the inbound file available for processing within the scheduled window. The Contractor is responsible for demonstrating such an external failure with verifiable system logs.</w:t>
            </w:r>
          </w:p>
        </w:tc>
      </w:tr>
      <w:tr w:rsidR="005562EB" w:rsidRPr="002C7415" w14:paraId="22D619BB" w14:textId="77777777" w:rsidTr="00EA6E48">
        <w:tc>
          <w:tcPr>
            <w:cnfStyle w:val="001000000000" w:firstRow="0" w:lastRow="0" w:firstColumn="1" w:lastColumn="0" w:oddVBand="0" w:evenVBand="0" w:oddHBand="0" w:evenHBand="0" w:firstRowFirstColumn="0" w:firstRowLastColumn="0" w:lastRowFirstColumn="0" w:lastRowLastColumn="0"/>
            <w:tcW w:w="1886" w:type="dxa"/>
          </w:tcPr>
          <w:p w14:paraId="32F05E63"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4A61BE80" w14:textId="4CA47118"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capture, for every scheduled execution: the interface name, the scheduled timeframe, the actual execution timestamp (or evidence of non-execution), the completion status, and the root cause for any non-compliance. These records are aggregated in the daily and weekly Operations Report, which identifies missed executions and overlapping instances, totals service credits accrued, and is made available to the Department for validation.</w:t>
            </w:r>
          </w:p>
        </w:tc>
      </w:tr>
      <w:tr w:rsidR="005562EB" w:rsidRPr="002C7415" w14:paraId="1A941A1F" w14:textId="77777777" w:rsidTr="00EA6E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AA5DDA0" w14:textId="77777777" w:rsidR="005562EB" w:rsidRPr="002C7415" w:rsidRDefault="005562EB" w:rsidP="002413AA">
            <w:pPr>
              <w:rPr>
                <w:rFonts w:cs="Arial"/>
                <w:b w:val="0"/>
                <w:bCs w:val="0"/>
                <w:szCs w:val="20"/>
              </w:rPr>
            </w:pPr>
            <w:r>
              <w:rPr>
                <w:rFonts w:cs="Arial"/>
                <w:szCs w:val="20"/>
              </w:rPr>
              <w:t>AMS Service Credit</w:t>
            </w:r>
          </w:p>
        </w:tc>
        <w:tc>
          <w:tcPr>
            <w:tcW w:w="8900" w:type="dxa"/>
          </w:tcPr>
          <w:p w14:paraId="1833E991" w14:textId="45D07444"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comply with executing non-critical inbound interfaces results in a service credit of one hundred dollars ($100) per scheduled execution that is not executed within the timeframe identified, plus an additional one hundred dollars ($100) per overlapping instance per calendar day, or portion thereof, until the file is successfully received.</w:t>
            </w:r>
          </w:p>
        </w:tc>
      </w:tr>
      <w:tr w:rsidR="005562EB" w:rsidRPr="002C7415" w14:paraId="59E63638" w14:textId="77777777" w:rsidTr="00EA6E48">
        <w:tc>
          <w:tcPr>
            <w:cnfStyle w:val="001000000000" w:firstRow="0" w:lastRow="0" w:firstColumn="1" w:lastColumn="0" w:oddVBand="0" w:evenVBand="0" w:oddHBand="0" w:evenHBand="0" w:firstRowFirstColumn="0" w:firstRowLastColumn="0" w:lastRowFirstColumn="0" w:lastRowLastColumn="0"/>
            <w:tcW w:w="1886" w:type="dxa"/>
          </w:tcPr>
          <w:p w14:paraId="3EBAE4D0" w14:textId="764C5931"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76D38C6F" w14:textId="44596787" w:rsidR="00AD3329" w:rsidRDefault="00AD3329"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Incomplete Interface (Initial Service Credit):</w:t>
            </w:r>
            <w:r>
              <w:rPr>
                <w:rFonts w:cs="Arial"/>
                <w:szCs w:val="20"/>
              </w:rPr>
              <w:t xml:space="preserve"> Failure to comply with executing non-critical inbound interfaces results in a service credit of one thousand dollars ($1,000) per scheduled execution that is not executed within the timeframe identified.</w:t>
            </w:r>
          </w:p>
          <w:p w14:paraId="22E8D954" w14:textId="407E29EB" w:rsidR="005562EB" w:rsidRPr="002C7415" w:rsidRDefault="0066056D"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Overlapping Instances (Additional Service Credit):</w:t>
            </w:r>
            <w:r>
              <w:rPr>
                <w:rFonts w:cs="Arial"/>
                <w:szCs w:val="20"/>
              </w:rPr>
              <w:t xml:space="preserve"> An additional one thousand dollars ($1,000) per overlapping instance per calendar day, or portion thereof, applies until the file is successfully received.</w:t>
            </w:r>
          </w:p>
        </w:tc>
      </w:tr>
    </w:tbl>
    <w:p w14:paraId="6FBADFDA" w14:textId="34D577BB" w:rsidR="005562EB" w:rsidRPr="002C7415" w:rsidRDefault="005562EB" w:rsidP="00CB1E19">
      <w:pPr>
        <w:pStyle w:val="HeadingSLA"/>
      </w:pPr>
      <w:bookmarkStart w:id="123" w:name="_Toc230258231"/>
      <w:bookmarkStart w:id="124" w:name="_Toc233199179"/>
      <w:r>
        <w:lastRenderedPageBreak/>
        <w:t>Outbound Scheduled Interfaces: Critical</w:t>
      </w:r>
      <w:bookmarkEnd w:id="123"/>
      <w:bookmarkEnd w:id="124"/>
    </w:p>
    <w:tbl>
      <w:tblPr>
        <w:tblStyle w:val="DOH-LeftHeader"/>
        <w:tblW w:w="4998" w:type="pct"/>
        <w:tblLayout w:type="fixed"/>
        <w:tblLook w:val="0480" w:firstRow="0" w:lastRow="0" w:firstColumn="1" w:lastColumn="0" w:noHBand="0" w:noVBand="1"/>
      </w:tblPr>
      <w:tblGrid>
        <w:gridCol w:w="1886"/>
        <w:gridCol w:w="8900"/>
      </w:tblGrid>
      <w:tr w:rsidR="005562EB" w:rsidRPr="002C7415" w14:paraId="62935025" w14:textId="77777777" w:rsidTr="0096477A">
        <w:tc>
          <w:tcPr>
            <w:cnfStyle w:val="001000000000" w:firstRow="0" w:lastRow="0" w:firstColumn="1" w:lastColumn="0" w:oddVBand="0" w:evenVBand="0" w:oddHBand="0" w:evenHBand="0" w:firstRowFirstColumn="0" w:firstRowLastColumn="0" w:lastRowFirstColumn="0" w:lastRowLastColumn="0"/>
            <w:tcW w:w="1886" w:type="dxa"/>
          </w:tcPr>
          <w:p w14:paraId="79BDF1C4" w14:textId="77777777" w:rsidR="005562EB" w:rsidRPr="002C7415" w:rsidRDefault="005562EB" w:rsidP="002413AA">
            <w:pPr>
              <w:rPr>
                <w:rFonts w:cs="Arial"/>
                <w:b w:val="0"/>
                <w:bCs w:val="0"/>
                <w:szCs w:val="20"/>
              </w:rPr>
            </w:pPr>
            <w:r>
              <w:rPr>
                <w:rFonts w:cs="Arial"/>
                <w:szCs w:val="20"/>
              </w:rPr>
              <w:t>Purpose</w:t>
            </w:r>
          </w:p>
        </w:tc>
        <w:tc>
          <w:tcPr>
            <w:tcW w:w="8900" w:type="dxa"/>
          </w:tcPr>
          <w:p w14:paraId="06F0E524" w14:textId="0A35DA4B" w:rsidR="005562EB" w:rsidRPr="002C7415" w:rsidRDefault="0096477A"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ensures the Contractor executes each interface on schedule and resolves any missed runs quickly to prevent compounded delays. Data must flow smoothly between the Converged E&amp;E System, the AMS, and its trading partners. Critical outbound scheduled interfaces have strict run windows because downstream systems, eligibility decisions, and back-office processes depend on these files arriving on time. </w:t>
            </w:r>
          </w:p>
        </w:tc>
      </w:tr>
      <w:tr w:rsidR="005562EB" w:rsidRPr="002C7415" w14:paraId="3ECA2D38" w14:textId="77777777" w:rsidTr="009647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87692E0" w14:textId="77777777" w:rsidR="005562EB" w:rsidRPr="002C7415" w:rsidRDefault="005562EB" w:rsidP="002413AA">
            <w:pPr>
              <w:rPr>
                <w:rFonts w:cs="Arial"/>
                <w:b w:val="0"/>
                <w:bCs w:val="0"/>
                <w:szCs w:val="20"/>
              </w:rPr>
            </w:pPr>
            <w:r>
              <w:rPr>
                <w:rFonts w:cs="Arial"/>
                <w:szCs w:val="20"/>
              </w:rPr>
              <w:t>Specification</w:t>
            </w:r>
          </w:p>
        </w:tc>
        <w:tc>
          <w:tcPr>
            <w:tcW w:w="8900" w:type="dxa"/>
          </w:tcPr>
          <w:p w14:paraId="07ED89C0" w14:textId="1BB2BF9A"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execute all critical outbound interfaces, unless exceptions are made by the Department, per the timeframe identified for each interface as defined by the Department. Additional interfaces identified by the Department must be added to the critical interfaces list after each Go-Live or Deployment, as applicable.</w:t>
            </w:r>
          </w:p>
        </w:tc>
      </w:tr>
      <w:tr w:rsidR="005562EB" w:rsidRPr="002C7415" w14:paraId="25E0A4DB" w14:textId="77777777" w:rsidTr="0096477A">
        <w:tc>
          <w:tcPr>
            <w:cnfStyle w:val="001000000000" w:firstRow="0" w:lastRow="0" w:firstColumn="1" w:lastColumn="0" w:oddVBand="0" w:evenVBand="0" w:oddHBand="0" w:evenHBand="0" w:firstRowFirstColumn="0" w:firstRowLastColumn="0" w:lastRowFirstColumn="0" w:lastRowLastColumn="0"/>
            <w:tcW w:w="1886" w:type="dxa"/>
          </w:tcPr>
          <w:p w14:paraId="6D358619" w14:textId="77777777" w:rsidR="005562EB" w:rsidRPr="002C7415" w:rsidRDefault="005562EB" w:rsidP="002413AA">
            <w:pPr>
              <w:rPr>
                <w:rFonts w:cs="Arial"/>
                <w:b w:val="0"/>
                <w:bCs w:val="0"/>
                <w:szCs w:val="20"/>
              </w:rPr>
            </w:pPr>
            <w:r>
              <w:rPr>
                <w:rFonts w:cs="Arial"/>
                <w:szCs w:val="20"/>
              </w:rPr>
              <w:t>Service Level</w:t>
            </w:r>
          </w:p>
        </w:tc>
        <w:tc>
          <w:tcPr>
            <w:tcW w:w="8900" w:type="dxa"/>
          </w:tcPr>
          <w:p w14:paraId="3966553C"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critical outbound scheduled interfaces must execute within the timeframe identified for each interface as defined by the Department.</w:t>
            </w:r>
          </w:p>
        </w:tc>
      </w:tr>
      <w:tr w:rsidR="005562EB" w:rsidRPr="002C7415" w14:paraId="0F767942" w14:textId="77777777" w:rsidTr="009647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6213908" w14:textId="77777777" w:rsidR="005562EB" w:rsidRPr="002C7415" w:rsidRDefault="005562EB" w:rsidP="002413AA">
            <w:pPr>
              <w:rPr>
                <w:rFonts w:cs="Arial"/>
                <w:b w:val="0"/>
                <w:bCs w:val="0"/>
                <w:szCs w:val="20"/>
              </w:rPr>
            </w:pPr>
            <w:r>
              <w:rPr>
                <w:rFonts w:cs="Arial"/>
                <w:szCs w:val="20"/>
              </w:rPr>
              <w:t>Notes</w:t>
            </w:r>
          </w:p>
        </w:tc>
        <w:tc>
          <w:tcPr>
            <w:tcW w:w="8900" w:type="dxa"/>
          </w:tcPr>
          <w:p w14:paraId="3395A8B8" w14:textId="02932E46"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list of critical outbound scheduled interfaces, including the timeframe for each, is maintained as defined by the Department. The Department may add interfaces to the list following any Go-Live or Deployment.</w:t>
            </w:r>
          </w:p>
        </w:tc>
      </w:tr>
      <w:tr w:rsidR="005562EB" w:rsidRPr="002C7415" w14:paraId="58125763" w14:textId="77777777" w:rsidTr="0096477A">
        <w:tc>
          <w:tcPr>
            <w:cnfStyle w:val="001000000000" w:firstRow="0" w:lastRow="0" w:firstColumn="1" w:lastColumn="0" w:oddVBand="0" w:evenVBand="0" w:oddHBand="0" w:evenHBand="0" w:firstRowFirstColumn="0" w:firstRowLastColumn="0" w:lastRowFirstColumn="0" w:lastRowLastColumn="0"/>
            <w:tcW w:w="1886" w:type="dxa"/>
          </w:tcPr>
          <w:p w14:paraId="4F16875B"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2E53989C" w14:textId="04026236"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measured per scheduled execution. Scheduled interface compliance is reported to the Department in the daily and weekly Operations Report. This SLA is in effect after the Transition-In Cutover and continues through the Transition-Out Cutover.</w:t>
            </w:r>
          </w:p>
        </w:tc>
      </w:tr>
      <w:tr w:rsidR="005562EB" w:rsidRPr="002C7415" w14:paraId="540F66C2" w14:textId="77777777" w:rsidTr="009647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2AF4C14" w14:textId="77777777" w:rsidR="005562EB" w:rsidRPr="002C7415" w:rsidRDefault="005562EB" w:rsidP="002413AA">
            <w:pPr>
              <w:rPr>
                <w:rFonts w:cs="Arial"/>
                <w:szCs w:val="20"/>
              </w:rPr>
            </w:pPr>
            <w:r>
              <w:rPr>
                <w:rFonts w:cs="Arial"/>
                <w:szCs w:val="20"/>
              </w:rPr>
              <w:t>SLA Calculations</w:t>
            </w:r>
          </w:p>
        </w:tc>
        <w:tc>
          <w:tcPr>
            <w:tcW w:w="8900" w:type="dxa"/>
          </w:tcPr>
          <w:p w14:paraId="2A067050" w14:textId="7CB74615"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scheduled execution. For each interface and each scheduled run, the Contractor records the scheduled execution window and the actual execution timestamp. Any scheduled execution that does not run within the identified timeframe counts as one (1) occurrence. If a missed execution is not successfully completed by the next scheduled run, the file is considered to have an overlapping instance, and an additional credit accrues for each calendar day, or portion thereof, until the file is successfully received.</w:t>
            </w:r>
          </w:p>
        </w:tc>
      </w:tr>
      <w:tr w:rsidR="005562EB" w:rsidRPr="002C7415" w14:paraId="1B715E00" w14:textId="77777777" w:rsidTr="0096477A">
        <w:tc>
          <w:tcPr>
            <w:cnfStyle w:val="001000000000" w:firstRow="0" w:lastRow="0" w:firstColumn="1" w:lastColumn="0" w:oddVBand="0" w:evenVBand="0" w:oddHBand="0" w:evenHBand="0" w:firstRowFirstColumn="0" w:firstRowLastColumn="0" w:lastRowFirstColumn="0" w:lastRowLastColumn="0"/>
            <w:tcW w:w="1886" w:type="dxa"/>
          </w:tcPr>
          <w:p w14:paraId="6DE5F511"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29F79027" w14:textId="0E6C1639"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Critical Outbound Interface: </w:t>
            </w:r>
            <w:r>
              <w:rPr>
                <w:rFonts w:cs="Arial"/>
                <w:szCs w:val="20"/>
              </w:rPr>
              <w:t>A critical outbound scheduled interface as defined by the Department, including any additional interfaces added by the Department following a Go-Live or Deployment.</w:t>
            </w:r>
          </w:p>
          <w:p w14:paraId="1961EF21"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Scheduled Execution: </w:t>
            </w:r>
            <w:r>
              <w:rPr>
                <w:rFonts w:cs="Arial"/>
                <w:szCs w:val="20"/>
              </w:rPr>
              <w:t>A planned run of an interface within the timeframe identified for that interface.</w:t>
            </w:r>
          </w:p>
          <w:p w14:paraId="5D1F78FD"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Overlapping Instance: </w:t>
            </w:r>
            <w:r>
              <w:rPr>
                <w:rFonts w:cs="Arial"/>
                <w:szCs w:val="20"/>
              </w:rPr>
              <w:t>A missed scheduled execution that is not successfully completed before the next scheduled execution of the same interface.</w:t>
            </w:r>
          </w:p>
        </w:tc>
      </w:tr>
      <w:tr w:rsidR="005562EB" w:rsidRPr="002C7415" w14:paraId="71436C6E" w14:textId="77777777" w:rsidTr="009647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72FE28A" w14:textId="77777777" w:rsidR="005562EB" w:rsidRPr="002C7415" w:rsidRDefault="005562EB" w:rsidP="002413AA">
            <w:pPr>
              <w:rPr>
                <w:rFonts w:cs="Arial"/>
                <w:b w:val="0"/>
                <w:bCs w:val="0"/>
                <w:szCs w:val="20"/>
              </w:rPr>
            </w:pPr>
            <w:r>
              <w:rPr>
                <w:rFonts w:cs="Arial"/>
                <w:szCs w:val="20"/>
              </w:rPr>
              <w:t>Exclusions</w:t>
            </w:r>
          </w:p>
        </w:tc>
        <w:tc>
          <w:tcPr>
            <w:tcW w:w="8900" w:type="dxa"/>
          </w:tcPr>
          <w:p w14:paraId="3312BF58" w14:textId="1BC7C56F"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a missed transmission if the external trading partner’s system was unavailable to receive the outbound file. The Contractor is responsible for demonstrating such an external failure with verifiable system logs (e.g., connection refusal, network errors).</w:t>
            </w:r>
          </w:p>
        </w:tc>
      </w:tr>
      <w:tr w:rsidR="005562EB" w:rsidRPr="002C7415" w14:paraId="0BA26281" w14:textId="77777777" w:rsidTr="0096477A">
        <w:tc>
          <w:tcPr>
            <w:cnfStyle w:val="001000000000" w:firstRow="0" w:lastRow="0" w:firstColumn="1" w:lastColumn="0" w:oddVBand="0" w:evenVBand="0" w:oddHBand="0" w:evenHBand="0" w:firstRowFirstColumn="0" w:firstRowLastColumn="0" w:lastRowFirstColumn="0" w:lastRowLastColumn="0"/>
            <w:tcW w:w="1886" w:type="dxa"/>
          </w:tcPr>
          <w:p w14:paraId="42A3B385"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1D2ABD06" w14:textId="64E7A07B"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capture, for every scheduled execution: the interface name, the scheduled timeframe, the actual execution timestamp (or evidence of non-execution), the completion status, and the root cause for any non-compliance. These records are aggregated in the daily and weekly Operations Report, which identifies missed executions and overlapping instances, totals service credits accrued, and is made available to the Department for validation.</w:t>
            </w:r>
          </w:p>
        </w:tc>
      </w:tr>
      <w:tr w:rsidR="005562EB" w:rsidRPr="002C7415" w14:paraId="1E94EF36" w14:textId="77777777" w:rsidTr="009647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FA9A1BD" w14:textId="77777777" w:rsidR="005562EB" w:rsidRPr="002C7415" w:rsidRDefault="005562EB" w:rsidP="002413AA">
            <w:pPr>
              <w:rPr>
                <w:rFonts w:cs="Arial"/>
                <w:b w:val="0"/>
                <w:bCs w:val="0"/>
                <w:szCs w:val="20"/>
              </w:rPr>
            </w:pPr>
            <w:r>
              <w:rPr>
                <w:rFonts w:cs="Arial"/>
                <w:szCs w:val="20"/>
              </w:rPr>
              <w:t>AMS Service Credit</w:t>
            </w:r>
          </w:p>
        </w:tc>
        <w:tc>
          <w:tcPr>
            <w:tcW w:w="8900" w:type="dxa"/>
          </w:tcPr>
          <w:p w14:paraId="59AEB650" w14:textId="563BE469"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comply with executing critical outbound interfaces results in a service credit of one hundred twenty-five dollars ($125) per scheduled execution that is not executed within the timeframe identified, plus an additional one hundred twenty-five dollars ($125) per overlapping instance per calendar day, or portion thereof, until the file is successfully received.</w:t>
            </w:r>
          </w:p>
        </w:tc>
      </w:tr>
      <w:tr w:rsidR="005562EB" w:rsidRPr="002C7415" w14:paraId="0227ACB5" w14:textId="77777777" w:rsidTr="0096477A">
        <w:tc>
          <w:tcPr>
            <w:cnfStyle w:val="001000000000" w:firstRow="0" w:lastRow="0" w:firstColumn="1" w:lastColumn="0" w:oddVBand="0" w:evenVBand="0" w:oddHBand="0" w:evenHBand="0" w:firstRowFirstColumn="0" w:firstRowLastColumn="0" w:lastRowFirstColumn="0" w:lastRowLastColumn="0"/>
            <w:tcW w:w="1886" w:type="dxa"/>
          </w:tcPr>
          <w:p w14:paraId="52A99D6B" w14:textId="6A069121"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76888A2D" w14:textId="77777777" w:rsidR="00825E02" w:rsidRDefault="00915335"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Incomplete Interface (Initial Service Credit):</w:t>
            </w:r>
            <w:r>
              <w:rPr>
                <w:rFonts w:cs="Arial"/>
                <w:szCs w:val="20"/>
              </w:rPr>
              <w:t xml:space="preserve"> Failure to comply with executing critical outbound interfaces results in a service credit of two thousand five hundred dollars ($2,500) per scheduled execution that is not executed within the timeframe identified.</w:t>
            </w:r>
          </w:p>
          <w:p w14:paraId="5008F18E" w14:textId="43B9D1E9" w:rsidR="005562EB" w:rsidRPr="002C7415" w:rsidRDefault="006B5300"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lastRenderedPageBreak/>
              <w:t>Overlapping Instances (Additional Service Credit):</w:t>
            </w:r>
            <w:r>
              <w:rPr>
                <w:rFonts w:cs="Arial"/>
                <w:szCs w:val="20"/>
              </w:rPr>
              <w:t xml:space="preserve"> An additional two thousand five hundred dollars ($2,500) per overlapping instance per calendar day, or portion thereof, is applied until the file is successfully received.</w:t>
            </w:r>
          </w:p>
        </w:tc>
      </w:tr>
    </w:tbl>
    <w:p w14:paraId="1A687643" w14:textId="5B0DE2B1" w:rsidR="00BA1C11" w:rsidRDefault="00BA1C11" w:rsidP="00CB1E19">
      <w:pPr>
        <w:pStyle w:val="HeadingSLA"/>
      </w:pPr>
      <w:bookmarkStart w:id="125" w:name="_Toc233199180"/>
      <w:bookmarkStart w:id="126" w:name="_Toc230258233"/>
      <w:r>
        <w:lastRenderedPageBreak/>
        <w:t>Outbound Scheduled Interfaces: Non-Critical</w:t>
      </w:r>
      <w:bookmarkEnd w:id="125"/>
    </w:p>
    <w:tbl>
      <w:tblPr>
        <w:tblStyle w:val="DOH-LeftHeader"/>
        <w:tblW w:w="4998" w:type="pct"/>
        <w:tblLayout w:type="fixed"/>
        <w:tblLook w:val="0480" w:firstRow="0" w:lastRow="0" w:firstColumn="1" w:lastColumn="0" w:noHBand="0" w:noVBand="1"/>
      </w:tblPr>
      <w:tblGrid>
        <w:gridCol w:w="1886"/>
        <w:gridCol w:w="8900"/>
      </w:tblGrid>
      <w:tr w:rsidR="00BA1C11" w:rsidRPr="002C7415" w14:paraId="483ED09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8928F22" w14:textId="77777777" w:rsidR="00BA1C11" w:rsidRPr="002C7415" w:rsidRDefault="00BA1C11" w:rsidP="00DB06F0">
            <w:pPr>
              <w:rPr>
                <w:rFonts w:cs="Arial"/>
                <w:b w:val="0"/>
                <w:bCs w:val="0"/>
                <w:szCs w:val="20"/>
              </w:rPr>
            </w:pPr>
            <w:r>
              <w:rPr>
                <w:rFonts w:cs="Arial"/>
                <w:szCs w:val="20"/>
              </w:rPr>
              <w:t>Purpose</w:t>
            </w:r>
          </w:p>
        </w:tc>
        <w:tc>
          <w:tcPr>
            <w:tcW w:w="8900" w:type="dxa"/>
          </w:tcPr>
          <w:p w14:paraId="4989D861" w14:textId="0F49F5BE" w:rsidR="00BA1C11" w:rsidRPr="002C7415" w:rsidRDefault="00BA1C11"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ensures the Contractor executes each interface on schedule and resolves any missed runs quickly to prevent compounded delays. Data must flow smoothly between the Converged E&amp;E System, the AMS, and its trading partners. Non-critical outbound scheduled interfaces have strict run windows because downstream systems, eligibility decisions, and back-office processes depend on these files arriving on time. </w:t>
            </w:r>
          </w:p>
        </w:tc>
      </w:tr>
      <w:tr w:rsidR="00BA1C11" w:rsidRPr="002C7415" w14:paraId="0E4F469B"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CD4F20B" w14:textId="77777777" w:rsidR="00BA1C11" w:rsidRPr="002C7415" w:rsidRDefault="00BA1C11" w:rsidP="00DB06F0">
            <w:pPr>
              <w:rPr>
                <w:rFonts w:cs="Arial"/>
                <w:b w:val="0"/>
                <w:bCs w:val="0"/>
                <w:szCs w:val="20"/>
              </w:rPr>
            </w:pPr>
            <w:r>
              <w:rPr>
                <w:rFonts w:cs="Arial"/>
                <w:szCs w:val="20"/>
              </w:rPr>
              <w:t>Specification</w:t>
            </w:r>
          </w:p>
        </w:tc>
        <w:tc>
          <w:tcPr>
            <w:tcW w:w="8900" w:type="dxa"/>
          </w:tcPr>
          <w:p w14:paraId="00566AE3" w14:textId="6C4BE046" w:rsidR="00BA1C11" w:rsidRPr="002C7415" w:rsidRDefault="00BA1C11"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execute all non-critical outbound interfaces, unless exceptions are made by the Department, per the timeframe identified for each interface as defined by the Department. Additional interfaces identified by the Department must be added to the non-critical interfaces list after each Go-Live or Deployment, as applicable.</w:t>
            </w:r>
          </w:p>
        </w:tc>
      </w:tr>
      <w:tr w:rsidR="00BA1C11" w:rsidRPr="002C7415" w14:paraId="4028C6C7"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2546E5F" w14:textId="77777777" w:rsidR="00BA1C11" w:rsidRPr="002C7415" w:rsidRDefault="00BA1C11" w:rsidP="00DB06F0">
            <w:pPr>
              <w:rPr>
                <w:rFonts w:cs="Arial"/>
                <w:b w:val="0"/>
                <w:bCs w:val="0"/>
                <w:szCs w:val="20"/>
              </w:rPr>
            </w:pPr>
            <w:r>
              <w:rPr>
                <w:rFonts w:cs="Arial"/>
                <w:szCs w:val="20"/>
              </w:rPr>
              <w:t>Service Level</w:t>
            </w:r>
          </w:p>
        </w:tc>
        <w:tc>
          <w:tcPr>
            <w:tcW w:w="8900" w:type="dxa"/>
          </w:tcPr>
          <w:p w14:paraId="4C1AEDFC" w14:textId="02F5FE4E" w:rsidR="00BA1C11" w:rsidRPr="002C7415" w:rsidRDefault="00BA1C11"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non-critical outbound scheduled interfaces must execute within the timeframe identified for each interface as defined by the Department.</w:t>
            </w:r>
          </w:p>
        </w:tc>
      </w:tr>
      <w:tr w:rsidR="00BA1C11" w:rsidRPr="002C7415" w14:paraId="2A16467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75E915D" w14:textId="77777777" w:rsidR="00BA1C11" w:rsidRPr="002C7415" w:rsidRDefault="00BA1C11" w:rsidP="00DB06F0">
            <w:pPr>
              <w:rPr>
                <w:rFonts w:cs="Arial"/>
                <w:b w:val="0"/>
                <w:bCs w:val="0"/>
                <w:szCs w:val="20"/>
              </w:rPr>
            </w:pPr>
            <w:r>
              <w:rPr>
                <w:rFonts w:cs="Arial"/>
                <w:szCs w:val="20"/>
              </w:rPr>
              <w:t>Notes</w:t>
            </w:r>
          </w:p>
        </w:tc>
        <w:tc>
          <w:tcPr>
            <w:tcW w:w="8900" w:type="dxa"/>
          </w:tcPr>
          <w:p w14:paraId="01FB8B29" w14:textId="1F78AE0A" w:rsidR="00BA1C11" w:rsidRPr="002C7415" w:rsidRDefault="00BA1C11"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list of non-critical outbound scheduled interfaces, including the timeframe for each, is maintained as defined by the Department. The Department may add interfaces to the list following any Go-Live or Deployment.</w:t>
            </w:r>
          </w:p>
        </w:tc>
      </w:tr>
      <w:tr w:rsidR="00BA1C11" w:rsidRPr="002C7415" w14:paraId="2E3FD2E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399066A" w14:textId="77777777" w:rsidR="00BA1C11" w:rsidRPr="002C7415" w:rsidRDefault="00BA1C11" w:rsidP="00DB06F0">
            <w:pPr>
              <w:rPr>
                <w:rFonts w:cs="Arial"/>
                <w:b w:val="0"/>
                <w:bCs w:val="0"/>
                <w:szCs w:val="20"/>
              </w:rPr>
            </w:pPr>
            <w:r>
              <w:rPr>
                <w:rFonts w:cs="Arial"/>
                <w:szCs w:val="20"/>
              </w:rPr>
              <w:t>Reporting Frequency</w:t>
            </w:r>
          </w:p>
        </w:tc>
        <w:tc>
          <w:tcPr>
            <w:tcW w:w="8900" w:type="dxa"/>
          </w:tcPr>
          <w:p w14:paraId="1097E52E" w14:textId="77777777" w:rsidR="00BA1C11" w:rsidRPr="002C7415" w:rsidRDefault="00BA1C11"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measured per scheduled execution. Scheduled interface compliance is reported to the Department in the daily and weekly Operations Report. This SLA is in effect after the Transition-In Cutover and continues through the Transition-Out Cutover.</w:t>
            </w:r>
          </w:p>
        </w:tc>
      </w:tr>
      <w:tr w:rsidR="00BA1C11" w:rsidRPr="002C7415" w14:paraId="51EA63E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18BB74C" w14:textId="77777777" w:rsidR="00BA1C11" w:rsidRPr="002C7415" w:rsidRDefault="00BA1C11" w:rsidP="00DB06F0">
            <w:pPr>
              <w:rPr>
                <w:rFonts w:cs="Arial"/>
                <w:szCs w:val="20"/>
              </w:rPr>
            </w:pPr>
            <w:r>
              <w:rPr>
                <w:rFonts w:cs="Arial"/>
                <w:szCs w:val="20"/>
              </w:rPr>
              <w:t>SLA Calculations</w:t>
            </w:r>
          </w:p>
        </w:tc>
        <w:tc>
          <w:tcPr>
            <w:tcW w:w="8900" w:type="dxa"/>
          </w:tcPr>
          <w:p w14:paraId="4803B959" w14:textId="77777777" w:rsidR="00BA1C11" w:rsidRPr="002C7415" w:rsidRDefault="00BA1C11"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scheduled execution. For each interface and each scheduled run, the Contractor records the scheduled execution window and the actual execution timestamp. Any scheduled execution that does not run within the identified timeframe counts as one (1) occurrence. If a missed execution is not successfully completed by the next scheduled run, the file is considered to have an overlapping instance, and an additional credit accrues for each calendar day, or portion thereof, until the file is successfully received.</w:t>
            </w:r>
          </w:p>
        </w:tc>
      </w:tr>
      <w:tr w:rsidR="00BA1C11" w:rsidRPr="002C7415" w14:paraId="76C57D5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8073CDB" w14:textId="77777777" w:rsidR="00BA1C11" w:rsidRPr="002C7415" w:rsidRDefault="00BA1C11" w:rsidP="00DB06F0">
            <w:pPr>
              <w:rPr>
                <w:rFonts w:cs="Arial"/>
                <w:b w:val="0"/>
                <w:bCs w:val="0"/>
                <w:szCs w:val="20"/>
              </w:rPr>
            </w:pPr>
            <w:r>
              <w:rPr>
                <w:rFonts w:cs="Arial"/>
                <w:szCs w:val="20"/>
              </w:rPr>
              <w:t>SLA Calculations Definitions</w:t>
            </w:r>
          </w:p>
        </w:tc>
        <w:tc>
          <w:tcPr>
            <w:tcW w:w="8900" w:type="dxa"/>
          </w:tcPr>
          <w:p w14:paraId="38B67048" w14:textId="65BC91A2" w:rsidR="00BA1C11" w:rsidRPr="002C7415" w:rsidRDefault="00937DFF"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Non-Critical Outbound Interface: </w:t>
            </w:r>
            <w:r>
              <w:rPr>
                <w:rFonts w:cs="Arial"/>
                <w:szCs w:val="20"/>
              </w:rPr>
              <w:t>A non-critical outbound scheduled interface as defined by the Department, including any additional interfaces added by the Department following a Go-Live or Deployment.</w:t>
            </w:r>
          </w:p>
          <w:p w14:paraId="49FE4203" w14:textId="77777777" w:rsidR="00BA1C11" w:rsidRPr="002C7415" w:rsidRDefault="00BA1C11"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Scheduled Execution: </w:t>
            </w:r>
            <w:r>
              <w:rPr>
                <w:rFonts w:cs="Arial"/>
                <w:szCs w:val="20"/>
              </w:rPr>
              <w:t>A planned run of an interface within the timeframe identified for that interface.</w:t>
            </w:r>
          </w:p>
          <w:p w14:paraId="3A374E59" w14:textId="77777777" w:rsidR="00BA1C11" w:rsidRPr="002C7415" w:rsidRDefault="00BA1C11"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Overlapping Instance: </w:t>
            </w:r>
            <w:r>
              <w:rPr>
                <w:rFonts w:cs="Arial"/>
                <w:szCs w:val="20"/>
              </w:rPr>
              <w:t>A missed scheduled execution that is not successfully completed before the next scheduled execution of the same interface.</w:t>
            </w:r>
          </w:p>
        </w:tc>
      </w:tr>
      <w:tr w:rsidR="00BA1C11" w:rsidRPr="002C7415" w14:paraId="19F2428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165E6EB" w14:textId="77777777" w:rsidR="00BA1C11" w:rsidRPr="002C7415" w:rsidRDefault="00BA1C11" w:rsidP="00DB06F0">
            <w:pPr>
              <w:rPr>
                <w:rFonts w:cs="Arial"/>
                <w:b w:val="0"/>
                <w:bCs w:val="0"/>
                <w:szCs w:val="20"/>
              </w:rPr>
            </w:pPr>
            <w:r>
              <w:rPr>
                <w:rFonts w:cs="Arial"/>
                <w:szCs w:val="20"/>
              </w:rPr>
              <w:t>Exclusions</w:t>
            </w:r>
          </w:p>
        </w:tc>
        <w:tc>
          <w:tcPr>
            <w:tcW w:w="8900" w:type="dxa"/>
          </w:tcPr>
          <w:p w14:paraId="0D589253" w14:textId="77777777" w:rsidR="00BA1C11" w:rsidRPr="002C7415" w:rsidRDefault="00BA1C11"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a missed transmission if the external trading partner’s system was unavailable to receive the outbound file. The Contractor is responsible for demonstrating such an external failure with verifiable system logs (e.g., connection refusal, network errors).</w:t>
            </w:r>
          </w:p>
        </w:tc>
      </w:tr>
      <w:tr w:rsidR="00BA1C11" w:rsidRPr="002C7415" w14:paraId="4B6C505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DEF4713" w14:textId="77777777" w:rsidR="00BA1C11" w:rsidRPr="002C7415" w:rsidRDefault="00BA1C11" w:rsidP="00DB06F0">
            <w:pPr>
              <w:rPr>
                <w:rFonts w:cs="Arial"/>
                <w:b w:val="0"/>
                <w:bCs w:val="0"/>
                <w:szCs w:val="20"/>
              </w:rPr>
            </w:pPr>
            <w:r>
              <w:rPr>
                <w:rFonts w:cs="Arial"/>
                <w:szCs w:val="20"/>
              </w:rPr>
              <w:t>Process to Compile and Report SLA</w:t>
            </w:r>
          </w:p>
        </w:tc>
        <w:tc>
          <w:tcPr>
            <w:tcW w:w="8900" w:type="dxa"/>
          </w:tcPr>
          <w:p w14:paraId="5F86A4C7" w14:textId="77777777" w:rsidR="00BA1C11" w:rsidRPr="002C7415" w:rsidRDefault="00BA1C11"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capture, for every scheduled execution: the interface name, the scheduled timeframe, the actual execution timestamp (or evidence of non-execution), the completion status, and the root cause for any non-compliance. These records are aggregated in the daily and weekly Operations Report, which identifies missed executions and overlapping instances, totals service credits accrued, and is made available to the Department for validation.</w:t>
            </w:r>
          </w:p>
        </w:tc>
      </w:tr>
      <w:tr w:rsidR="00BA1C11" w:rsidRPr="002C7415" w14:paraId="1DCEB81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5520E18" w14:textId="77777777" w:rsidR="00BA1C11" w:rsidRPr="002C7415" w:rsidRDefault="00BA1C11" w:rsidP="00DB06F0">
            <w:pPr>
              <w:rPr>
                <w:rFonts w:cs="Arial"/>
                <w:b w:val="0"/>
                <w:bCs w:val="0"/>
                <w:szCs w:val="20"/>
              </w:rPr>
            </w:pPr>
            <w:r>
              <w:rPr>
                <w:rFonts w:cs="Arial"/>
                <w:szCs w:val="20"/>
              </w:rPr>
              <w:t>AMS Service Credit</w:t>
            </w:r>
          </w:p>
        </w:tc>
        <w:tc>
          <w:tcPr>
            <w:tcW w:w="8900" w:type="dxa"/>
          </w:tcPr>
          <w:p w14:paraId="07F359F5" w14:textId="3D51E299" w:rsidR="00BA1C11" w:rsidRPr="002C7415" w:rsidRDefault="00BA1C11"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comply with executing non-critical outbound interfaces results in a service credit of one hundred dollars ($100) per scheduled execution that is not executed within the timeframe identified, plus an additional one hundred dollars ($100) per overlapping instance per calendar day, or portion thereof, until the file is successfully received.</w:t>
            </w:r>
          </w:p>
        </w:tc>
      </w:tr>
      <w:tr w:rsidR="00BA1C11" w:rsidRPr="002C7415" w14:paraId="49D5D5A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E781029" w14:textId="77777777" w:rsidR="00BA1C11" w:rsidRPr="002C7415" w:rsidRDefault="00BA1C11" w:rsidP="00DB06F0">
            <w:pPr>
              <w:rPr>
                <w:rFonts w:cs="Arial"/>
                <w:b w:val="0"/>
                <w:bCs w:val="0"/>
                <w:szCs w:val="20"/>
              </w:rPr>
            </w:pPr>
            <w:r>
              <w:rPr>
                <w:rFonts w:cs="Arial"/>
                <w:szCs w:val="20"/>
              </w:rPr>
              <w:lastRenderedPageBreak/>
              <w:t>Converged E&amp;E System and AMS Service Credit</w:t>
            </w:r>
          </w:p>
        </w:tc>
        <w:tc>
          <w:tcPr>
            <w:tcW w:w="8900" w:type="dxa"/>
          </w:tcPr>
          <w:p w14:paraId="7F10C045" w14:textId="61479CC3" w:rsidR="00BA1C11" w:rsidRDefault="00BA1C11"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Incomplete Interface (Initial Service Credit):</w:t>
            </w:r>
            <w:r>
              <w:rPr>
                <w:rFonts w:cs="Arial"/>
                <w:szCs w:val="20"/>
              </w:rPr>
              <w:t xml:space="preserve"> Failure to comply with executing non-critical outbound interfaces results in a service credit of one thousand dollars ($1,000) per scheduled execution that is not executed within the timeframe identified.</w:t>
            </w:r>
          </w:p>
          <w:p w14:paraId="40AD0CEE" w14:textId="1B0E3D27" w:rsidR="00BA1C11" w:rsidRPr="002C7415" w:rsidRDefault="00BA1C11"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Overlapping Instances (Additional Service Credit):</w:t>
            </w:r>
            <w:r>
              <w:rPr>
                <w:rFonts w:cs="Arial"/>
                <w:szCs w:val="20"/>
              </w:rPr>
              <w:t xml:space="preserve"> An additional one thousand dollars ($1,000) per overlapping instance per calendar day, or portion thereof, is applied until the file is successfully received.</w:t>
            </w:r>
          </w:p>
        </w:tc>
      </w:tr>
    </w:tbl>
    <w:p w14:paraId="393F3D43" w14:textId="3EBE7D4A" w:rsidR="005562EB" w:rsidRPr="002C7415" w:rsidRDefault="005562EB" w:rsidP="00CB1E19">
      <w:pPr>
        <w:pStyle w:val="HeadingSLA"/>
      </w:pPr>
      <w:bookmarkStart w:id="127" w:name="_Toc233199181"/>
      <w:r>
        <w:t>Inbound Real-Time Interfaces: Critical</w:t>
      </w:r>
      <w:bookmarkEnd w:id="126"/>
      <w:bookmarkEnd w:id="127"/>
    </w:p>
    <w:tbl>
      <w:tblPr>
        <w:tblStyle w:val="DOH-LeftHeader"/>
        <w:tblW w:w="4998" w:type="pct"/>
        <w:tblLayout w:type="fixed"/>
        <w:tblLook w:val="0480" w:firstRow="0" w:lastRow="0" w:firstColumn="1" w:lastColumn="0" w:noHBand="0" w:noVBand="1"/>
      </w:tblPr>
      <w:tblGrid>
        <w:gridCol w:w="1886"/>
        <w:gridCol w:w="8900"/>
      </w:tblGrid>
      <w:tr w:rsidR="005562EB" w:rsidRPr="002C7415" w14:paraId="2107E566"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44E0238B" w14:textId="77777777" w:rsidR="005562EB" w:rsidRPr="002C7415" w:rsidRDefault="005562EB" w:rsidP="002413AA">
            <w:pPr>
              <w:rPr>
                <w:rFonts w:cs="Arial"/>
                <w:b w:val="0"/>
                <w:bCs w:val="0"/>
                <w:szCs w:val="20"/>
              </w:rPr>
            </w:pPr>
            <w:r>
              <w:rPr>
                <w:rFonts w:cs="Arial"/>
                <w:szCs w:val="20"/>
              </w:rPr>
              <w:t>Purpose</w:t>
            </w:r>
          </w:p>
        </w:tc>
        <w:tc>
          <w:tcPr>
            <w:tcW w:w="8900" w:type="dxa"/>
          </w:tcPr>
          <w:p w14:paraId="65C065A2" w14:textId="1C88160D"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ensures that critical inbound real-time interfaces remain continuously available. Real-time integrations are the connective tissue between the Converged E&amp;E System, the AMS, and partner systems; when they fail, eligibility decisions, member-facing transactions, and back-office processes stall. This SLA holds the Contractor accountable for sustained availability and minimizes the duration of any outages. </w:t>
            </w:r>
          </w:p>
        </w:tc>
      </w:tr>
      <w:tr w:rsidR="005562EB" w:rsidRPr="002C7415" w14:paraId="1B700163"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6F842F6" w14:textId="77777777" w:rsidR="005562EB" w:rsidRPr="002C7415" w:rsidRDefault="005562EB" w:rsidP="002413AA">
            <w:pPr>
              <w:rPr>
                <w:rFonts w:cs="Arial"/>
                <w:b w:val="0"/>
                <w:bCs w:val="0"/>
                <w:szCs w:val="20"/>
              </w:rPr>
            </w:pPr>
            <w:r>
              <w:rPr>
                <w:rFonts w:cs="Arial"/>
                <w:szCs w:val="20"/>
              </w:rPr>
              <w:t>Specification</w:t>
            </w:r>
          </w:p>
        </w:tc>
        <w:tc>
          <w:tcPr>
            <w:tcW w:w="8900" w:type="dxa"/>
          </w:tcPr>
          <w:p w14:paraId="3D2DA717" w14:textId="55D957C8"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execute all critical inbound real-time interfaces, unless agreed upon with the Department, as identified as defined by the Department. Additional critical real-time interfaces identified by the Department must be added to the interfaces list after each Deployment. The Contractor must maintain availability of these interfaces at or above ninety-nine point ninety-nine percent (99.99%).</w:t>
            </w:r>
          </w:p>
        </w:tc>
      </w:tr>
      <w:tr w:rsidR="005562EB" w:rsidRPr="002C7415" w14:paraId="2F3CBB27"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32F1F940" w14:textId="77777777" w:rsidR="005562EB" w:rsidRPr="002C7415" w:rsidRDefault="005562EB" w:rsidP="002413AA">
            <w:pPr>
              <w:rPr>
                <w:rFonts w:cs="Arial"/>
                <w:b w:val="0"/>
                <w:bCs w:val="0"/>
                <w:szCs w:val="20"/>
              </w:rPr>
            </w:pPr>
            <w:r>
              <w:rPr>
                <w:rFonts w:cs="Arial"/>
                <w:szCs w:val="20"/>
              </w:rPr>
              <w:t>Service Level</w:t>
            </w:r>
          </w:p>
        </w:tc>
        <w:tc>
          <w:tcPr>
            <w:tcW w:w="8900" w:type="dxa"/>
          </w:tcPr>
          <w:p w14:paraId="07F3CE44" w14:textId="5B027FF8"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Critical inbound real-time interface availability must be at least ninety-nine point ninety-nine percent (99.99%) at all times.</w:t>
            </w:r>
          </w:p>
        </w:tc>
      </w:tr>
      <w:tr w:rsidR="005562EB" w:rsidRPr="002C7415" w14:paraId="7A9AE122"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7E4A6B4" w14:textId="77777777" w:rsidR="005562EB" w:rsidRPr="002C7415" w:rsidRDefault="005562EB" w:rsidP="002413AA">
            <w:pPr>
              <w:rPr>
                <w:rFonts w:cs="Arial"/>
                <w:b w:val="0"/>
                <w:bCs w:val="0"/>
                <w:szCs w:val="20"/>
              </w:rPr>
            </w:pPr>
            <w:r>
              <w:rPr>
                <w:rFonts w:cs="Arial"/>
                <w:szCs w:val="20"/>
              </w:rPr>
              <w:t>Notes</w:t>
            </w:r>
          </w:p>
        </w:tc>
        <w:tc>
          <w:tcPr>
            <w:tcW w:w="8900" w:type="dxa"/>
          </w:tcPr>
          <w:p w14:paraId="29DC1192" w14:textId="7AD52A41"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list of critical inbound real-time interfaces is maintained as defined by the Department.</w:t>
            </w:r>
            <w:r>
              <w:t xml:space="preserve"> </w:t>
            </w:r>
            <w:r>
              <w:rPr>
                <w:rFonts w:cs="Arial"/>
                <w:szCs w:val="20"/>
              </w:rPr>
              <w:t>The Department may add interfaces to the list following any Deployment. The Contractor must continuously monitor real-time interface availability and provide the Department with read-only access to availability dashboards.</w:t>
            </w:r>
          </w:p>
        </w:tc>
      </w:tr>
      <w:tr w:rsidR="005562EB" w:rsidRPr="002C7415" w14:paraId="41FA58BF"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22BBC00D"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17C37F61" w14:textId="765A936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Availability is measured continuously. Real-time interface availability is reported to the Department in the daily and weekly Operations Report. This SLA is in effect after the Transition-In Cutover and continues through the Transition-Out Cutover.</w:t>
            </w:r>
          </w:p>
        </w:tc>
      </w:tr>
      <w:tr w:rsidR="005562EB" w:rsidRPr="002C7415" w14:paraId="7FF3EF50"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C2B6D2E" w14:textId="77777777" w:rsidR="005562EB" w:rsidRPr="002C7415" w:rsidRDefault="005562EB" w:rsidP="002413AA">
            <w:pPr>
              <w:rPr>
                <w:rFonts w:cs="Arial"/>
                <w:szCs w:val="20"/>
              </w:rPr>
            </w:pPr>
            <w:r>
              <w:rPr>
                <w:rFonts w:cs="Arial"/>
                <w:szCs w:val="20"/>
              </w:rPr>
              <w:t>SLA Calculations</w:t>
            </w:r>
          </w:p>
        </w:tc>
        <w:tc>
          <w:tcPr>
            <w:tcW w:w="8900" w:type="dxa"/>
          </w:tcPr>
          <w:p w14:paraId="690856B9"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Availability is measured per interface and aggregated per category. Unique outages and their respective hours are calculated on a rolling basis of sixty (60) minutes. For each interface, the Contractor records the unavailability start and end timestamps and computes total unavailable hours for the month. Any partial hour of unavailability is treated as a full hour for service credit calculation.</w:t>
            </w:r>
          </w:p>
        </w:tc>
      </w:tr>
      <w:tr w:rsidR="005562EB" w:rsidRPr="002C7415" w14:paraId="49BB83B9"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4C30D6C8"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08ACA747" w14:textId="058F7676"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Critical Inbound Real-time Interface: </w:t>
            </w:r>
            <w:r>
              <w:rPr>
                <w:rFonts w:cs="Arial"/>
                <w:szCs w:val="20"/>
              </w:rPr>
              <w:t>A critical inbound real-time interface listed as defined by the Department, including any additional interfaces added by the Department following a Deployment.</w:t>
            </w:r>
          </w:p>
          <w:p w14:paraId="629A027E"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Availability: </w:t>
            </w:r>
            <w:r>
              <w:rPr>
                <w:rFonts w:cs="Arial"/>
                <w:szCs w:val="20"/>
              </w:rPr>
              <w:t>The percentage of time during which the interface is operational and able to process transactions, calculated against the total operational hours.</w:t>
            </w:r>
          </w:p>
          <w:p w14:paraId="495E825A"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Unique Outage: </w:t>
            </w:r>
            <w:r>
              <w:rPr>
                <w:rFonts w:cs="Arial"/>
                <w:szCs w:val="20"/>
              </w:rPr>
              <w:t>A distinct period of interface unavailability, evaluated on a rolling sixty (60) minute basis.</w:t>
            </w:r>
          </w:p>
        </w:tc>
      </w:tr>
      <w:tr w:rsidR="005562EB" w:rsidRPr="002C7415" w14:paraId="28B3839B"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9B91F8F" w14:textId="77777777" w:rsidR="005562EB" w:rsidRPr="002C7415" w:rsidRDefault="005562EB" w:rsidP="002413AA">
            <w:pPr>
              <w:rPr>
                <w:rFonts w:cs="Arial"/>
                <w:b w:val="0"/>
                <w:bCs w:val="0"/>
                <w:szCs w:val="20"/>
              </w:rPr>
            </w:pPr>
            <w:r>
              <w:rPr>
                <w:rFonts w:cs="Arial"/>
                <w:szCs w:val="20"/>
              </w:rPr>
              <w:t>Exclusions</w:t>
            </w:r>
          </w:p>
        </w:tc>
        <w:tc>
          <w:tcPr>
            <w:tcW w:w="8900" w:type="dxa"/>
          </w:tcPr>
          <w:p w14:paraId="0DFC7224" w14:textId="553EC86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interface technical problems caused by the interface source. The Contractor is responsible for demonstrating any claimed exclusion with system records.</w:t>
            </w:r>
          </w:p>
        </w:tc>
      </w:tr>
      <w:tr w:rsidR="005562EB" w:rsidRPr="002C7415" w14:paraId="50E41B36"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09CC9173"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07F4AED7" w14:textId="48630DCC"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continuously capture availability telemetry for every real-time interface in scope using monitoring tools approved by the Department. Availability data is included in the daily and weekly Operations Report and must include, for each interface: total operational hours, total unavailable hours, the calculated availability percentage, an itemized list of each unique outage with start time, end time, duration, and root cause, and the service credits accrued. Supporting raw availability data must be made accessible to the Department on request.</w:t>
            </w:r>
          </w:p>
        </w:tc>
      </w:tr>
      <w:tr w:rsidR="005562EB" w:rsidRPr="002C7415" w14:paraId="3656AA47"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9F4CDCB" w14:textId="77777777" w:rsidR="005562EB" w:rsidRPr="002C7415" w:rsidRDefault="005562EB" w:rsidP="002413AA">
            <w:pPr>
              <w:rPr>
                <w:rFonts w:cs="Arial"/>
                <w:b w:val="0"/>
                <w:bCs w:val="0"/>
                <w:szCs w:val="20"/>
              </w:rPr>
            </w:pPr>
            <w:r>
              <w:rPr>
                <w:rFonts w:cs="Arial"/>
                <w:szCs w:val="20"/>
              </w:rPr>
              <w:t>AMS Service Credit</w:t>
            </w:r>
          </w:p>
        </w:tc>
        <w:tc>
          <w:tcPr>
            <w:tcW w:w="8900" w:type="dxa"/>
          </w:tcPr>
          <w:p w14:paraId="1F87C328" w14:textId="06D9CC40"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If the critical real-time interface availability falls below ninety-nine point ninety-nine percent (99.99%), a service credit of two hundred fifty dollars ($250) applies for every hour, or portion </w:t>
            </w:r>
            <w:r>
              <w:rPr>
                <w:rFonts w:cs="Arial"/>
                <w:szCs w:val="20"/>
              </w:rPr>
              <w:lastRenderedPageBreak/>
              <w:t>thereof, that the critical real-time interface availability is below the contracted target level. Unique outages and their respective hours are calculated on a rolling basis of sixty (60) minutes. The total service credit is capped at twenty thousand dollars ($20,000) per month for this SLA, encompassing all service credits issued in the month due to real-time interface availability falling below the specified threshold.</w:t>
            </w:r>
          </w:p>
        </w:tc>
      </w:tr>
      <w:tr w:rsidR="005562EB" w:rsidRPr="002C7415" w14:paraId="3DE892AB"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35CF29FB" w14:textId="18FA8139" w:rsidR="005562EB" w:rsidRPr="002C7415" w:rsidRDefault="00567333" w:rsidP="002413AA">
            <w:pPr>
              <w:rPr>
                <w:rFonts w:cs="Arial"/>
                <w:b w:val="0"/>
                <w:bCs w:val="0"/>
                <w:szCs w:val="20"/>
              </w:rPr>
            </w:pPr>
            <w:r>
              <w:rPr>
                <w:rFonts w:cs="Arial"/>
                <w:szCs w:val="20"/>
              </w:rPr>
              <w:lastRenderedPageBreak/>
              <w:t>Converged E&amp;E System and AMS Service Credit</w:t>
            </w:r>
          </w:p>
        </w:tc>
        <w:tc>
          <w:tcPr>
            <w:tcW w:w="8900" w:type="dxa"/>
          </w:tcPr>
          <w:p w14:paraId="0B31EFF9" w14:textId="66AC4314" w:rsidR="0078687F"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If the critical real-time interface availability falls below ninety-nine point ninety-nine percent (99.99%), a service credit of ten thousand dollars ($10,000) applies for every hour, or portion thereof, that the critical real-time interface availability is below the contracted target level. Unique outages and their respective hours are calculated on a rolling basis of sixty (60) minutes. </w:t>
            </w:r>
          </w:p>
          <w:p w14:paraId="678A40E6" w14:textId="164C791B"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total service credit is capped at five hundred thousand dollars ($500,000) per month for this SLA, encompassing all service credits issued in the month due to real-time interface availability falling below the specified threshold.</w:t>
            </w:r>
          </w:p>
        </w:tc>
      </w:tr>
    </w:tbl>
    <w:p w14:paraId="1E4F7F2B" w14:textId="65C5BC3F" w:rsidR="005562EB" w:rsidRPr="009B4D49" w:rsidRDefault="005562EB" w:rsidP="00CB1E19">
      <w:pPr>
        <w:pStyle w:val="HeadingSLA"/>
      </w:pPr>
      <w:bookmarkStart w:id="128" w:name="_Toc230258234"/>
      <w:bookmarkStart w:id="129" w:name="_Toc233199182"/>
      <w:r>
        <w:t>Inbound Real-Time Interfaces: Non-Critical</w:t>
      </w:r>
      <w:bookmarkEnd w:id="128"/>
      <w:bookmarkEnd w:id="129"/>
    </w:p>
    <w:tbl>
      <w:tblPr>
        <w:tblStyle w:val="DOH-LeftHeader"/>
        <w:tblW w:w="4998" w:type="pct"/>
        <w:tblLayout w:type="fixed"/>
        <w:tblLook w:val="0480" w:firstRow="0" w:lastRow="0" w:firstColumn="1" w:lastColumn="0" w:noHBand="0" w:noVBand="1"/>
      </w:tblPr>
      <w:tblGrid>
        <w:gridCol w:w="1886"/>
        <w:gridCol w:w="8900"/>
      </w:tblGrid>
      <w:tr w:rsidR="005562EB" w:rsidRPr="002C7415" w14:paraId="1F7F7586" w14:textId="77777777" w:rsidTr="00333D8C">
        <w:tc>
          <w:tcPr>
            <w:cnfStyle w:val="001000000000" w:firstRow="0" w:lastRow="0" w:firstColumn="1" w:lastColumn="0" w:oddVBand="0" w:evenVBand="0" w:oddHBand="0" w:evenHBand="0" w:firstRowFirstColumn="0" w:firstRowLastColumn="0" w:lastRowFirstColumn="0" w:lastRowLastColumn="0"/>
            <w:tcW w:w="1886" w:type="dxa"/>
          </w:tcPr>
          <w:p w14:paraId="03E486E1" w14:textId="77777777" w:rsidR="005562EB" w:rsidRPr="002C7415" w:rsidRDefault="005562EB" w:rsidP="002413AA">
            <w:pPr>
              <w:rPr>
                <w:rFonts w:cs="Arial"/>
                <w:b w:val="0"/>
                <w:bCs w:val="0"/>
                <w:szCs w:val="20"/>
              </w:rPr>
            </w:pPr>
            <w:r>
              <w:rPr>
                <w:rFonts w:cs="Arial"/>
                <w:szCs w:val="20"/>
              </w:rPr>
              <w:t>Purpose</w:t>
            </w:r>
          </w:p>
        </w:tc>
        <w:tc>
          <w:tcPr>
            <w:tcW w:w="8900" w:type="dxa"/>
          </w:tcPr>
          <w:p w14:paraId="711721FA" w14:textId="51796606"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holds the Contractor accountable for minimizing both the frequency and duration of outages and to ensure continuous availability of non-critical inbound real-time interfaces. These integrations are vital for eligibility decisions and member transactions.</w:t>
            </w:r>
          </w:p>
        </w:tc>
      </w:tr>
      <w:tr w:rsidR="005562EB" w:rsidRPr="002C7415" w14:paraId="1F7DDDD1" w14:textId="77777777" w:rsidTr="00333D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7CC5956" w14:textId="77777777" w:rsidR="005562EB" w:rsidRPr="002C7415" w:rsidRDefault="005562EB" w:rsidP="002413AA">
            <w:pPr>
              <w:rPr>
                <w:rFonts w:cs="Arial"/>
                <w:b w:val="0"/>
                <w:bCs w:val="0"/>
                <w:szCs w:val="20"/>
              </w:rPr>
            </w:pPr>
            <w:r>
              <w:rPr>
                <w:rFonts w:cs="Arial"/>
                <w:szCs w:val="20"/>
              </w:rPr>
              <w:t>Specification</w:t>
            </w:r>
          </w:p>
        </w:tc>
        <w:tc>
          <w:tcPr>
            <w:tcW w:w="8900" w:type="dxa"/>
          </w:tcPr>
          <w:p w14:paraId="758C3944" w14:textId="15A10F3D"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execute all non-critical inbound real-time interfaces, unless agreed upon with the Department, as defined by the Department. Additional non-critical real-time interfaces identified by the Department must be added to the interfaces list after each Deployment. The Contractor must maintain availability of these interfaces at or above ninety-nine point ninety-nine percent (99.99%).</w:t>
            </w:r>
          </w:p>
        </w:tc>
      </w:tr>
      <w:tr w:rsidR="005562EB" w:rsidRPr="002C7415" w14:paraId="378C8D20" w14:textId="77777777" w:rsidTr="00333D8C">
        <w:tc>
          <w:tcPr>
            <w:cnfStyle w:val="001000000000" w:firstRow="0" w:lastRow="0" w:firstColumn="1" w:lastColumn="0" w:oddVBand="0" w:evenVBand="0" w:oddHBand="0" w:evenHBand="0" w:firstRowFirstColumn="0" w:firstRowLastColumn="0" w:lastRowFirstColumn="0" w:lastRowLastColumn="0"/>
            <w:tcW w:w="1886" w:type="dxa"/>
          </w:tcPr>
          <w:p w14:paraId="3AB354FF" w14:textId="77777777" w:rsidR="005562EB" w:rsidRPr="002C7415" w:rsidRDefault="005562EB" w:rsidP="002413AA">
            <w:pPr>
              <w:rPr>
                <w:rFonts w:cs="Arial"/>
                <w:b w:val="0"/>
                <w:bCs w:val="0"/>
                <w:szCs w:val="20"/>
              </w:rPr>
            </w:pPr>
            <w:r>
              <w:rPr>
                <w:rFonts w:cs="Arial"/>
                <w:szCs w:val="20"/>
              </w:rPr>
              <w:t>Service Level</w:t>
            </w:r>
          </w:p>
        </w:tc>
        <w:tc>
          <w:tcPr>
            <w:tcW w:w="8900" w:type="dxa"/>
          </w:tcPr>
          <w:p w14:paraId="0CD08BB6" w14:textId="11A6F5AD"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Non-Critical inbound real-time interface availability must be at least ninety-nine point ninety-nine percent (99.99%) at all times.</w:t>
            </w:r>
          </w:p>
        </w:tc>
      </w:tr>
      <w:tr w:rsidR="005562EB" w:rsidRPr="002C7415" w14:paraId="37182E21" w14:textId="77777777" w:rsidTr="00333D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60ECD75" w14:textId="77777777" w:rsidR="005562EB" w:rsidRPr="002C7415" w:rsidRDefault="005562EB" w:rsidP="002413AA">
            <w:pPr>
              <w:rPr>
                <w:rFonts w:cs="Arial"/>
                <w:b w:val="0"/>
                <w:bCs w:val="0"/>
                <w:szCs w:val="20"/>
              </w:rPr>
            </w:pPr>
            <w:r>
              <w:rPr>
                <w:rFonts w:cs="Arial"/>
                <w:szCs w:val="20"/>
              </w:rPr>
              <w:t>Notes</w:t>
            </w:r>
          </w:p>
        </w:tc>
        <w:tc>
          <w:tcPr>
            <w:tcW w:w="8900" w:type="dxa"/>
          </w:tcPr>
          <w:p w14:paraId="20ECCA43" w14:textId="2FD7CDAE"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list of non-critical inbound real-time interfaces is maintained as defined by the Department. The Department may add interfaces to the list following any Deployment. The Contractor must continuously monitor real-time interface availability and provide the Department with read-only access to availability dashboards.</w:t>
            </w:r>
          </w:p>
        </w:tc>
      </w:tr>
      <w:tr w:rsidR="005562EB" w:rsidRPr="002C7415" w14:paraId="3DB3F969" w14:textId="77777777" w:rsidTr="00333D8C">
        <w:tc>
          <w:tcPr>
            <w:cnfStyle w:val="001000000000" w:firstRow="0" w:lastRow="0" w:firstColumn="1" w:lastColumn="0" w:oddVBand="0" w:evenVBand="0" w:oddHBand="0" w:evenHBand="0" w:firstRowFirstColumn="0" w:firstRowLastColumn="0" w:lastRowFirstColumn="0" w:lastRowLastColumn="0"/>
            <w:tcW w:w="1886" w:type="dxa"/>
          </w:tcPr>
          <w:p w14:paraId="35AE6DE6"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7FBAD616" w14:textId="0D406A25"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Availability is measured continuously. Real-time interface availability is reported to the Department in the daily and weekly Operations Report. This SLA is in effect after the Transition-In Cutover and continues through the Transition-Out Cutover.</w:t>
            </w:r>
          </w:p>
        </w:tc>
      </w:tr>
      <w:tr w:rsidR="005562EB" w:rsidRPr="002C7415" w14:paraId="7D5EBB0B" w14:textId="77777777" w:rsidTr="00333D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C740EE1" w14:textId="77777777" w:rsidR="005562EB" w:rsidRPr="002C7415" w:rsidRDefault="005562EB" w:rsidP="002413AA">
            <w:pPr>
              <w:rPr>
                <w:rFonts w:cs="Arial"/>
                <w:szCs w:val="20"/>
              </w:rPr>
            </w:pPr>
            <w:r>
              <w:rPr>
                <w:rFonts w:cs="Arial"/>
                <w:szCs w:val="20"/>
              </w:rPr>
              <w:t>SLA Calculations</w:t>
            </w:r>
          </w:p>
        </w:tc>
        <w:tc>
          <w:tcPr>
            <w:tcW w:w="8900" w:type="dxa"/>
          </w:tcPr>
          <w:p w14:paraId="4B6BB07E"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Availability is measured per interface and aggregated per category. Unique outages and their respective hours are calculated on a rolling basis of sixty (60) minutes. For each interface, the Contractor records the unavailability start and end timestamps and computes total unavailable hours for the month. Any partial hour of unavailability is treated as a full hour for service credit calculation.</w:t>
            </w:r>
          </w:p>
        </w:tc>
      </w:tr>
      <w:tr w:rsidR="005562EB" w:rsidRPr="002C7415" w14:paraId="38080395" w14:textId="77777777" w:rsidTr="00333D8C">
        <w:tc>
          <w:tcPr>
            <w:cnfStyle w:val="001000000000" w:firstRow="0" w:lastRow="0" w:firstColumn="1" w:lastColumn="0" w:oddVBand="0" w:evenVBand="0" w:oddHBand="0" w:evenHBand="0" w:firstRowFirstColumn="0" w:firstRowLastColumn="0" w:lastRowFirstColumn="0" w:lastRowLastColumn="0"/>
            <w:tcW w:w="1886" w:type="dxa"/>
          </w:tcPr>
          <w:p w14:paraId="363A9D11"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01A869A0" w14:textId="73B346BF"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Non-Critical Inbound Real-time Interface: </w:t>
            </w:r>
            <w:r>
              <w:rPr>
                <w:rFonts w:cs="Arial"/>
                <w:szCs w:val="20"/>
              </w:rPr>
              <w:t>A non-critical inbound real-time interface as defined by the Department, including any additional interfaces added by the Department following a Deployment.</w:t>
            </w:r>
          </w:p>
          <w:p w14:paraId="34E8C770"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Availability: </w:t>
            </w:r>
            <w:r>
              <w:rPr>
                <w:rFonts w:cs="Arial"/>
                <w:szCs w:val="20"/>
              </w:rPr>
              <w:t>The percentage of time during which the interface is operational and able to process transactions, calculated against the total operational hours.</w:t>
            </w:r>
          </w:p>
          <w:p w14:paraId="6137E2E3"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Unique Outage: </w:t>
            </w:r>
            <w:r>
              <w:rPr>
                <w:rFonts w:cs="Arial"/>
                <w:szCs w:val="20"/>
              </w:rPr>
              <w:t>A distinct period of interface unavailability, evaluated on a rolling sixty (60) minute basis.</w:t>
            </w:r>
          </w:p>
        </w:tc>
      </w:tr>
      <w:tr w:rsidR="005562EB" w:rsidRPr="002C7415" w14:paraId="71D5F6B1" w14:textId="77777777" w:rsidTr="00333D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67E3682" w14:textId="77777777" w:rsidR="005562EB" w:rsidRPr="002C7415" w:rsidRDefault="005562EB" w:rsidP="002413AA">
            <w:pPr>
              <w:rPr>
                <w:rFonts w:cs="Arial"/>
                <w:b w:val="0"/>
                <w:bCs w:val="0"/>
                <w:szCs w:val="20"/>
              </w:rPr>
            </w:pPr>
            <w:r>
              <w:rPr>
                <w:rFonts w:cs="Arial"/>
                <w:szCs w:val="20"/>
              </w:rPr>
              <w:t>Exclusions</w:t>
            </w:r>
          </w:p>
        </w:tc>
        <w:tc>
          <w:tcPr>
            <w:tcW w:w="8900" w:type="dxa"/>
          </w:tcPr>
          <w:p w14:paraId="52FDE8BA" w14:textId="512F6224"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interface technical problems caused by the interface source. The Contractor is responsible for demonstrating any claimed exclusion with system records.</w:t>
            </w:r>
          </w:p>
        </w:tc>
      </w:tr>
      <w:tr w:rsidR="005562EB" w:rsidRPr="002C7415" w14:paraId="7E625D86" w14:textId="77777777" w:rsidTr="00333D8C">
        <w:tc>
          <w:tcPr>
            <w:cnfStyle w:val="001000000000" w:firstRow="0" w:lastRow="0" w:firstColumn="1" w:lastColumn="0" w:oddVBand="0" w:evenVBand="0" w:oddHBand="0" w:evenHBand="0" w:firstRowFirstColumn="0" w:firstRowLastColumn="0" w:lastRowFirstColumn="0" w:lastRowLastColumn="0"/>
            <w:tcW w:w="1886" w:type="dxa"/>
          </w:tcPr>
          <w:p w14:paraId="3865DD50"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36E80707" w14:textId="132F6CE6"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The Contractor must continuously capture availability telemetry for every real-time interface in scope using monitoring tools approved by the Department. Availability data is included in the daily and weekly Operations Report and must include, for each interface: total operational hours, total unavailable hours, the calculated availability percentage, an itemized list of each unique outage </w:t>
            </w:r>
            <w:r>
              <w:rPr>
                <w:rFonts w:cs="Arial"/>
                <w:szCs w:val="20"/>
              </w:rPr>
              <w:lastRenderedPageBreak/>
              <w:t>with start time, end time, duration, and root cause, and the service credits accrued. Supporting raw availability data must be made accessible to the Department on request.</w:t>
            </w:r>
          </w:p>
        </w:tc>
      </w:tr>
      <w:tr w:rsidR="005562EB" w:rsidRPr="002C7415" w14:paraId="5877DCA7" w14:textId="77777777" w:rsidTr="00333D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EAAD08C" w14:textId="77777777" w:rsidR="005562EB" w:rsidRPr="002C7415" w:rsidRDefault="005562EB" w:rsidP="002413AA">
            <w:pPr>
              <w:rPr>
                <w:rFonts w:cs="Arial"/>
                <w:b w:val="0"/>
                <w:bCs w:val="0"/>
                <w:szCs w:val="20"/>
              </w:rPr>
            </w:pPr>
            <w:r>
              <w:rPr>
                <w:rFonts w:cs="Arial"/>
                <w:szCs w:val="20"/>
              </w:rPr>
              <w:lastRenderedPageBreak/>
              <w:t>AMS Service Credit</w:t>
            </w:r>
          </w:p>
        </w:tc>
        <w:tc>
          <w:tcPr>
            <w:tcW w:w="8900" w:type="dxa"/>
          </w:tcPr>
          <w:p w14:paraId="1A0F4FDF" w14:textId="448FADD4"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the non-critical real-time interface availability falls below ninety-nine point ninety-nine percent (99.99%), a service credit of one hundred twenty-five dollars ($125) applies for every hour, or portion thereof, that the non-critical real-time interface availability is below the contracted target level. Unique outages and their respective hours are calculated on a rolling basis of sixty (60) minutes.</w:t>
            </w:r>
          </w:p>
        </w:tc>
      </w:tr>
      <w:tr w:rsidR="005562EB" w:rsidRPr="002C7415" w14:paraId="1D9FA942" w14:textId="77777777" w:rsidTr="00333D8C">
        <w:tc>
          <w:tcPr>
            <w:cnfStyle w:val="001000000000" w:firstRow="0" w:lastRow="0" w:firstColumn="1" w:lastColumn="0" w:oddVBand="0" w:evenVBand="0" w:oddHBand="0" w:evenHBand="0" w:firstRowFirstColumn="0" w:firstRowLastColumn="0" w:lastRowFirstColumn="0" w:lastRowLastColumn="0"/>
            <w:tcW w:w="1886" w:type="dxa"/>
          </w:tcPr>
          <w:p w14:paraId="0958C6D1" w14:textId="0ECEC6DF"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2DCFF2BB" w14:textId="02A700C0"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If the non-critical real-time interface availability falls below ninety-nine point ninety-nine percent (99.99%), a service credit of two thousand five hundred dollars ($2,500) applies for every hour, or portion thereof, that the non-critical real-time interface availability is below the contracted target level. Unique outages and their respective hours are calculated on a rolling basis of sixty (60) minutes.</w:t>
            </w:r>
          </w:p>
        </w:tc>
      </w:tr>
    </w:tbl>
    <w:p w14:paraId="112CFABB" w14:textId="1A5DF652" w:rsidR="005562EB" w:rsidRPr="009B4D49" w:rsidRDefault="005562EB" w:rsidP="00CB1E19">
      <w:pPr>
        <w:pStyle w:val="HeadingSLA"/>
      </w:pPr>
      <w:bookmarkStart w:id="130" w:name="_Toc230258235"/>
      <w:bookmarkStart w:id="131" w:name="_Toc233199183"/>
      <w:r>
        <w:t>Outbound Real-Time Interfaces: Critical</w:t>
      </w:r>
      <w:bookmarkEnd w:id="130"/>
      <w:bookmarkEnd w:id="131"/>
    </w:p>
    <w:tbl>
      <w:tblPr>
        <w:tblStyle w:val="DOH-LeftHeader"/>
        <w:tblW w:w="4998" w:type="pct"/>
        <w:tblLayout w:type="fixed"/>
        <w:tblLook w:val="0480" w:firstRow="0" w:lastRow="0" w:firstColumn="1" w:lastColumn="0" w:noHBand="0" w:noVBand="1"/>
      </w:tblPr>
      <w:tblGrid>
        <w:gridCol w:w="1886"/>
        <w:gridCol w:w="8900"/>
      </w:tblGrid>
      <w:tr w:rsidR="005562EB" w:rsidRPr="002C7415" w14:paraId="1239FA41" w14:textId="77777777" w:rsidTr="00E255A7">
        <w:tc>
          <w:tcPr>
            <w:cnfStyle w:val="001000000000" w:firstRow="0" w:lastRow="0" w:firstColumn="1" w:lastColumn="0" w:oddVBand="0" w:evenVBand="0" w:oddHBand="0" w:evenHBand="0" w:firstRowFirstColumn="0" w:firstRowLastColumn="0" w:lastRowFirstColumn="0" w:lastRowLastColumn="0"/>
            <w:tcW w:w="1886" w:type="dxa"/>
          </w:tcPr>
          <w:p w14:paraId="342025B1" w14:textId="77777777" w:rsidR="005562EB" w:rsidRPr="002C7415" w:rsidRDefault="005562EB" w:rsidP="002413AA">
            <w:pPr>
              <w:rPr>
                <w:rFonts w:cs="Arial"/>
                <w:b w:val="0"/>
                <w:bCs w:val="0"/>
                <w:szCs w:val="20"/>
              </w:rPr>
            </w:pPr>
            <w:r>
              <w:rPr>
                <w:rFonts w:cs="Arial"/>
                <w:szCs w:val="20"/>
              </w:rPr>
              <w:t>Purpose</w:t>
            </w:r>
          </w:p>
        </w:tc>
        <w:tc>
          <w:tcPr>
            <w:tcW w:w="8900" w:type="dxa"/>
          </w:tcPr>
          <w:p w14:paraId="5052C41A" w14:textId="38AB74D5" w:rsidR="005562EB" w:rsidRPr="002C7415" w:rsidRDefault="00E255A7"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holds the Contractor accountable for sustained availability and for keeping outages short. This is about keeping critical outbound real-time interfaces continuously available. Real-time integrations are the connective tissue between the Converged E&amp;E System, the AMS, and partner systems; when they fail, eligibility decisions, member-facing transactions, and back office processes stall. </w:t>
            </w:r>
          </w:p>
        </w:tc>
      </w:tr>
      <w:tr w:rsidR="005562EB" w:rsidRPr="002C7415" w14:paraId="1B4426E3" w14:textId="77777777" w:rsidTr="00E255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5425D2A" w14:textId="77777777" w:rsidR="005562EB" w:rsidRPr="002C7415" w:rsidRDefault="005562EB" w:rsidP="002413AA">
            <w:pPr>
              <w:rPr>
                <w:rFonts w:cs="Arial"/>
                <w:b w:val="0"/>
                <w:bCs w:val="0"/>
                <w:szCs w:val="20"/>
              </w:rPr>
            </w:pPr>
            <w:r>
              <w:rPr>
                <w:rFonts w:cs="Arial"/>
                <w:szCs w:val="20"/>
              </w:rPr>
              <w:t>Specification</w:t>
            </w:r>
          </w:p>
        </w:tc>
        <w:tc>
          <w:tcPr>
            <w:tcW w:w="8900" w:type="dxa"/>
          </w:tcPr>
          <w:p w14:paraId="6DFCEE05" w14:textId="394BD151"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execute all critical outbound real-time interfaces, unless agreed upon with the Department, as defined by the Department. Additional critical real-time interfaces identified by the Department must be added to the interfaces list after each Deployment. The Contractor must maintain availability of these interfaces at or above ninety-nine point ninety-nine percent (99.99%).</w:t>
            </w:r>
          </w:p>
        </w:tc>
      </w:tr>
      <w:tr w:rsidR="005562EB" w:rsidRPr="002C7415" w14:paraId="3EE452A1" w14:textId="77777777" w:rsidTr="00E255A7">
        <w:tc>
          <w:tcPr>
            <w:cnfStyle w:val="001000000000" w:firstRow="0" w:lastRow="0" w:firstColumn="1" w:lastColumn="0" w:oddVBand="0" w:evenVBand="0" w:oddHBand="0" w:evenHBand="0" w:firstRowFirstColumn="0" w:firstRowLastColumn="0" w:lastRowFirstColumn="0" w:lastRowLastColumn="0"/>
            <w:tcW w:w="1886" w:type="dxa"/>
          </w:tcPr>
          <w:p w14:paraId="209489B0" w14:textId="77777777" w:rsidR="005562EB" w:rsidRPr="002C7415" w:rsidRDefault="005562EB" w:rsidP="002413AA">
            <w:pPr>
              <w:rPr>
                <w:rFonts w:cs="Arial"/>
                <w:b w:val="0"/>
                <w:bCs w:val="0"/>
                <w:szCs w:val="20"/>
              </w:rPr>
            </w:pPr>
            <w:r>
              <w:rPr>
                <w:rFonts w:cs="Arial"/>
                <w:szCs w:val="20"/>
              </w:rPr>
              <w:t>Service Level</w:t>
            </w:r>
          </w:p>
        </w:tc>
        <w:tc>
          <w:tcPr>
            <w:tcW w:w="8900" w:type="dxa"/>
          </w:tcPr>
          <w:p w14:paraId="7D72F9C1" w14:textId="2ED5B9C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Critical outbound real-time interface availability must be at least ninety-nine point ninety-nine percent (99.99%) at all times.</w:t>
            </w:r>
          </w:p>
        </w:tc>
      </w:tr>
      <w:tr w:rsidR="005562EB" w:rsidRPr="002C7415" w14:paraId="66466C54" w14:textId="77777777" w:rsidTr="00E255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842CB85" w14:textId="77777777" w:rsidR="005562EB" w:rsidRPr="002C7415" w:rsidRDefault="005562EB" w:rsidP="002413AA">
            <w:pPr>
              <w:rPr>
                <w:rFonts w:cs="Arial"/>
                <w:b w:val="0"/>
                <w:bCs w:val="0"/>
                <w:szCs w:val="20"/>
              </w:rPr>
            </w:pPr>
            <w:r>
              <w:rPr>
                <w:rFonts w:cs="Arial"/>
                <w:szCs w:val="20"/>
              </w:rPr>
              <w:t>Notes</w:t>
            </w:r>
          </w:p>
        </w:tc>
        <w:tc>
          <w:tcPr>
            <w:tcW w:w="8900" w:type="dxa"/>
          </w:tcPr>
          <w:p w14:paraId="15868FC6" w14:textId="18014C20"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list of critical outbound real-time interfaces is maintained as defined by the Department. The Department may add interfaces to the list following any Deployment. The Contractor must continuously monitor real-time interface availability and provide the Department with read-only access to availability dashboards.</w:t>
            </w:r>
          </w:p>
        </w:tc>
      </w:tr>
      <w:tr w:rsidR="005562EB" w:rsidRPr="002C7415" w14:paraId="06CA7DCB" w14:textId="77777777" w:rsidTr="00E255A7">
        <w:tc>
          <w:tcPr>
            <w:cnfStyle w:val="001000000000" w:firstRow="0" w:lastRow="0" w:firstColumn="1" w:lastColumn="0" w:oddVBand="0" w:evenVBand="0" w:oddHBand="0" w:evenHBand="0" w:firstRowFirstColumn="0" w:firstRowLastColumn="0" w:lastRowFirstColumn="0" w:lastRowLastColumn="0"/>
            <w:tcW w:w="1886" w:type="dxa"/>
          </w:tcPr>
          <w:p w14:paraId="36B6C4B5"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1CA526B4" w14:textId="53A72EC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Availability is measured continuously. Real-time interface availability is reported to the Department in the daily and weekly Operations Report. This SLA is in effect after the Transition-In Cutover and continues through the Transition-Out Cutover.</w:t>
            </w:r>
          </w:p>
        </w:tc>
      </w:tr>
      <w:tr w:rsidR="005562EB" w:rsidRPr="002C7415" w14:paraId="55B949D8" w14:textId="77777777" w:rsidTr="00E255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1488347" w14:textId="77777777" w:rsidR="005562EB" w:rsidRPr="002C7415" w:rsidRDefault="005562EB" w:rsidP="002413AA">
            <w:pPr>
              <w:rPr>
                <w:rFonts w:cs="Arial"/>
                <w:szCs w:val="20"/>
              </w:rPr>
            </w:pPr>
            <w:r>
              <w:rPr>
                <w:rFonts w:cs="Arial"/>
                <w:szCs w:val="20"/>
              </w:rPr>
              <w:t>SLA Calculations</w:t>
            </w:r>
          </w:p>
        </w:tc>
        <w:tc>
          <w:tcPr>
            <w:tcW w:w="8900" w:type="dxa"/>
          </w:tcPr>
          <w:p w14:paraId="75E10CE9"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Availability is measured per interface and aggregated per category. Unique outages and their respective hours are calculated on a rolling basis of sixty (60) minutes. For each interface, the Contractor records the unavailability start and end timestamps and computes total unavailable hours for the month. Any partial hour of unavailability is treated as a full hour for service credit calculation.</w:t>
            </w:r>
          </w:p>
        </w:tc>
      </w:tr>
      <w:tr w:rsidR="005562EB" w:rsidRPr="002C7415" w14:paraId="61033386" w14:textId="77777777" w:rsidTr="00E255A7">
        <w:tc>
          <w:tcPr>
            <w:cnfStyle w:val="001000000000" w:firstRow="0" w:lastRow="0" w:firstColumn="1" w:lastColumn="0" w:oddVBand="0" w:evenVBand="0" w:oddHBand="0" w:evenHBand="0" w:firstRowFirstColumn="0" w:firstRowLastColumn="0" w:lastRowFirstColumn="0" w:lastRowLastColumn="0"/>
            <w:tcW w:w="1886" w:type="dxa"/>
          </w:tcPr>
          <w:p w14:paraId="4052BF68"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4185CDC0" w14:textId="6E13599D"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Critical Outbound Real-time Interface: </w:t>
            </w:r>
            <w:r>
              <w:rPr>
                <w:rFonts w:cs="Arial"/>
                <w:szCs w:val="20"/>
              </w:rPr>
              <w:t>A critical outbound real-time interface as defined by the Department, including any additional interfaces added by the Department following a Deployment.</w:t>
            </w:r>
          </w:p>
          <w:p w14:paraId="453317D7"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Availability: </w:t>
            </w:r>
            <w:r>
              <w:rPr>
                <w:rFonts w:cs="Arial"/>
                <w:szCs w:val="20"/>
              </w:rPr>
              <w:t>The percentage of time during which the interface is operational and able to process transactions, calculated against the total operational hours.</w:t>
            </w:r>
          </w:p>
          <w:p w14:paraId="54266BD2"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Unique Outage: </w:t>
            </w:r>
            <w:r>
              <w:rPr>
                <w:rFonts w:cs="Arial"/>
                <w:szCs w:val="20"/>
              </w:rPr>
              <w:t>A distinct period of interface unavailability, evaluated on a rolling sixty (60) minute basis.</w:t>
            </w:r>
          </w:p>
        </w:tc>
      </w:tr>
      <w:tr w:rsidR="005562EB" w:rsidRPr="002C7415" w14:paraId="2D5BFFBC" w14:textId="77777777" w:rsidTr="00E255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2DC8C85" w14:textId="77777777" w:rsidR="005562EB" w:rsidRPr="002C7415" w:rsidRDefault="005562EB" w:rsidP="002413AA">
            <w:pPr>
              <w:rPr>
                <w:rFonts w:cs="Arial"/>
                <w:b w:val="0"/>
                <w:bCs w:val="0"/>
                <w:szCs w:val="20"/>
              </w:rPr>
            </w:pPr>
            <w:r>
              <w:rPr>
                <w:rFonts w:cs="Arial"/>
                <w:szCs w:val="20"/>
              </w:rPr>
              <w:t>Exclusions</w:t>
            </w:r>
          </w:p>
        </w:tc>
        <w:tc>
          <w:tcPr>
            <w:tcW w:w="8900" w:type="dxa"/>
          </w:tcPr>
          <w:p w14:paraId="7207B948"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interface technical problems caused by the interface destination.</w:t>
            </w:r>
          </w:p>
        </w:tc>
      </w:tr>
      <w:tr w:rsidR="005562EB" w:rsidRPr="002C7415" w14:paraId="71CAA968" w14:textId="77777777" w:rsidTr="00E255A7">
        <w:tc>
          <w:tcPr>
            <w:cnfStyle w:val="001000000000" w:firstRow="0" w:lastRow="0" w:firstColumn="1" w:lastColumn="0" w:oddVBand="0" w:evenVBand="0" w:oddHBand="0" w:evenHBand="0" w:firstRowFirstColumn="0" w:firstRowLastColumn="0" w:lastRowFirstColumn="0" w:lastRowLastColumn="0"/>
            <w:tcW w:w="1886" w:type="dxa"/>
          </w:tcPr>
          <w:p w14:paraId="3D6E9D73"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579B098F" w14:textId="005C2123"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The Contractor must continuously capture availability telemetry for every real-time interface in scope using monitoring tools approved by the Department. Availability data is included in the daily and weekly Operations Report and must include, for each interface: total operational hours, total unavailable hours, the calculated availability percentage, an itemized list of each unique outage </w:t>
            </w:r>
            <w:r>
              <w:rPr>
                <w:rFonts w:cs="Arial"/>
                <w:szCs w:val="20"/>
              </w:rPr>
              <w:lastRenderedPageBreak/>
              <w:t>with start time, end time, duration, and root cause, and the service credits accrued. Supporting raw availability data must be made accessible to the Department on request.</w:t>
            </w:r>
          </w:p>
        </w:tc>
      </w:tr>
      <w:tr w:rsidR="005562EB" w:rsidRPr="002C7415" w14:paraId="3B7D7901" w14:textId="77777777" w:rsidTr="00E255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6D201A8" w14:textId="77777777" w:rsidR="005562EB" w:rsidRPr="002C7415" w:rsidRDefault="005562EB" w:rsidP="002413AA">
            <w:pPr>
              <w:rPr>
                <w:rFonts w:cs="Arial"/>
                <w:b w:val="0"/>
                <w:bCs w:val="0"/>
                <w:szCs w:val="20"/>
              </w:rPr>
            </w:pPr>
            <w:r>
              <w:rPr>
                <w:rFonts w:cs="Arial"/>
                <w:szCs w:val="20"/>
              </w:rPr>
              <w:lastRenderedPageBreak/>
              <w:t>AMS Service Credit</w:t>
            </w:r>
          </w:p>
        </w:tc>
        <w:tc>
          <w:tcPr>
            <w:tcW w:w="8900" w:type="dxa"/>
          </w:tcPr>
          <w:p w14:paraId="41963BB5" w14:textId="2B6D239A"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the critical real-time interface availability falls below ninety-nine point ninety-nine percent (99.99%), a service credit of two hundred fifty dollars ($250) applies for every hour, or portion thereof, that the critical real-time interface availability is below the contracted target level. Unique outages and their respective hours are calculated on a rolling basis of sixty (60) minutes. The total service credit is capped at twenty thousand dollars ($20,000) per month for this SLA, encompassing all service credits issued in the month due to real-time interface availability falling below the specified threshold.</w:t>
            </w:r>
          </w:p>
        </w:tc>
      </w:tr>
      <w:tr w:rsidR="005562EB" w:rsidRPr="002C7415" w14:paraId="20E7A2FA" w14:textId="77777777" w:rsidTr="00E255A7">
        <w:tc>
          <w:tcPr>
            <w:cnfStyle w:val="001000000000" w:firstRow="0" w:lastRow="0" w:firstColumn="1" w:lastColumn="0" w:oddVBand="0" w:evenVBand="0" w:oddHBand="0" w:evenHBand="0" w:firstRowFirstColumn="0" w:firstRowLastColumn="0" w:lastRowFirstColumn="0" w:lastRowLastColumn="0"/>
            <w:tcW w:w="1886" w:type="dxa"/>
          </w:tcPr>
          <w:p w14:paraId="5797E491" w14:textId="77777777" w:rsidR="005562EB" w:rsidRPr="002C7415" w:rsidRDefault="005562EB" w:rsidP="002413AA">
            <w:pPr>
              <w:rPr>
                <w:rFonts w:cs="Arial"/>
                <w:b w:val="0"/>
                <w:bCs w:val="0"/>
                <w:szCs w:val="20"/>
              </w:rPr>
            </w:pPr>
            <w:r>
              <w:rPr>
                <w:rFonts w:cs="Arial"/>
                <w:szCs w:val="20"/>
              </w:rPr>
              <w:t>E&amp;E Service Credit</w:t>
            </w:r>
          </w:p>
        </w:tc>
        <w:tc>
          <w:tcPr>
            <w:tcW w:w="8900" w:type="dxa"/>
          </w:tcPr>
          <w:p w14:paraId="1C7CC804" w14:textId="54E79413" w:rsidR="00C55C4E"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If the critical real-time interface availability falls below ninety-nine point ninety-nine percent (99.99%), a service credit of ten thousand dollars ($10,000) applies for every hour, or portion thereof, that the critical real-time interface availability is below the contracted target level.</w:t>
            </w:r>
          </w:p>
          <w:p w14:paraId="48D834B7" w14:textId="77777777" w:rsidR="00C55C4E"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Unique outages and their respective hours are calculated on a rolling basis of sixty (60) minutes.</w:t>
            </w:r>
          </w:p>
          <w:p w14:paraId="79287A45" w14:textId="530F80CE"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total service credit is capped at five hundred thousand dollars ($500,000) per month for this SLA, encompassing all service credits issued in the month due to real-time interface availability falling below the specified threshold.</w:t>
            </w:r>
          </w:p>
        </w:tc>
      </w:tr>
    </w:tbl>
    <w:p w14:paraId="716418AD" w14:textId="7629365E" w:rsidR="005562EB" w:rsidRPr="002C7415" w:rsidRDefault="005562EB" w:rsidP="00CB1E19">
      <w:pPr>
        <w:pStyle w:val="HeadingSLA"/>
      </w:pPr>
      <w:bookmarkStart w:id="132" w:name="_Toc230258236"/>
      <w:bookmarkStart w:id="133" w:name="_Toc233199184"/>
      <w:r>
        <w:t>Outbound Real-Time Interfaces: Non-Critical</w:t>
      </w:r>
      <w:bookmarkEnd w:id="132"/>
      <w:bookmarkEnd w:id="133"/>
    </w:p>
    <w:tbl>
      <w:tblPr>
        <w:tblStyle w:val="DOH-LeftHeader"/>
        <w:tblW w:w="4998" w:type="pct"/>
        <w:tblLayout w:type="fixed"/>
        <w:tblLook w:val="0480" w:firstRow="0" w:lastRow="0" w:firstColumn="1" w:lastColumn="0" w:noHBand="0" w:noVBand="1"/>
      </w:tblPr>
      <w:tblGrid>
        <w:gridCol w:w="1886"/>
        <w:gridCol w:w="8900"/>
      </w:tblGrid>
      <w:tr w:rsidR="005562EB" w:rsidRPr="002C7415" w14:paraId="60B492D5" w14:textId="77777777" w:rsidTr="00086DCE">
        <w:tc>
          <w:tcPr>
            <w:cnfStyle w:val="001000000000" w:firstRow="0" w:lastRow="0" w:firstColumn="1" w:lastColumn="0" w:oddVBand="0" w:evenVBand="0" w:oddHBand="0" w:evenHBand="0" w:firstRowFirstColumn="0" w:firstRowLastColumn="0" w:lastRowFirstColumn="0" w:lastRowLastColumn="0"/>
            <w:tcW w:w="1886" w:type="dxa"/>
          </w:tcPr>
          <w:p w14:paraId="27EC3C9D" w14:textId="77777777" w:rsidR="005562EB" w:rsidRPr="002C7415" w:rsidRDefault="005562EB" w:rsidP="002413AA">
            <w:pPr>
              <w:rPr>
                <w:rFonts w:cs="Arial"/>
                <w:b w:val="0"/>
                <w:bCs w:val="0"/>
                <w:szCs w:val="20"/>
              </w:rPr>
            </w:pPr>
            <w:r>
              <w:rPr>
                <w:rFonts w:cs="Arial"/>
                <w:szCs w:val="20"/>
              </w:rPr>
              <w:t>Purpose</w:t>
            </w:r>
          </w:p>
        </w:tc>
        <w:tc>
          <w:tcPr>
            <w:tcW w:w="8900" w:type="dxa"/>
          </w:tcPr>
          <w:p w14:paraId="2CDE2169" w14:textId="6D3C1AA2" w:rsidR="005562EB" w:rsidRPr="002C7415" w:rsidRDefault="005B57C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holds the Contractor accountable for sustained availability and for keeping outages short. This is about keeping non-critical outbound real-time interfaces continuously available. Real-time integrations are the connective tissue between the Converged E&amp;E System, the AMS, and partner systems; when they fail, eligibility decisions, member-facing transactions, and back office processes stall. </w:t>
            </w:r>
          </w:p>
        </w:tc>
      </w:tr>
      <w:tr w:rsidR="005562EB" w:rsidRPr="002C7415" w14:paraId="3BA45A1E" w14:textId="77777777" w:rsidTr="00086DC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A71DF7B" w14:textId="77777777" w:rsidR="005562EB" w:rsidRPr="002C7415" w:rsidRDefault="005562EB" w:rsidP="002413AA">
            <w:pPr>
              <w:rPr>
                <w:rFonts w:cs="Arial"/>
                <w:b w:val="0"/>
                <w:bCs w:val="0"/>
                <w:szCs w:val="20"/>
              </w:rPr>
            </w:pPr>
            <w:r>
              <w:rPr>
                <w:rFonts w:cs="Arial"/>
                <w:szCs w:val="20"/>
              </w:rPr>
              <w:t>Specification</w:t>
            </w:r>
          </w:p>
        </w:tc>
        <w:tc>
          <w:tcPr>
            <w:tcW w:w="8900" w:type="dxa"/>
          </w:tcPr>
          <w:p w14:paraId="4D972CF4" w14:textId="59D9E48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execute all non-critical outbound real-time interfaces, unless agreed upon with the Department, as defined by the Department. Additional non-critical real-time interfaces identified by the Department must be added to the interfaces list after each Deployment. The Contractor must maintain availability of these interfaces at or above ninety-nine point ninety-nine percent (99.99%).</w:t>
            </w:r>
          </w:p>
        </w:tc>
      </w:tr>
      <w:tr w:rsidR="005562EB" w:rsidRPr="002C7415" w14:paraId="0BA4A28D" w14:textId="77777777" w:rsidTr="00086DCE">
        <w:tc>
          <w:tcPr>
            <w:cnfStyle w:val="001000000000" w:firstRow="0" w:lastRow="0" w:firstColumn="1" w:lastColumn="0" w:oddVBand="0" w:evenVBand="0" w:oddHBand="0" w:evenHBand="0" w:firstRowFirstColumn="0" w:firstRowLastColumn="0" w:lastRowFirstColumn="0" w:lastRowLastColumn="0"/>
            <w:tcW w:w="1886" w:type="dxa"/>
          </w:tcPr>
          <w:p w14:paraId="2B2203B2" w14:textId="77777777" w:rsidR="005562EB" w:rsidRPr="002C7415" w:rsidRDefault="005562EB" w:rsidP="002413AA">
            <w:pPr>
              <w:rPr>
                <w:rFonts w:cs="Arial"/>
                <w:b w:val="0"/>
                <w:bCs w:val="0"/>
                <w:szCs w:val="20"/>
              </w:rPr>
            </w:pPr>
            <w:r>
              <w:rPr>
                <w:rFonts w:cs="Arial"/>
                <w:szCs w:val="20"/>
              </w:rPr>
              <w:t>Service Level</w:t>
            </w:r>
          </w:p>
        </w:tc>
        <w:tc>
          <w:tcPr>
            <w:tcW w:w="8900" w:type="dxa"/>
          </w:tcPr>
          <w:p w14:paraId="52F4927D" w14:textId="180A74BF"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Non-Critical outbound real-time interface availability must be at least ninety-nine point ninety-nine percent (99.99%) at all times.</w:t>
            </w:r>
          </w:p>
        </w:tc>
      </w:tr>
      <w:tr w:rsidR="005562EB" w:rsidRPr="002C7415" w14:paraId="7FAC20C5" w14:textId="77777777" w:rsidTr="00086DC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5FCA63B" w14:textId="77777777" w:rsidR="005562EB" w:rsidRPr="002C7415" w:rsidRDefault="005562EB" w:rsidP="002413AA">
            <w:pPr>
              <w:rPr>
                <w:rFonts w:cs="Arial"/>
                <w:b w:val="0"/>
                <w:bCs w:val="0"/>
                <w:szCs w:val="20"/>
              </w:rPr>
            </w:pPr>
            <w:r>
              <w:rPr>
                <w:rFonts w:cs="Arial"/>
                <w:szCs w:val="20"/>
              </w:rPr>
              <w:t>Notes</w:t>
            </w:r>
          </w:p>
        </w:tc>
        <w:tc>
          <w:tcPr>
            <w:tcW w:w="8900" w:type="dxa"/>
          </w:tcPr>
          <w:p w14:paraId="08820951" w14:textId="398A8D75"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list of non-critical outbound real-time interfaces is maintained as defined by the Department. The Department may add interfaces to the list following any Deployment. The Contractor must continuously monitor real-time interface availability and provide the Department with read-only access to availability dashboards.</w:t>
            </w:r>
          </w:p>
        </w:tc>
      </w:tr>
      <w:tr w:rsidR="005562EB" w:rsidRPr="002C7415" w14:paraId="741E7C29" w14:textId="77777777" w:rsidTr="00086DCE">
        <w:tc>
          <w:tcPr>
            <w:cnfStyle w:val="001000000000" w:firstRow="0" w:lastRow="0" w:firstColumn="1" w:lastColumn="0" w:oddVBand="0" w:evenVBand="0" w:oddHBand="0" w:evenHBand="0" w:firstRowFirstColumn="0" w:firstRowLastColumn="0" w:lastRowFirstColumn="0" w:lastRowLastColumn="0"/>
            <w:tcW w:w="1886" w:type="dxa"/>
          </w:tcPr>
          <w:p w14:paraId="09721630"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78C9E336" w14:textId="4CC0C055"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Availability is measured continuously. Real-time interface availability is reported to the Department in the daily and weekly Operations Report. This SLA is in effect after the Transition-In Cutover and continues through the Transition-Out Cutover.</w:t>
            </w:r>
          </w:p>
        </w:tc>
      </w:tr>
      <w:tr w:rsidR="005562EB" w:rsidRPr="002C7415" w14:paraId="30C5C6DE" w14:textId="77777777" w:rsidTr="00086DC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08E2050" w14:textId="77777777" w:rsidR="005562EB" w:rsidRPr="002C7415" w:rsidRDefault="005562EB" w:rsidP="002413AA">
            <w:pPr>
              <w:rPr>
                <w:rFonts w:cs="Arial"/>
                <w:szCs w:val="20"/>
              </w:rPr>
            </w:pPr>
            <w:r>
              <w:rPr>
                <w:rFonts w:cs="Arial"/>
                <w:szCs w:val="20"/>
              </w:rPr>
              <w:t>SLA Calculations</w:t>
            </w:r>
          </w:p>
        </w:tc>
        <w:tc>
          <w:tcPr>
            <w:tcW w:w="8900" w:type="dxa"/>
          </w:tcPr>
          <w:p w14:paraId="777A7ACB"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Availability is measured per interface and aggregated per category. Unique outages and their respective hours are calculated on a rolling basis of sixty (60) minutes. For each interface, the Contractor records the unavailability start and end timestamps and computes total unavailable hours for the month. Any partial hour of unavailability is treated as a full hour for service credit calculation.</w:t>
            </w:r>
          </w:p>
        </w:tc>
      </w:tr>
      <w:tr w:rsidR="005562EB" w:rsidRPr="002C7415" w14:paraId="3EE00B93" w14:textId="77777777" w:rsidTr="00086DCE">
        <w:tc>
          <w:tcPr>
            <w:cnfStyle w:val="001000000000" w:firstRow="0" w:lastRow="0" w:firstColumn="1" w:lastColumn="0" w:oddVBand="0" w:evenVBand="0" w:oddHBand="0" w:evenHBand="0" w:firstRowFirstColumn="0" w:firstRowLastColumn="0" w:lastRowFirstColumn="0" w:lastRowLastColumn="0"/>
            <w:tcW w:w="1886" w:type="dxa"/>
          </w:tcPr>
          <w:p w14:paraId="2E6AF5B6"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58611065" w14:textId="137134F6"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Non-Critical Outbound Real-time Interface: </w:t>
            </w:r>
            <w:r>
              <w:rPr>
                <w:rFonts w:cs="Arial"/>
                <w:szCs w:val="20"/>
              </w:rPr>
              <w:t>A non-critical outbound real-time interface as defined by the Department, including any additional interfaces added by the Department following a Deployment.</w:t>
            </w:r>
          </w:p>
          <w:p w14:paraId="1EBEE542"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Availability: </w:t>
            </w:r>
            <w:r>
              <w:rPr>
                <w:rFonts w:cs="Arial"/>
                <w:szCs w:val="20"/>
              </w:rPr>
              <w:t>The percentage of time during which the interface is operational and able to process transactions, calculated against the total operational hours.</w:t>
            </w:r>
          </w:p>
          <w:p w14:paraId="1C6DE467"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Unique Outage: </w:t>
            </w:r>
            <w:r>
              <w:rPr>
                <w:rFonts w:cs="Arial"/>
                <w:szCs w:val="20"/>
              </w:rPr>
              <w:t>A distinct period of interface unavailability, evaluated on a rolling sixty (60) minute basis.</w:t>
            </w:r>
          </w:p>
        </w:tc>
      </w:tr>
      <w:tr w:rsidR="005562EB" w:rsidRPr="002C7415" w14:paraId="52756E09" w14:textId="77777777" w:rsidTr="00086DC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428DD2C" w14:textId="77777777" w:rsidR="005562EB" w:rsidRPr="002C7415" w:rsidRDefault="005562EB" w:rsidP="002413AA">
            <w:pPr>
              <w:rPr>
                <w:rFonts w:cs="Arial"/>
                <w:b w:val="0"/>
                <w:bCs w:val="0"/>
                <w:szCs w:val="20"/>
              </w:rPr>
            </w:pPr>
            <w:r>
              <w:rPr>
                <w:rFonts w:cs="Arial"/>
                <w:szCs w:val="20"/>
              </w:rPr>
              <w:lastRenderedPageBreak/>
              <w:t>Exclusions</w:t>
            </w:r>
          </w:p>
        </w:tc>
        <w:tc>
          <w:tcPr>
            <w:tcW w:w="8900" w:type="dxa"/>
          </w:tcPr>
          <w:p w14:paraId="1EB9A180"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interface technical problems caused by the interface destination.</w:t>
            </w:r>
          </w:p>
        </w:tc>
      </w:tr>
      <w:tr w:rsidR="005562EB" w:rsidRPr="002C7415" w14:paraId="3BA45F64" w14:textId="77777777" w:rsidTr="00086DCE">
        <w:tc>
          <w:tcPr>
            <w:cnfStyle w:val="001000000000" w:firstRow="0" w:lastRow="0" w:firstColumn="1" w:lastColumn="0" w:oddVBand="0" w:evenVBand="0" w:oddHBand="0" w:evenHBand="0" w:firstRowFirstColumn="0" w:firstRowLastColumn="0" w:lastRowFirstColumn="0" w:lastRowLastColumn="0"/>
            <w:tcW w:w="1886" w:type="dxa"/>
          </w:tcPr>
          <w:p w14:paraId="7E0B347F"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0EE9D531" w14:textId="7B8C4BDC"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continuously capture availability telemetry for every real-time interface in scope using monitoring tools approved by the Department. Availability data is included in the daily and weekly Operations Report and must include, for each interface: total operational hours, total unavailable hours, the calculated availability percentage, an itemized list of each unique outage with start time, end time, duration, and root cause, and the service credits accrued. Supporting raw availability data must be made accessible to the Department on request.</w:t>
            </w:r>
          </w:p>
        </w:tc>
      </w:tr>
      <w:tr w:rsidR="005562EB" w:rsidRPr="002C7415" w14:paraId="5039EE1C" w14:textId="77777777" w:rsidTr="00086DC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BEC47B6" w14:textId="77777777" w:rsidR="005562EB" w:rsidRPr="002C7415" w:rsidRDefault="005562EB" w:rsidP="002413AA">
            <w:pPr>
              <w:rPr>
                <w:rFonts w:cs="Arial"/>
                <w:b w:val="0"/>
                <w:bCs w:val="0"/>
                <w:szCs w:val="20"/>
              </w:rPr>
            </w:pPr>
            <w:r>
              <w:rPr>
                <w:rFonts w:cs="Arial"/>
                <w:szCs w:val="20"/>
              </w:rPr>
              <w:t>AMS Service Credit</w:t>
            </w:r>
          </w:p>
        </w:tc>
        <w:tc>
          <w:tcPr>
            <w:tcW w:w="8900" w:type="dxa"/>
          </w:tcPr>
          <w:p w14:paraId="2287D66E" w14:textId="5905E69E"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If the non-critical real-time interface availability falls below ninety-nine point ninety-nine percent (99.99%), a service credit of one hundred twenty-five dollars ($125) applies for every hour, or portion thereof, that the non-critical real-time interface availability is below the contracted target level. Unique outages and their respective hours are calculated on a rolling basis of sixty (60) minutes. The total service credit is capped at five thousand dollars ($5,000) per month for this SLA, encompassing all service credits issued in the month due to real-time interface availability falling below the specified threshold.</w:t>
            </w:r>
          </w:p>
        </w:tc>
      </w:tr>
      <w:tr w:rsidR="005562EB" w:rsidRPr="002C7415" w14:paraId="39CD309D" w14:textId="77777777" w:rsidTr="00086DCE">
        <w:tc>
          <w:tcPr>
            <w:cnfStyle w:val="001000000000" w:firstRow="0" w:lastRow="0" w:firstColumn="1" w:lastColumn="0" w:oddVBand="0" w:evenVBand="0" w:oddHBand="0" w:evenHBand="0" w:firstRowFirstColumn="0" w:firstRowLastColumn="0" w:lastRowFirstColumn="0" w:lastRowLastColumn="0"/>
            <w:tcW w:w="1886" w:type="dxa"/>
          </w:tcPr>
          <w:p w14:paraId="59709232" w14:textId="14CD4963"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2607F9F0" w14:textId="77777777" w:rsidR="00C55C4E"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If the non-critical real-time interface availability falls below ninety-nine point ninety-nine percent (99.99%), a service credit of two thousand five hundred dollars ($2,500) applies for every hour, or portion thereof, that the non-critical real-time interface availability is below the contracted target level. </w:t>
            </w:r>
          </w:p>
          <w:p w14:paraId="3E9CE699" w14:textId="77777777" w:rsidR="00C55C4E"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Unique outages and their respective hours are calculated on a rolling basis of sixty (60) minutes. </w:t>
            </w:r>
          </w:p>
          <w:p w14:paraId="4EA562D4" w14:textId="1B0C36BE"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total service credit is capped at one hundred thousand dollars ($100,000) per month for this SLA, encompassing all service credits issued in the month due to real-time interface availability falling below the specified threshold.</w:t>
            </w:r>
          </w:p>
        </w:tc>
      </w:tr>
    </w:tbl>
    <w:p w14:paraId="0FCEC976" w14:textId="42C06CDC" w:rsidR="005562EB" w:rsidRPr="002C7415" w:rsidRDefault="005562EB" w:rsidP="00CB1E19">
      <w:pPr>
        <w:pStyle w:val="HeadingSLA"/>
      </w:pPr>
      <w:bookmarkStart w:id="134" w:name="_Toc230258237"/>
      <w:bookmarkStart w:id="135" w:name="_Toc233199185"/>
      <w:r>
        <w:t>Converged Eligibility and Enrollment System and Appeals Management System Performance Management: Application Response Times</w:t>
      </w:r>
      <w:bookmarkEnd w:id="134"/>
      <w:bookmarkEnd w:id="135"/>
    </w:p>
    <w:tbl>
      <w:tblPr>
        <w:tblStyle w:val="DOH-LeftHeader"/>
        <w:tblW w:w="4998" w:type="pct"/>
        <w:tblLayout w:type="fixed"/>
        <w:tblLook w:val="0480" w:firstRow="0" w:lastRow="0" w:firstColumn="1" w:lastColumn="0" w:noHBand="0" w:noVBand="1"/>
      </w:tblPr>
      <w:tblGrid>
        <w:gridCol w:w="1886"/>
        <w:gridCol w:w="8900"/>
      </w:tblGrid>
      <w:tr w:rsidR="005562EB" w:rsidRPr="002C7415" w14:paraId="10D68A3B" w14:textId="77777777" w:rsidTr="00660008">
        <w:tc>
          <w:tcPr>
            <w:cnfStyle w:val="001000000000" w:firstRow="0" w:lastRow="0" w:firstColumn="1" w:lastColumn="0" w:oddVBand="0" w:evenVBand="0" w:oddHBand="0" w:evenHBand="0" w:firstRowFirstColumn="0" w:firstRowLastColumn="0" w:lastRowFirstColumn="0" w:lastRowLastColumn="0"/>
            <w:tcW w:w="1886" w:type="dxa"/>
          </w:tcPr>
          <w:p w14:paraId="60867E8B" w14:textId="77777777" w:rsidR="005562EB" w:rsidRPr="002C7415" w:rsidRDefault="005562EB" w:rsidP="002413AA">
            <w:pPr>
              <w:rPr>
                <w:rFonts w:cs="Arial"/>
                <w:b w:val="0"/>
                <w:bCs w:val="0"/>
                <w:szCs w:val="20"/>
              </w:rPr>
            </w:pPr>
            <w:r>
              <w:rPr>
                <w:rFonts w:cs="Arial"/>
                <w:szCs w:val="20"/>
              </w:rPr>
              <w:t>Purpose</w:t>
            </w:r>
          </w:p>
        </w:tc>
        <w:tc>
          <w:tcPr>
            <w:tcW w:w="8900" w:type="dxa"/>
          </w:tcPr>
          <w:p w14:paraId="22B18F63" w14:textId="7588C3CE" w:rsidR="005562EB" w:rsidRPr="002C7415" w:rsidRDefault="00660008"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sets two (2) response time targets and holds the Contractor accountable for meeting both during operational hours. This outlines the expected user experience for the Converged E&amp;E System and AMS. Slow application response times degrade worker productivity, member experience, and confidence in the system. </w:t>
            </w:r>
          </w:p>
        </w:tc>
      </w:tr>
      <w:tr w:rsidR="005562EB" w:rsidRPr="002C7415" w14:paraId="7792971D" w14:textId="77777777" w:rsidTr="006600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181B4EE" w14:textId="77777777" w:rsidR="005562EB" w:rsidRPr="002C7415" w:rsidRDefault="005562EB" w:rsidP="002413AA">
            <w:pPr>
              <w:rPr>
                <w:rFonts w:cs="Arial"/>
                <w:b w:val="0"/>
                <w:bCs w:val="0"/>
                <w:szCs w:val="20"/>
              </w:rPr>
            </w:pPr>
            <w:r>
              <w:rPr>
                <w:rFonts w:cs="Arial"/>
                <w:szCs w:val="20"/>
              </w:rPr>
              <w:t>Specification</w:t>
            </w:r>
          </w:p>
        </w:tc>
        <w:tc>
          <w:tcPr>
            <w:tcW w:w="8900" w:type="dxa"/>
          </w:tcPr>
          <w:p w14:paraId="3806CA7B" w14:textId="49A7AEA1"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Response times for all real-time transactions for users accessing the Converged E&amp;E System and AMS must not be greater than two (2) seconds for at least ninety-nine  percent (99.0%) of transactions, and must not be greater than five (5) seconds for at least ninety-nine point five percent (99.5%) of transactions. The Contractor must comply with these response time metrics during the agreed-upon operational hours recorded in the mutually agreed M&amp;O Manual. An hourly daily average is measured for the ninety-nine percent (99.0%) target, and an hourly maximum is measured for the ninety-nine point five percent (99.5%) target. Hourly measurements begin on the o’clock. Each failure for each designated time specification, for each hour, is considered an occurrence.</w:t>
            </w:r>
          </w:p>
        </w:tc>
      </w:tr>
      <w:tr w:rsidR="005562EB" w:rsidRPr="002C7415" w14:paraId="3F82FB92" w14:textId="77777777" w:rsidTr="00660008">
        <w:tc>
          <w:tcPr>
            <w:cnfStyle w:val="001000000000" w:firstRow="0" w:lastRow="0" w:firstColumn="1" w:lastColumn="0" w:oddVBand="0" w:evenVBand="0" w:oddHBand="0" w:evenHBand="0" w:firstRowFirstColumn="0" w:firstRowLastColumn="0" w:lastRowFirstColumn="0" w:lastRowLastColumn="0"/>
            <w:tcW w:w="1886" w:type="dxa"/>
          </w:tcPr>
          <w:p w14:paraId="4DBC29D9" w14:textId="77777777" w:rsidR="005562EB" w:rsidRPr="002C7415" w:rsidRDefault="005562EB" w:rsidP="002413AA">
            <w:pPr>
              <w:rPr>
                <w:rFonts w:cs="Arial"/>
                <w:b w:val="0"/>
                <w:bCs w:val="0"/>
                <w:szCs w:val="20"/>
              </w:rPr>
            </w:pPr>
            <w:r>
              <w:rPr>
                <w:rFonts w:cs="Arial"/>
                <w:szCs w:val="20"/>
              </w:rPr>
              <w:t>Service Level</w:t>
            </w:r>
          </w:p>
        </w:tc>
        <w:tc>
          <w:tcPr>
            <w:tcW w:w="8900" w:type="dxa"/>
          </w:tcPr>
          <w:p w14:paraId="469E3C7A" w14:textId="6067721E"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application response times: at least ninety-nine percent (99.0%) of transactions must complete within two (2) seconds, and at least ninety-nine point five percent (99.5%) of transactions must complete within five (5) seconds, during agreed-upon operational hours.</w:t>
            </w:r>
          </w:p>
        </w:tc>
      </w:tr>
      <w:tr w:rsidR="005562EB" w:rsidRPr="002C7415" w14:paraId="63F2FEB2" w14:textId="77777777" w:rsidTr="006600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EF9F56B" w14:textId="77777777" w:rsidR="005562EB" w:rsidRPr="002C7415" w:rsidRDefault="005562EB" w:rsidP="002413AA">
            <w:pPr>
              <w:rPr>
                <w:rFonts w:cs="Arial"/>
                <w:b w:val="0"/>
                <w:bCs w:val="0"/>
                <w:szCs w:val="20"/>
              </w:rPr>
            </w:pPr>
            <w:r>
              <w:rPr>
                <w:rFonts w:cs="Arial"/>
                <w:szCs w:val="20"/>
              </w:rPr>
              <w:t>Notes</w:t>
            </w:r>
          </w:p>
        </w:tc>
        <w:tc>
          <w:tcPr>
            <w:tcW w:w="8900" w:type="dxa"/>
          </w:tcPr>
          <w:p w14:paraId="7648DA7E" w14:textId="5D49E934"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Operational hours are defined in the M&amp;O Manual. The Contractor must continuously capture transaction-level response time telemetry and provide the Department with read-only access.</w:t>
            </w:r>
          </w:p>
        </w:tc>
      </w:tr>
      <w:tr w:rsidR="005562EB" w:rsidRPr="002C7415" w14:paraId="26335FF1" w14:textId="77777777" w:rsidTr="00660008">
        <w:tc>
          <w:tcPr>
            <w:cnfStyle w:val="001000000000" w:firstRow="0" w:lastRow="0" w:firstColumn="1" w:lastColumn="0" w:oddVBand="0" w:evenVBand="0" w:oddHBand="0" w:evenHBand="0" w:firstRowFirstColumn="0" w:firstRowLastColumn="0" w:lastRowFirstColumn="0" w:lastRowLastColumn="0"/>
            <w:tcW w:w="1886" w:type="dxa"/>
          </w:tcPr>
          <w:p w14:paraId="7C21D44B"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38DA3516" w14:textId="463B863E"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Compliance is measured continuously during operational hours, with hourly aggregation. </w:t>
            </w:r>
            <w:r>
              <w:rPr>
                <w:rFonts w:eastAsia="Calibri" w:cs="Arial"/>
                <w:szCs w:val="20"/>
              </w:rPr>
              <w:t xml:space="preserve">The Operations Report aggregates the details for these metrics on a daily and weekly basis. </w:t>
            </w:r>
            <w:r>
              <w:rPr>
                <w:rFonts w:cs="Arial"/>
                <w:szCs w:val="20"/>
              </w:rPr>
              <w:t>This SLA is in effect after the Transition-In Cutover and continues through the Transition-Out Cutover.</w:t>
            </w:r>
          </w:p>
        </w:tc>
      </w:tr>
      <w:tr w:rsidR="005562EB" w:rsidRPr="002C7415" w14:paraId="4BA6D31B" w14:textId="77777777" w:rsidTr="006600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BF456F4" w14:textId="77777777" w:rsidR="005562EB" w:rsidRPr="002C7415" w:rsidRDefault="005562EB" w:rsidP="002413AA">
            <w:pPr>
              <w:rPr>
                <w:rFonts w:cs="Arial"/>
                <w:szCs w:val="20"/>
              </w:rPr>
            </w:pPr>
            <w:r>
              <w:rPr>
                <w:rFonts w:cs="Arial"/>
                <w:szCs w:val="20"/>
              </w:rPr>
              <w:lastRenderedPageBreak/>
              <w:t>SLA Calculations</w:t>
            </w:r>
          </w:p>
        </w:tc>
        <w:tc>
          <w:tcPr>
            <w:tcW w:w="8900" w:type="dxa"/>
          </w:tcPr>
          <w:p w14:paraId="07B87D2D" w14:textId="385DD90F"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hour. For the ninety-nine percent (99.0%) target, the Contractor calculates the hourly daily average percentage of transactions completing within two (2) seconds. For the ninety-nine point five percent (99.5%) target, the Contractor calculates the hourly maximum response time and the percentage of transactions completing within five (5) seconds. Each hour during operational hours where either target is missed counts as one (1) occurrence under that specification. Service credits are assessed per occurrence per hour, or portion thereof.</w:t>
            </w:r>
          </w:p>
        </w:tc>
      </w:tr>
      <w:tr w:rsidR="005562EB" w:rsidRPr="002C7415" w14:paraId="1CCF72DB" w14:textId="77777777" w:rsidTr="00660008">
        <w:tc>
          <w:tcPr>
            <w:cnfStyle w:val="001000000000" w:firstRow="0" w:lastRow="0" w:firstColumn="1" w:lastColumn="0" w:oddVBand="0" w:evenVBand="0" w:oddHBand="0" w:evenHBand="0" w:firstRowFirstColumn="0" w:firstRowLastColumn="0" w:lastRowFirstColumn="0" w:lastRowLastColumn="0"/>
            <w:tcW w:w="1886" w:type="dxa"/>
          </w:tcPr>
          <w:p w14:paraId="59FD8FA5"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6F7C88CD" w14:textId="268236B1"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Application Response Times: </w:t>
            </w:r>
            <w:r>
              <w:rPr>
                <w:rFonts w:cs="Arial"/>
                <w:szCs w:val="20"/>
              </w:rPr>
              <w:t>Real-time transactions for users accessing the Converged E&amp;E System and AMS.</w:t>
            </w:r>
          </w:p>
          <w:p w14:paraId="179914D7" w14:textId="749C3ADB"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Operational Hours: </w:t>
            </w:r>
            <w:r>
              <w:rPr>
                <w:rFonts w:cs="Arial"/>
                <w:szCs w:val="20"/>
              </w:rPr>
              <w:t>The agreed-upon operational hours recorded in the M&amp;O Manual.</w:t>
            </w:r>
          </w:p>
          <w:p w14:paraId="66C13307" w14:textId="036CDB72"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Occurrence: </w:t>
            </w:r>
            <w:r>
              <w:rPr>
                <w:rFonts w:cs="Arial"/>
                <w:szCs w:val="20"/>
              </w:rPr>
              <w:t>Each hour during operational hours in which a designated response time specification (the ninety-nine percent [99.0%] target or the ninety-nine point five percent [99.5%] target) is not met.</w:t>
            </w:r>
          </w:p>
        </w:tc>
      </w:tr>
      <w:tr w:rsidR="005562EB" w:rsidRPr="002C7415" w14:paraId="2437CD51" w14:textId="77777777" w:rsidTr="006600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D75F0D5" w14:textId="77777777" w:rsidR="005562EB" w:rsidRPr="002C7415" w:rsidRDefault="005562EB" w:rsidP="002413AA">
            <w:pPr>
              <w:rPr>
                <w:rFonts w:cs="Arial"/>
                <w:b w:val="0"/>
                <w:bCs w:val="0"/>
                <w:szCs w:val="20"/>
              </w:rPr>
            </w:pPr>
            <w:r>
              <w:rPr>
                <w:rFonts w:cs="Arial"/>
                <w:szCs w:val="20"/>
              </w:rPr>
              <w:t>Exclusions</w:t>
            </w:r>
          </w:p>
        </w:tc>
        <w:tc>
          <w:tcPr>
            <w:tcW w:w="8900" w:type="dxa"/>
          </w:tcPr>
          <w:p w14:paraId="10A4FAD7" w14:textId="4CF5ACAB"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failures of third-party systems outside the Contractor’s managed boundary where the Contractor demonstrates with system records that the failure originated outside that boundary.</w:t>
            </w:r>
          </w:p>
        </w:tc>
      </w:tr>
      <w:tr w:rsidR="005562EB" w:rsidRPr="002C7415" w14:paraId="09C92218" w14:textId="77777777" w:rsidTr="00660008">
        <w:tc>
          <w:tcPr>
            <w:cnfStyle w:val="001000000000" w:firstRow="0" w:lastRow="0" w:firstColumn="1" w:lastColumn="0" w:oddVBand="0" w:evenVBand="0" w:oddHBand="0" w:evenHBand="0" w:firstRowFirstColumn="0" w:firstRowLastColumn="0" w:lastRowFirstColumn="0" w:lastRowLastColumn="0"/>
            <w:tcW w:w="1886" w:type="dxa"/>
          </w:tcPr>
          <w:p w14:paraId="0BCC73A5"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3D7D44E7" w14:textId="4DCB3E01"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Contractor must continuously capture transaction-level response time telemetry and ensure all performance calculations are validated by a qualified Business Analyst. Additionally, the Contractor must produce an Operations Report that aggregates these metrics on a daily and weekly basis. This report must detail the calculated compliance percentages against each target, the total service credits accrued, and an itemized list of every occurrence (including the specific hour, the target missed, and the root cause). The Contractor must also make all supporting raw telemetry accessible to the Department upon request.</w:t>
            </w:r>
          </w:p>
        </w:tc>
      </w:tr>
      <w:tr w:rsidR="005562EB" w:rsidRPr="002C7415" w14:paraId="30BC3C3C" w14:textId="77777777" w:rsidTr="006600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42DB3D6" w14:textId="022B5964"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525B9631" w14:textId="20926E1D" w:rsidR="002C4AD6" w:rsidRDefault="00952EC5"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Two (2) Second Response Time (Initial Service Credit):</w:t>
            </w:r>
            <w:r>
              <w:rPr>
                <w:rFonts w:cs="Arial"/>
                <w:szCs w:val="20"/>
              </w:rPr>
              <w:t xml:space="preserve"> Failure to comply with the ninety-nine percent (99.0%) response time metric results in a service credit of five thousand dollars ($5,000) per hour, or portion thereof, for each occurrence where response time does not comply with the specification.</w:t>
            </w:r>
          </w:p>
          <w:p w14:paraId="6858C64C" w14:textId="3B6DF9A5" w:rsidR="005562EB" w:rsidRPr="002C7415" w:rsidRDefault="00463388"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Five (5) Second Response Time (Initial Service Credit)</w:t>
            </w:r>
            <w:r>
              <w:rPr>
                <w:rFonts w:cs="Arial"/>
                <w:szCs w:val="20"/>
              </w:rPr>
              <w:t xml:space="preserve"> - Failure to comply with the ninety-nine point five percent (99.5%) response time metric results in a service credit of ten thousand dollars ($10,000) per hour, or portion thereof, for each occurrence.</w:t>
            </w:r>
          </w:p>
        </w:tc>
      </w:tr>
    </w:tbl>
    <w:p w14:paraId="405F8F7B" w14:textId="6B649C84" w:rsidR="005562EB" w:rsidRPr="002C7415" w:rsidRDefault="005562EB" w:rsidP="00CB1E19">
      <w:pPr>
        <w:pStyle w:val="HeadingSLA"/>
      </w:pPr>
      <w:bookmarkStart w:id="136" w:name="_Toc230258238"/>
      <w:bookmarkStart w:id="137" w:name="_Toc233199186"/>
      <w:r>
        <w:t>Converged Eligibility and Enrollment System and Appeals Management System Performance Management: Database Response Times</w:t>
      </w:r>
      <w:bookmarkEnd w:id="136"/>
      <w:bookmarkEnd w:id="137"/>
    </w:p>
    <w:tbl>
      <w:tblPr>
        <w:tblStyle w:val="DOH-LeftHeader"/>
        <w:tblW w:w="4998" w:type="pct"/>
        <w:tblLayout w:type="fixed"/>
        <w:tblLook w:val="0480" w:firstRow="0" w:lastRow="0" w:firstColumn="1" w:lastColumn="0" w:noHBand="0" w:noVBand="1"/>
      </w:tblPr>
      <w:tblGrid>
        <w:gridCol w:w="1973"/>
        <w:gridCol w:w="8813"/>
      </w:tblGrid>
      <w:tr w:rsidR="005562EB" w:rsidRPr="002C7415" w14:paraId="45452761" w14:textId="77777777" w:rsidTr="00432876">
        <w:tc>
          <w:tcPr>
            <w:cnfStyle w:val="001000000000" w:firstRow="0" w:lastRow="0" w:firstColumn="1" w:lastColumn="0" w:oddVBand="0" w:evenVBand="0" w:oddHBand="0" w:evenHBand="0" w:firstRowFirstColumn="0" w:firstRowLastColumn="0" w:lastRowFirstColumn="0" w:lastRowLastColumn="0"/>
            <w:tcW w:w="4253" w:type="dxa"/>
          </w:tcPr>
          <w:p w14:paraId="324F3277" w14:textId="77777777" w:rsidR="005562EB" w:rsidRPr="002C7415" w:rsidRDefault="005562EB" w:rsidP="002413AA">
            <w:pPr>
              <w:rPr>
                <w:rFonts w:cs="Arial"/>
                <w:b w:val="0"/>
                <w:bCs w:val="0"/>
                <w:szCs w:val="20"/>
              </w:rPr>
            </w:pPr>
            <w:r>
              <w:rPr>
                <w:rFonts w:cs="Arial"/>
                <w:szCs w:val="20"/>
              </w:rPr>
              <w:t>Purpose</w:t>
            </w:r>
          </w:p>
        </w:tc>
        <w:tc>
          <w:tcPr>
            <w:tcW w:w="20072" w:type="dxa"/>
          </w:tcPr>
          <w:p w14:paraId="234FBE52" w14:textId="240F63AB" w:rsidR="005562EB" w:rsidRPr="002C7415" w:rsidRDefault="00BF27A9"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establishes two (2) specific response time targets and holds the Contractor accountable for meeting both during operational hours. This SLA is designed to ensure optimal system responsiveness for end-users. Slow database response times degrade worker productivity, member experience, and overall confidence in the Converged E&amp;E System and AMS. </w:t>
            </w:r>
          </w:p>
        </w:tc>
      </w:tr>
      <w:tr w:rsidR="005562EB" w:rsidRPr="002C7415" w14:paraId="31CE6DAA" w14:textId="77777777" w:rsidTr="004328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09049B0B" w14:textId="77777777" w:rsidR="005562EB" w:rsidRPr="002C7415" w:rsidRDefault="005562EB" w:rsidP="002413AA">
            <w:pPr>
              <w:rPr>
                <w:rFonts w:cs="Arial"/>
                <w:b w:val="0"/>
                <w:bCs w:val="0"/>
                <w:szCs w:val="20"/>
              </w:rPr>
            </w:pPr>
            <w:r>
              <w:rPr>
                <w:rFonts w:cs="Arial"/>
                <w:szCs w:val="20"/>
              </w:rPr>
              <w:t>Specification</w:t>
            </w:r>
          </w:p>
        </w:tc>
        <w:tc>
          <w:tcPr>
            <w:tcW w:w="20072" w:type="dxa"/>
          </w:tcPr>
          <w:p w14:paraId="10BCB091" w14:textId="4BE3F44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Response times for all real-time transactions accessing the AWS databases must not be greater than two (2) seconds for at least ninety-nine percent (99.0%) of transactions, and must not be greater than five (5) seconds for at least ninety-nine point five percent (99.5%) of transactions. The Contractor must comply with these response time metrics during the agreed-upon operational hours recorded in the M&amp;O Manual. An hourly daily average is measured for the ninety-nine percent (99.0%) target, and an hourly maximum is measured for the ninety-nine point five percent (99.5%) target. Hourly measurements begin on the o’clock. Each failure for each designated time specification, for each hour, is considered an occurrence.</w:t>
            </w:r>
          </w:p>
        </w:tc>
      </w:tr>
      <w:tr w:rsidR="005562EB" w:rsidRPr="002C7415" w14:paraId="219D6456" w14:textId="77777777" w:rsidTr="00432876">
        <w:tc>
          <w:tcPr>
            <w:cnfStyle w:val="001000000000" w:firstRow="0" w:lastRow="0" w:firstColumn="1" w:lastColumn="0" w:oddVBand="0" w:evenVBand="0" w:oddHBand="0" w:evenHBand="0" w:firstRowFirstColumn="0" w:firstRowLastColumn="0" w:lastRowFirstColumn="0" w:lastRowLastColumn="0"/>
            <w:tcW w:w="4253" w:type="dxa"/>
          </w:tcPr>
          <w:p w14:paraId="5751D511" w14:textId="77777777" w:rsidR="005562EB" w:rsidRPr="002C7415" w:rsidRDefault="005562EB" w:rsidP="002413AA">
            <w:pPr>
              <w:rPr>
                <w:rFonts w:cs="Arial"/>
                <w:b w:val="0"/>
                <w:bCs w:val="0"/>
                <w:szCs w:val="20"/>
              </w:rPr>
            </w:pPr>
            <w:r>
              <w:rPr>
                <w:rFonts w:cs="Arial"/>
                <w:szCs w:val="20"/>
              </w:rPr>
              <w:t>Service Level</w:t>
            </w:r>
          </w:p>
        </w:tc>
        <w:tc>
          <w:tcPr>
            <w:tcW w:w="20072" w:type="dxa"/>
          </w:tcPr>
          <w:p w14:paraId="7967E3DC" w14:textId="4ABB1913"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database response times: at least ninety-nine percent (99.0%) of transactions must complete within two (2) seconds, and at least ninety-nine point five percent (99.5%) of transactions must complete within five (5) seconds, during agreed-upon operational hours.</w:t>
            </w:r>
          </w:p>
        </w:tc>
      </w:tr>
      <w:tr w:rsidR="005562EB" w:rsidRPr="002C7415" w14:paraId="27CAB3EB" w14:textId="77777777" w:rsidTr="004328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2E1F02FF" w14:textId="77777777" w:rsidR="005562EB" w:rsidRPr="002C7415" w:rsidRDefault="005562EB" w:rsidP="002413AA">
            <w:pPr>
              <w:rPr>
                <w:rFonts w:cs="Arial"/>
                <w:b w:val="0"/>
                <w:bCs w:val="0"/>
                <w:szCs w:val="20"/>
              </w:rPr>
            </w:pPr>
            <w:r>
              <w:rPr>
                <w:rFonts w:cs="Arial"/>
                <w:szCs w:val="20"/>
              </w:rPr>
              <w:lastRenderedPageBreak/>
              <w:t>Notes</w:t>
            </w:r>
          </w:p>
        </w:tc>
        <w:tc>
          <w:tcPr>
            <w:tcW w:w="20072" w:type="dxa"/>
          </w:tcPr>
          <w:p w14:paraId="76C2BC9C" w14:textId="58053C9B"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Operational hours are defined in the mutually agreed M&amp;O Manual. The Contractor must continuously capture transaction-level response time telemetry and provide the Department with read-only access.</w:t>
            </w:r>
          </w:p>
        </w:tc>
      </w:tr>
      <w:tr w:rsidR="005562EB" w:rsidRPr="002C7415" w14:paraId="151D78EE" w14:textId="77777777" w:rsidTr="00432876">
        <w:tc>
          <w:tcPr>
            <w:cnfStyle w:val="001000000000" w:firstRow="0" w:lastRow="0" w:firstColumn="1" w:lastColumn="0" w:oddVBand="0" w:evenVBand="0" w:oddHBand="0" w:evenHBand="0" w:firstRowFirstColumn="0" w:firstRowLastColumn="0" w:lastRowFirstColumn="0" w:lastRowLastColumn="0"/>
            <w:tcW w:w="4253" w:type="dxa"/>
          </w:tcPr>
          <w:p w14:paraId="266512F8" w14:textId="77777777" w:rsidR="005562EB" w:rsidRPr="002C7415" w:rsidRDefault="005562EB" w:rsidP="002413AA">
            <w:pPr>
              <w:rPr>
                <w:rFonts w:cs="Arial"/>
                <w:b w:val="0"/>
                <w:bCs w:val="0"/>
                <w:szCs w:val="20"/>
              </w:rPr>
            </w:pPr>
            <w:r>
              <w:rPr>
                <w:rFonts w:cs="Arial"/>
                <w:szCs w:val="20"/>
              </w:rPr>
              <w:t>Reporting Frequency</w:t>
            </w:r>
          </w:p>
        </w:tc>
        <w:tc>
          <w:tcPr>
            <w:tcW w:w="20072" w:type="dxa"/>
          </w:tcPr>
          <w:p w14:paraId="0E956A58" w14:textId="3A2EE981"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Compliance is measured continuously during operational hours, with hourly aggregation. </w:t>
            </w:r>
            <w:r>
              <w:rPr>
                <w:rFonts w:eastAsia="Calibri" w:cs="Arial"/>
                <w:szCs w:val="20"/>
              </w:rPr>
              <w:t xml:space="preserve">The Operations Report aggregates the details for these metrics on a daily and weekly basis. </w:t>
            </w:r>
            <w:r>
              <w:rPr>
                <w:rFonts w:cs="Arial"/>
                <w:szCs w:val="20"/>
              </w:rPr>
              <w:t>This SLA is in effect after the Transition-In Cutover and continues through the Transition-Out Cutover.</w:t>
            </w:r>
          </w:p>
        </w:tc>
      </w:tr>
      <w:tr w:rsidR="005562EB" w:rsidRPr="002C7415" w14:paraId="0578BB8D" w14:textId="77777777" w:rsidTr="004328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26B4F677" w14:textId="77777777" w:rsidR="005562EB" w:rsidRPr="002C7415" w:rsidRDefault="005562EB" w:rsidP="002413AA">
            <w:pPr>
              <w:rPr>
                <w:rFonts w:cs="Arial"/>
                <w:szCs w:val="20"/>
              </w:rPr>
            </w:pPr>
            <w:r>
              <w:rPr>
                <w:rFonts w:cs="Arial"/>
                <w:szCs w:val="20"/>
              </w:rPr>
              <w:t>SLA Calculations</w:t>
            </w:r>
          </w:p>
        </w:tc>
        <w:tc>
          <w:tcPr>
            <w:tcW w:w="20072" w:type="dxa"/>
          </w:tcPr>
          <w:p w14:paraId="075FE8F5" w14:textId="43BBCB1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hour. For the ninety-nine percent (99.0%) target, the Contractor calculates the hourly daily average percentage of transactions completing within two (2) seconds. For the ninety-nine point five percent (99.5%) target, the Contractor calculates the hourly maximum response time and the percentage of transactions completing within five (5) seconds. Each hour during operational hours where either target is missed counts as one (1) occurrence under that specification. Service credits are assessed per occurrence per hour, or portion thereof.</w:t>
            </w:r>
          </w:p>
        </w:tc>
      </w:tr>
      <w:tr w:rsidR="005562EB" w:rsidRPr="002C7415" w14:paraId="541E046D" w14:textId="77777777" w:rsidTr="00432876">
        <w:tc>
          <w:tcPr>
            <w:cnfStyle w:val="001000000000" w:firstRow="0" w:lastRow="0" w:firstColumn="1" w:lastColumn="0" w:oddVBand="0" w:evenVBand="0" w:oddHBand="0" w:evenHBand="0" w:firstRowFirstColumn="0" w:firstRowLastColumn="0" w:lastRowFirstColumn="0" w:lastRowLastColumn="0"/>
            <w:tcW w:w="4253" w:type="dxa"/>
          </w:tcPr>
          <w:p w14:paraId="03BFBAB6" w14:textId="77777777" w:rsidR="005562EB" w:rsidRPr="002C7415" w:rsidRDefault="005562EB" w:rsidP="002413AA">
            <w:pPr>
              <w:rPr>
                <w:rFonts w:cs="Arial"/>
                <w:b w:val="0"/>
                <w:bCs w:val="0"/>
                <w:szCs w:val="20"/>
              </w:rPr>
            </w:pPr>
            <w:r>
              <w:rPr>
                <w:rFonts w:cs="Arial"/>
                <w:szCs w:val="20"/>
              </w:rPr>
              <w:t>SLA Calculations Definitions</w:t>
            </w:r>
          </w:p>
        </w:tc>
        <w:tc>
          <w:tcPr>
            <w:tcW w:w="20072" w:type="dxa"/>
          </w:tcPr>
          <w:p w14:paraId="6D6A8B37" w14:textId="4BAB4E6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Database Response Times: </w:t>
            </w:r>
            <w:r>
              <w:rPr>
                <w:rFonts w:cs="Arial"/>
                <w:szCs w:val="20"/>
              </w:rPr>
              <w:t>Real-time transactions accessing the AWS databases supporting the Converged E&amp;E System and AMS.</w:t>
            </w:r>
          </w:p>
          <w:p w14:paraId="2B6BB88A" w14:textId="131C58CF"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Operational Hours: </w:t>
            </w:r>
            <w:r>
              <w:rPr>
                <w:rFonts w:cs="Arial"/>
                <w:szCs w:val="20"/>
              </w:rPr>
              <w:t>The agreed-upon operational hours recorded in the M&amp;O Manual.</w:t>
            </w:r>
          </w:p>
          <w:p w14:paraId="5E934DD6" w14:textId="0E2C8700"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Occurrence: </w:t>
            </w:r>
            <w:r>
              <w:rPr>
                <w:rFonts w:cs="Arial"/>
                <w:szCs w:val="20"/>
              </w:rPr>
              <w:t>Each hour during operational hours in which a designated response time specification (the ninety-nine percent [99.0%] target or the ninety-nine point five percent [99.5%] target) is not met.</w:t>
            </w:r>
          </w:p>
        </w:tc>
      </w:tr>
      <w:tr w:rsidR="005562EB" w:rsidRPr="002C7415" w14:paraId="31D740B0" w14:textId="77777777" w:rsidTr="004328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1E9CA2D7" w14:textId="77777777" w:rsidR="005562EB" w:rsidRPr="002C7415" w:rsidRDefault="005562EB" w:rsidP="002413AA">
            <w:pPr>
              <w:rPr>
                <w:rFonts w:cs="Arial"/>
                <w:b w:val="0"/>
                <w:bCs w:val="0"/>
                <w:szCs w:val="20"/>
              </w:rPr>
            </w:pPr>
            <w:r>
              <w:rPr>
                <w:rFonts w:cs="Arial"/>
                <w:szCs w:val="20"/>
              </w:rPr>
              <w:t>Exclusions</w:t>
            </w:r>
          </w:p>
        </w:tc>
        <w:tc>
          <w:tcPr>
            <w:tcW w:w="20072" w:type="dxa"/>
          </w:tcPr>
          <w:p w14:paraId="7A1FD264" w14:textId="774245FB"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failures of third-party systems outside the Contractor’s managed boundary where the Contractor demonstrates with system records that the failure originated outside that boundary. The Contractor is responsible for demonstrating any claimed exclusion.</w:t>
            </w:r>
          </w:p>
        </w:tc>
      </w:tr>
      <w:tr w:rsidR="005562EB" w:rsidRPr="002C7415" w14:paraId="6D99D654" w14:textId="77777777" w:rsidTr="00432876">
        <w:tc>
          <w:tcPr>
            <w:cnfStyle w:val="001000000000" w:firstRow="0" w:lastRow="0" w:firstColumn="1" w:lastColumn="0" w:oddVBand="0" w:evenVBand="0" w:oddHBand="0" w:evenHBand="0" w:firstRowFirstColumn="0" w:firstRowLastColumn="0" w:lastRowFirstColumn="0" w:lastRowLastColumn="0"/>
            <w:tcW w:w="4253" w:type="dxa"/>
          </w:tcPr>
          <w:p w14:paraId="29D96B3E" w14:textId="77777777" w:rsidR="005562EB" w:rsidRPr="002C7415" w:rsidRDefault="005562EB" w:rsidP="002413AA">
            <w:pPr>
              <w:rPr>
                <w:rFonts w:cs="Arial"/>
                <w:b w:val="0"/>
                <w:bCs w:val="0"/>
                <w:szCs w:val="20"/>
              </w:rPr>
            </w:pPr>
            <w:r>
              <w:rPr>
                <w:rFonts w:cs="Arial"/>
                <w:szCs w:val="20"/>
              </w:rPr>
              <w:t>Process to Compile and Report SLA</w:t>
            </w:r>
          </w:p>
        </w:tc>
        <w:tc>
          <w:tcPr>
            <w:tcW w:w="20072" w:type="dxa"/>
          </w:tcPr>
          <w:p w14:paraId="14F3F20F" w14:textId="26C20AE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Contractor must continuously capture transaction-level response time telemetry and ensure all performance calculations are validated by a qualified Business Analyst. Additionally, the Contractor must produce an Operations Report that aggregates these metrics on a daily and weekly basis. This report must detail the calculated compliance percentages against each target, the total service credits accrued, and an itemized list of every occurrence (including the specific hour, the target missed, and the root cause). The Contractor must also make all supporting raw telemetry accessible to the Department upon request.</w:t>
            </w:r>
          </w:p>
        </w:tc>
      </w:tr>
      <w:tr w:rsidR="005562EB" w:rsidRPr="002C7415" w14:paraId="3FE8E221" w14:textId="77777777" w:rsidTr="004328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41C04D27" w14:textId="5D43C3A5" w:rsidR="005562EB" w:rsidRPr="002C7415" w:rsidRDefault="00567333" w:rsidP="002413AA">
            <w:pPr>
              <w:rPr>
                <w:rFonts w:cs="Arial"/>
                <w:b w:val="0"/>
                <w:bCs w:val="0"/>
                <w:szCs w:val="20"/>
              </w:rPr>
            </w:pPr>
            <w:r>
              <w:rPr>
                <w:rFonts w:cs="Arial"/>
                <w:szCs w:val="20"/>
              </w:rPr>
              <w:t>Converged E&amp;E System and AMS Service Credit</w:t>
            </w:r>
          </w:p>
        </w:tc>
        <w:tc>
          <w:tcPr>
            <w:tcW w:w="20072" w:type="dxa"/>
          </w:tcPr>
          <w:p w14:paraId="7CC3B9FC" w14:textId="2F6EE1FA" w:rsidR="00463388" w:rsidRDefault="00463388"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Two Second Response Time (Initial Service Credit):</w:t>
            </w:r>
            <w:r>
              <w:rPr>
                <w:rFonts w:cs="Arial"/>
                <w:szCs w:val="20"/>
              </w:rPr>
              <w:t xml:space="preserve"> Failure to comply with the ninety-nine percent (99.0%) response time metric results in a service credit of five thousand dollars ($5,000) per hour, or portion thereof, for each occurrence where response time does not comply with the specification. </w:t>
            </w:r>
          </w:p>
          <w:p w14:paraId="095C95BB" w14:textId="6970EC7E" w:rsidR="005562EB" w:rsidRPr="002C7415" w:rsidRDefault="00463388"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Five (5) Second Response Time (Initial Service Credit)</w:t>
            </w:r>
            <w:r>
              <w:rPr>
                <w:rFonts w:cs="Arial"/>
                <w:szCs w:val="20"/>
              </w:rPr>
              <w:t>: Failure to comply with the ninety-nine point five percent (99.5%) response time metric results in a service credit of ten thousand dollars ($10,000) per hour, or portion thereof, for each occurrence.</w:t>
            </w:r>
          </w:p>
        </w:tc>
      </w:tr>
    </w:tbl>
    <w:p w14:paraId="65F5CCB7" w14:textId="772CFE5F" w:rsidR="00432876" w:rsidRPr="002C7415" w:rsidRDefault="00432876" w:rsidP="00432876">
      <w:pPr>
        <w:pStyle w:val="HeadingSLA"/>
      </w:pPr>
      <w:bookmarkStart w:id="138" w:name="_Toc233199187"/>
      <w:bookmarkStart w:id="139" w:name="_Toc230258239"/>
      <w:r>
        <w:t>Outbound Scheduled Interfaces: Non-Critical</w:t>
      </w:r>
      <w:bookmarkEnd w:id="138"/>
    </w:p>
    <w:tbl>
      <w:tblPr>
        <w:tblStyle w:val="DOH-LeftHeader"/>
        <w:tblW w:w="4998" w:type="pct"/>
        <w:tblLayout w:type="fixed"/>
        <w:tblLook w:val="0480" w:firstRow="0" w:lastRow="0" w:firstColumn="1" w:lastColumn="0" w:noHBand="0" w:noVBand="1"/>
      </w:tblPr>
      <w:tblGrid>
        <w:gridCol w:w="1886"/>
        <w:gridCol w:w="8900"/>
      </w:tblGrid>
      <w:tr w:rsidR="00432876" w:rsidRPr="002C7415" w14:paraId="6E86847A" w14:textId="77777777" w:rsidTr="00042373">
        <w:tc>
          <w:tcPr>
            <w:cnfStyle w:val="001000000000" w:firstRow="0" w:lastRow="0" w:firstColumn="1" w:lastColumn="0" w:oddVBand="0" w:evenVBand="0" w:oddHBand="0" w:evenHBand="0" w:firstRowFirstColumn="0" w:firstRowLastColumn="0" w:lastRowFirstColumn="0" w:lastRowLastColumn="0"/>
            <w:tcW w:w="1886" w:type="dxa"/>
          </w:tcPr>
          <w:p w14:paraId="21BB87DC" w14:textId="77777777" w:rsidR="00432876" w:rsidRPr="002C7415" w:rsidRDefault="00432876" w:rsidP="00042373">
            <w:pPr>
              <w:rPr>
                <w:rFonts w:cs="Arial"/>
                <w:b w:val="0"/>
                <w:bCs w:val="0"/>
                <w:szCs w:val="20"/>
              </w:rPr>
            </w:pPr>
            <w:r>
              <w:rPr>
                <w:rFonts w:cs="Arial"/>
                <w:szCs w:val="20"/>
              </w:rPr>
              <w:t>Purpose</w:t>
            </w:r>
          </w:p>
        </w:tc>
        <w:tc>
          <w:tcPr>
            <w:tcW w:w="8900" w:type="dxa"/>
          </w:tcPr>
          <w:p w14:paraId="3257D4AB" w14:textId="77777777" w:rsidR="00432876" w:rsidRPr="002C7415" w:rsidRDefault="00432876" w:rsidP="00042373">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governs the data flow between the Converged E&amp;E System, the AMS, and its trading partners. Non-critical outbound scheduled interfaces have defined run windows because downstream systems, eligibility decisions, and back-office processes depend on these files arriving on schedule. This SLA holds the Contractor accountable for executing each scheduled interface on time and for mitigating missed runs without compounding delays.</w:t>
            </w:r>
          </w:p>
        </w:tc>
      </w:tr>
      <w:tr w:rsidR="00432876" w:rsidRPr="002C7415" w14:paraId="09EA02EB" w14:textId="77777777" w:rsidTr="000423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9952CCA" w14:textId="77777777" w:rsidR="00432876" w:rsidRPr="002C7415" w:rsidRDefault="00432876" w:rsidP="00042373">
            <w:pPr>
              <w:rPr>
                <w:rFonts w:cs="Arial"/>
                <w:b w:val="0"/>
                <w:bCs w:val="0"/>
                <w:szCs w:val="20"/>
              </w:rPr>
            </w:pPr>
            <w:r>
              <w:rPr>
                <w:rFonts w:cs="Arial"/>
                <w:szCs w:val="20"/>
              </w:rPr>
              <w:t>Specification</w:t>
            </w:r>
          </w:p>
        </w:tc>
        <w:tc>
          <w:tcPr>
            <w:tcW w:w="8900" w:type="dxa"/>
          </w:tcPr>
          <w:p w14:paraId="2AE40D96" w14:textId="77777777" w:rsidR="00432876" w:rsidRPr="002C7415" w:rsidRDefault="00432876" w:rsidP="00042373">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execute all non-critical outbound interfaces, unless exceptions are made by the Department, per the timeframe identified for each interface as defined by the Department. Additional interfaces identified by the Department must be added to the non-critical interfaces list after each Go-Live or Deployment, as applicable.</w:t>
            </w:r>
          </w:p>
        </w:tc>
      </w:tr>
      <w:tr w:rsidR="00432876" w:rsidRPr="002C7415" w14:paraId="10C95A3B" w14:textId="77777777" w:rsidTr="00042373">
        <w:tc>
          <w:tcPr>
            <w:cnfStyle w:val="001000000000" w:firstRow="0" w:lastRow="0" w:firstColumn="1" w:lastColumn="0" w:oddVBand="0" w:evenVBand="0" w:oddHBand="0" w:evenHBand="0" w:firstRowFirstColumn="0" w:firstRowLastColumn="0" w:lastRowFirstColumn="0" w:lastRowLastColumn="0"/>
            <w:tcW w:w="1886" w:type="dxa"/>
          </w:tcPr>
          <w:p w14:paraId="717EB986" w14:textId="77777777" w:rsidR="00432876" w:rsidRPr="002C7415" w:rsidRDefault="00432876" w:rsidP="00042373">
            <w:pPr>
              <w:rPr>
                <w:rFonts w:cs="Arial"/>
                <w:b w:val="0"/>
                <w:bCs w:val="0"/>
                <w:szCs w:val="20"/>
              </w:rPr>
            </w:pPr>
            <w:r>
              <w:rPr>
                <w:rFonts w:cs="Arial"/>
                <w:szCs w:val="20"/>
              </w:rPr>
              <w:lastRenderedPageBreak/>
              <w:t>Service Level</w:t>
            </w:r>
          </w:p>
        </w:tc>
        <w:tc>
          <w:tcPr>
            <w:tcW w:w="8900" w:type="dxa"/>
          </w:tcPr>
          <w:p w14:paraId="25A046D0" w14:textId="77777777" w:rsidR="00432876" w:rsidRPr="002C7415" w:rsidRDefault="00432876" w:rsidP="00042373">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non-critical outbound scheduled interfaces must execute within the timeframe identified for each interface as defined by the Department.</w:t>
            </w:r>
          </w:p>
        </w:tc>
      </w:tr>
      <w:tr w:rsidR="00432876" w:rsidRPr="002C7415" w14:paraId="2A00B07C" w14:textId="77777777" w:rsidTr="000423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797338C" w14:textId="77777777" w:rsidR="00432876" w:rsidRPr="002C7415" w:rsidRDefault="00432876" w:rsidP="00042373">
            <w:pPr>
              <w:rPr>
                <w:rFonts w:cs="Arial"/>
                <w:b w:val="0"/>
                <w:bCs w:val="0"/>
                <w:szCs w:val="20"/>
              </w:rPr>
            </w:pPr>
            <w:r>
              <w:rPr>
                <w:rFonts w:cs="Arial"/>
                <w:szCs w:val="20"/>
              </w:rPr>
              <w:t>Notes</w:t>
            </w:r>
          </w:p>
        </w:tc>
        <w:tc>
          <w:tcPr>
            <w:tcW w:w="8900" w:type="dxa"/>
          </w:tcPr>
          <w:p w14:paraId="1EA1387C" w14:textId="77777777" w:rsidR="00432876" w:rsidRPr="002C7415" w:rsidRDefault="00432876" w:rsidP="00042373">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list of non-critical outbound scheduled interfaces, including the timeframe for each, is maintained as defined by the Department. The Department may add interfaces to the list following any Go-Live or Deployment.</w:t>
            </w:r>
          </w:p>
        </w:tc>
      </w:tr>
      <w:tr w:rsidR="00432876" w:rsidRPr="002C7415" w14:paraId="7A89C98E" w14:textId="77777777" w:rsidTr="00042373">
        <w:tc>
          <w:tcPr>
            <w:cnfStyle w:val="001000000000" w:firstRow="0" w:lastRow="0" w:firstColumn="1" w:lastColumn="0" w:oddVBand="0" w:evenVBand="0" w:oddHBand="0" w:evenHBand="0" w:firstRowFirstColumn="0" w:firstRowLastColumn="0" w:lastRowFirstColumn="0" w:lastRowLastColumn="0"/>
            <w:tcW w:w="1886" w:type="dxa"/>
          </w:tcPr>
          <w:p w14:paraId="777F4ACD" w14:textId="77777777" w:rsidR="00432876" w:rsidRPr="002C7415" w:rsidRDefault="00432876" w:rsidP="00042373">
            <w:pPr>
              <w:rPr>
                <w:rFonts w:cs="Arial"/>
                <w:b w:val="0"/>
                <w:bCs w:val="0"/>
                <w:szCs w:val="20"/>
              </w:rPr>
            </w:pPr>
            <w:r>
              <w:rPr>
                <w:rFonts w:cs="Arial"/>
                <w:szCs w:val="20"/>
              </w:rPr>
              <w:t>Reporting Frequency</w:t>
            </w:r>
          </w:p>
        </w:tc>
        <w:tc>
          <w:tcPr>
            <w:tcW w:w="8900" w:type="dxa"/>
          </w:tcPr>
          <w:p w14:paraId="69659ECB" w14:textId="77777777" w:rsidR="00432876" w:rsidRPr="002C7415" w:rsidRDefault="00432876" w:rsidP="00042373">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measured per scheduled execution. Scheduled interface compliance is reported to the Department in the daily and weekly Operations Report. This SLA is in effect after the Transition-In Cutover and continues through the Transition-Out Cutover.</w:t>
            </w:r>
          </w:p>
        </w:tc>
      </w:tr>
      <w:tr w:rsidR="00432876" w:rsidRPr="002C7415" w14:paraId="64CFD660" w14:textId="77777777" w:rsidTr="000423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3063770" w14:textId="77777777" w:rsidR="00432876" w:rsidRPr="002C7415" w:rsidRDefault="00432876" w:rsidP="00042373">
            <w:pPr>
              <w:rPr>
                <w:rFonts w:cs="Arial"/>
                <w:szCs w:val="20"/>
              </w:rPr>
            </w:pPr>
            <w:r>
              <w:rPr>
                <w:rFonts w:cs="Arial"/>
                <w:szCs w:val="20"/>
              </w:rPr>
              <w:t>SLA Calculations</w:t>
            </w:r>
          </w:p>
        </w:tc>
        <w:tc>
          <w:tcPr>
            <w:tcW w:w="8900" w:type="dxa"/>
          </w:tcPr>
          <w:p w14:paraId="7089780F" w14:textId="77777777" w:rsidR="00432876" w:rsidRPr="002C7415" w:rsidRDefault="00432876" w:rsidP="00042373">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scheduled execution. For each interface and each scheduled run, the Contractor records the scheduled execution window and the actual execution timestamp. Any scheduled execution that does not run within the identified timeframe counts as one (1) occurrence. If a missed execution is not successfully completed by the next scheduled run, the file is considered to have an overlapping instance, and an additional credit accrues for each calendar day, or portion thereof, until the file is successfully received.</w:t>
            </w:r>
          </w:p>
        </w:tc>
      </w:tr>
      <w:tr w:rsidR="00432876" w:rsidRPr="002C7415" w14:paraId="0D1E7BF1" w14:textId="77777777" w:rsidTr="00042373">
        <w:tc>
          <w:tcPr>
            <w:cnfStyle w:val="001000000000" w:firstRow="0" w:lastRow="0" w:firstColumn="1" w:lastColumn="0" w:oddVBand="0" w:evenVBand="0" w:oddHBand="0" w:evenHBand="0" w:firstRowFirstColumn="0" w:firstRowLastColumn="0" w:lastRowFirstColumn="0" w:lastRowLastColumn="0"/>
            <w:tcW w:w="1886" w:type="dxa"/>
          </w:tcPr>
          <w:p w14:paraId="146015B1" w14:textId="77777777" w:rsidR="00432876" w:rsidRPr="002C7415" w:rsidRDefault="00432876" w:rsidP="00042373">
            <w:pPr>
              <w:rPr>
                <w:rFonts w:cs="Arial"/>
                <w:b w:val="0"/>
                <w:bCs w:val="0"/>
                <w:szCs w:val="20"/>
              </w:rPr>
            </w:pPr>
            <w:r>
              <w:rPr>
                <w:rFonts w:cs="Arial"/>
                <w:szCs w:val="20"/>
              </w:rPr>
              <w:t>SLA Calculations Definitions</w:t>
            </w:r>
          </w:p>
        </w:tc>
        <w:tc>
          <w:tcPr>
            <w:tcW w:w="8900" w:type="dxa"/>
          </w:tcPr>
          <w:p w14:paraId="452CE198" w14:textId="77777777" w:rsidR="00432876" w:rsidRPr="002C7415" w:rsidRDefault="00432876" w:rsidP="00042373">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Non-Critical Outbound Interface: </w:t>
            </w:r>
            <w:r>
              <w:rPr>
                <w:rFonts w:cs="Arial"/>
                <w:szCs w:val="20"/>
              </w:rPr>
              <w:t>A non-critical outbound scheduled interface listed as defined by the Department, including any additional interfaces added by the Department following a Go-Live or Deployment.</w:t>
            </w:r>
          </w:p>
          <w:p w14:paraId="65D76A32" w14:textId="77777777" w:rsidR="00432876" w:rsidRPr="002C7415" w:rsidRDefault="00432876" w:rsidP="00042373">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Scheduled Execution: </w:t>
            </w:r>
            <w:r>
              <w:rPr>
                <w:rFonts w:cs="Arial"/>
                <w:szCs w:val="20"/>
              </w:rPr>
              <w:t>A planned run of an interface within the timeframe identified for that interface.</w:t>
            </w:r>
          </w:p>
          <w:p w14:paraId="1411E22C" w14:textId="77777777" w:rsidR="00432876" w:rsidRPr="002C7415" w:rsidRDefault="00432876" w:rsidP="00042373">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Overlapping Instance: </w:t>
            </w:r>
            <w:r>
              <w:rPr>
                <w:rFonts w:cs="Arial"/>
                <w:szCs w:val="20"/>
              </w:rPr>
              <w:t>A missed scheduled execution that is not successfully completed before the next scheduled execution of the same interface.</w:t>
            </w:r>
          </w:p>
        </w:tc>
      </w:tr>
      <w:tr w:rsidR="00432876" w:rsidRPr="002C7415" w14:paraId="5CB963BC" w14:textId="77777777" w:rsidTr="000423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5858ABD" w14:textId="77777777" w:rsidR="00432876" w:rsidRPr="002C7415" w:rsidRDefault="00432876" w:rsidP="00042373">
            <w:pPr>
              <w:rPr>
                <w:rFonts w:cs="Arial"/>
                <w:b w:val="0"/>
                <w:bCs w:val="0"/>
                <w:szCs w:val="20"/>
              </w:rPr>
            </w:pPr>
            <w:r>
              <w:rPr>
                <w:rFonts w:cs="Arial"/>
                <w:szCs w:val="20"/>
              </w:rPr>
              <w:t>Exclusions</w:t>
            </w:r>
          </w:p>
        </w:tc>
        <w:tc>
          <w:tcPr>
            <w:tcW w:w="8900" w:type="dxa"/>
          </w:tcPr>
          <w:p w14:paraId="4F286BB8" w14:textId="77777777" w:rsidR="00432876" w:rsidRPr="002C7415" w:rsidRDefault="00432876" w:rsidP="00042373">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a missed transmission if the external trading partner’s system was unavailable to receive the outbound file. The Contractor is responsible for demonstrating such an external failure with verifiable system logs (e.g., connection refusal, network errors).</w:t>
            </w:r>
          </w:p>
        </w:tc>
      </w:tr>
      <w:tr w:rsidR="00432876" w:rsidRPr="002C7415" w14:paraId="20D9FF1C" w14:textId="77777777" w:rsidTr="00042373">
        <w:tc>
          <w:tcPr>
            <w:cnfStyle w:val="001000000000" w:firstRow="0" w:lastRow="0" w:firstColumn="1" w:lastColumn="0" w:oddVBand="0" w:evenVBand="0" w:oddHBand="0" w:evenHBand="0" w:firstRowFirstColumn="0" w:firstRowLastColumn="0" w:lastRowFirstColumn="0" w:lastRowLastColumn="0"/>
            <w:tcW w:w="1886" w:type="dxa"/>
          </w:tcPr>
          <w:p w14:paraId="4F3400BB" w14:textId="77777777" w:rsidR="00432876" w:rsidRPr="002C7415" w:rsidRDefault="00432876" w:rsidP="00042373">
            <w:pPr>
              <w:rPr>
                <w:rFonts w:cs="Arial"/>
                <w:b w:val="0"/>
                <w:bCs w:val="0"/>
                <w:szCs w:val="20"/>
              </w:rPr>
            </w:pPr>
            <w:r>
              <w:rPr>
                <w:rFonts w:cs="Arial"/>
                <w:szCs w:val="20"/>
              </w:rPr>
              <w:t>Process to Compile and Report SLA</w:t>
            </w:r>
          </w:p>
        </w:tc>
        <w:tc>
          <w:tcPr>
            <w:tcW w:w="8900" w:type="dxa"/>
          </w:tcPr>
          <w:p w14:paraId="190CF32F" w14:textId="77777777" w:rsidR="00432876" w:rsidRPr="002C7415" w:rsidRDefault="00432876" w:rsidP="00042373">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capture, for every scheduled execution, at a minimum, the following documentation:  the interface name, the scheduled timeframe, the actual execution timestamp (or evidence of non-execution), the completion status, and the root cause for any non-compliance. These records are aggregated in the daily and weekly Operations Report, which identifies missed executions and overlapping instances, totals service credits accrued, and is made available to the Department for validation.</w:t>
            </w:r>
          </w:p>
        </w:tc>
      </w:tr>
      <w:tr w:rsidR="00432876" w:rsidRPr="002C7415" w14:paraId="62598DEA" w14:textId="77777777" w:rsidTr="000423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61C8F04" w14:textId="77777777" w:rsidR="00432876" w:rsidRPr="002C7415" w:rsidRDefault="00432876" w:rsidP="00042373">
            <w:pPr>
              <w:rPr>
                <w:rFonts w:cs="Arial"/>
                <w:b w:val="0"/>
                <w:bCs w:val="0"/>
                <w:szCs w:val="20"/>
              </w:rPr>
            </w:pPr>
            <w:r>
              <w:rPr>
                <w:rFonts w:cs="Arial"/>
                <w:szCs w:val="20"/>
              </w:rPr>
              <w:t>AMS Service Credit</w:t>
            </w:r>
          </w:p>
        </w:tc>
        <w:tc>
          <w:tcPr>
            <w:tcW w:w="8900" w:type="dxa"/>
          </w:tcPr>
          <w:p w14:paraId="70A76EFB" w14:textId="77777777" w:rsidR="00432876" w:rsidRPr="002C7415" w:rsidRDefault="00432876" w:rsidP="00042373">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comply with executing non-critical outbound interfaces results in a service credit of one hundred dollars ($100) per scheduled execution that is not executed within the timeframe identified, plus an additional one hundred dollars ($100) per overlapping instance per calendar day, or portion thereof, until the file is successfully received.</w:t>
            </w:r>
          </w:p>
        </w:tc>
      </w:tr>
      <w:tr w:rsidR="00432876" w:rsidRPr="002C7415" w14:paraId="47756983" w14:textId="77777777" w:rsidTr="00042373">
        <w:tc>
          <w:tcPr>
            <w:cnfStyle w:val="001000000000" w:firstRow="0" w:lastRow="0" w:firstColumn="1" w:lastColumn="0" w:oddVBand="0" w:evenVBand="0" w:oddHBand="0" w:evenHBand="0" w:firstRowFirstColumn="0" w:firstRowLastColumn="0" w:lastRowFirstColumn="0" w:lastRowLastColumn="0"/>
            <w:tcW w:w="1886" w:type="dxa"/>
          </w:tcPr>
          <w:p w14:paraId="20A6383B" w14:textId="2C2D8CD2" w:rsidR="00432876" w:rsidRPr="002C7415" w:rsidRDefault="00567333" w:rsidP="00042373">
            <w:pPr>
              <w:rPr>
                <w:rFonts w:cs="Arial"/>
                <w:b w:val="0"/>
                <w:bCs w:val="0"/>
                <w:szCs w:val="20"/>
              </w:rPr>
            </w:pPr>
            <w:r>
              <w:rPr>
                <w:rFonts w:cs="Arial"/>
                <w:szCs w:val="20"/>
              </w:rPr>
              <w:t>Converged E&amp;E System and AMS Service Credit</w:t>
            </w:r>
          </w:p>
        </w:tc>
        <w:tc>
          <w:tcPr>
            <w:tcW w:w="8900" w:type="dxa"/>
          </w:tcPr>
          <w:p w14:paraId="4A6522BF" w14:textId="281C9705" w:rsidR="00B07BE2" w:rsidRDefault="00B07BE2" w:rsidP="00042373">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Interface Delay (Initial Service Credit):</w:t>
            </w:r>
            <w:r>
              <w:rPr>
                <w:rFonts w:cs="Arial"/>
                <w:szCs w:val="20"/>
              </w:rPr>
              <w:t xml:space="preserve"> Failure to comply with executing non-critical outbound interfaces results in a service credit of one thousand dollars ($1,000) per scheduled execution that is not executed within the timeframe identified.</w:t>
            </w:r>
          </w:p>
          <w:p w14:paraId="23C7EA54" w14:textId="13E302D8" w:rsidR="00432876" w:rsidRPr="002C7415" w:rsidRDefault="0028222C" w:rsidP="00042373">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Overlapping Interface Delays (Additional Service Credit):</w:t>
            </w:r>
            <w:r>
              <w:rPr>
                <w:rFonts w:cs="Arial"/>
                <w:szCs w:val="20"/>
              </w:rPr>
              <w:t xml:space="preserve"> An additional one thousand dollars ($1,000) is applied per overlapping instance per calendar day, or portion thereof, until the file is successfully received.</w:t>
            </w:r>
          </w:p>
        </w:tc>
      </w:tr>
    </w:tbl>
    <w:p w14:paraId="6437D27E" w14:textId="14277754" w:rsidR="005562EB" w:rsidRPr="002C7415" w:rsidRDefault="005562EB" w:rsidP="00CB1E19">
      <w:pPr>
        <w:pStyle w:val="HeadingSLA"/>
      </w:pPr>
      <w:bookmarkStart w:id="140" w:name="_Toc233199188"/>
      <w:r>
        <w:t>Converged Eligibility and Enrollment System and Appeals Management System Performance Management: Integrated Response Times</w:t>
      </w:r>
      <w:bookmarkEnd w:id="139"/>
      <w:bookmarkEnd w:id="140"/>
    </w:p>
    <w:tbl>
      <w:tblPr>
        <w:tblStyle w:val="DOH-LeftHeader"/>
        <w:tblW w:w="4998" w:type="pct"/>
        <w:tblLayout w:type="fixed"/>
        <w:tblLook w:val="0480" w:firstRow="0" w:lastRow="0" w:firstColumn="1" w:lastColumn="0" w:noHBand="0" w:noVBand="1"/>
      </w:tblPr>
      <w:tblGrid>
        <w:gridCol w:w="1886"/>
        <w:gridCol w:w="8900"/>
      </w:tblGrid>
      <w:tr w:rsidR="005562EB" w:rsidRPr="002C7415" w14:paraId="16134990"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0C5DF9DA" w14:textId="77777777" w:rsidR="005562EB" w:rsidRPr="002C7415" w:rsidRDefault="005562EB" w:rsidP="002413AA">
            <w:pPr>
              <w:rPr>
                <w:rFonts w:cs="Arial"/>
                <w:b w:val="0"/>
                <w:bCs w:val="0"/>
                <w:szCs w:val="20"/>
              </w:rPr>
            </w:pPr>
            <w:r>
              <w:rPr>
                <w:rFonts w:cs="Arial"/>
                <w:szCs w:val="20"/>
              </w:rPr>
              <w:t>Purpose</w:t>
            </w:r>
          </w:p>
        </w:tc>
        <w:tc>
          <w:tcPr>
            <w:tcW w:w="8900" w:type="dxa"/>
          </w:tcPr>
          <w:p w14:paraId="0C46E030" w14:textId="0AAC04EA"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establishes performance standards for Integrated Response Times to ensure system responsiveness supports worker productivity and member experience. It holds the Contractor accountable for meeting two (2) distinct response time targets during operational hours.</w:t>
            </w:r>
          </w:p>
        </w:tc>
      </w:tr>
      <w:tr w:rsidR="005562EB" w:rsidRPr="002C7415" w14:paraId="63BDD0D1"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CF9CEA8" w14:textId="77777777" w:rsidR="005562EB" w:rsidRPr="002C7415" w:rsidRDefault="005562EB" w:rsidP="002413AA">
            <w:pPr>
              <w:rPr>
                <w:rFonts w:cs="Arial"/>
                <w:b w:val="0"/>
                <w:bCs w:val="0"/>
                <w:szCs w:val="20"/>
              </w:rPr>
            </w:pPr>
            <w:r>
              <w:rPr>
                <w:rFonts w:cs="Arial"/>
                <w:szCs w:val="20"/>
              </w:rPr>
              <w:lastRenderedPageBreak/>
              <w:t>Specification</w:t>
            </w:r>
          </w:p>
        </w:tc>
        <w:tc>
          <w:tcPr>
            <w:tcW w:w="8900" w:type="dxa"/>
          </w:tcPr>
          <w:p w14:paraId="167A0FD3" w14:textId="586BB52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Response times for all real-time transactions that require integration across multiple enterprise databases, third-party applications, Commercial Off-the-Shelf (COTS) software applications, or middleware/web service interactions must not be greater than two (2) seconds for at least ninety-nine percent (99.0%) of transactions, and must not be greater than five (5) seconds for at least ninety-nine point five percent (99.5%) of transactions. The Contractor must comply with these response time metrics during the agreed-upon operational hours recorded in the M&amp;O Manual. An hourly daily average is measured for the ninety-nine percent (99.0%) target, and an hourly maximum is measured for the ninety-nine point five percent (99.5%) target. Hourly measurements begin on the o’clock. Each failure for each designated time specification, for each hour, is considered an occurrence.</w:t>
            </w:r>
          </w:p>
        </w:tc>
      </w:tr>
      <w:tr w:rsidR="005562EB" w:rsidRPr="002C7415" w14:paraId="1397BCE1"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0400C07D" w14:textId="77777777" w:rsidR="005562EB" w:rsidRPr="002C7415" w:rsidRDefault="005562EB" w:rsidP="002413AA">
            <w:pPr>
              <w:rPr>
                <w:rFonts w:cs="Arial"/>
                <w:b w:val="0"/>
                <w:bCs w:val="0"/>
                <w:szCs w:val="20"/>
              </w:rPr>
            </w:pPr>
            <w:r>
              <w:rPr>
                <w:rFonts w:cs="Arial"/>
                <w:szCs w:val="20"/>
              </w:rPr>
              <w:t>Service Level</w:t>
            </w:r>
          </w:p>
        </w:tc>
        <w:tc>
          <w:tcPr>
            <w:tcW w:w="8900" w:type="dxa"/>
          </w:tcPr>
          <w:p w14:paraId="2BE537BB" w14:textId="6F99B0E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integrated response times: at least ninety-nine percent (99.0%) of transactions must complete within two (2) seconds, and at least ninety-nine point five percent (99.5%) of transactions must complete within five (5) seconds, during agreed upon operational hours.</w:t>
            </w:r>
          </w:p>
        </w:tc>
      </w:tr>
      <w:tr w:rsidR="005562EB" w:rsidRPr="002C7415" w14:paraId="50503090"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F35C334" w14:textId="77777777" w:rsidR="005562EB" w:rsidRPr="002C7415" w:rsidRDefault="005562EB" w:rsidP="002413AA">
            <w:pPr>
              <w:rPr>
                <w:rFonts w:cs="Arial"/>
                <w:b w:val="0"/>
                <w:bCs w:val="0"/>
                <w:szCs w:val="20"/>
              </w:rPr>
            </w:pPr>
            <w:r>
              <w:rPr>
                <w:rFonts w:cs="Arial"/>
                <w:szCs w:val="20"/>
              </w:rPr>
              <w:t>Notes</w:t>
            </w:r>
          </w:p>
        </w:tc>
        <w:tc>
          <w:tcPr>
            <w:tcW w:w="8900" w:type="dxa"/>
          </w:tcPr>
          <w:p w14:paraId="0C8E75F7" w14:textId="75DB3F0B"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Operational hours are defined in the M&amp;O Manual. The Contractor must continuously capture transaction-level response time telemetry and provide the Department with read-only access.</w:t>
            </w:r>
          </w:p>
        </w:tc>
      </w:tr>
      <w:tr w:rsidR="005562EB" w:rsidRPr="002C7415" w14:paraId="12EEC7F5"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2F63E81E"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26CC9EA4" w14:textId="2DF2BA22"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measured continuously during operational hours, with hourly aggregation. The Operations Report aggregates the details for these metrics on a daily and weekly basis. This SLA is in effect after the Transition-In Cutover and continues through the Transition-Out Cutover.</w:t>
            </w:r>
          </w:p>
        </w:tc>
      </w:tr>
      <w:tr w:rsidR="005562EB" w:rsidRPr="002C7415" w14:paraId="169805AB"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D79B554" w14:textId="77777777" w:rsidR="005562EB" w:rsidRPr="002C7415" w:rsidRDefault="005562EB" w:rsidP="002413AA">
            <w:pPr>
              <w:rPr>
                <w:rFonts w:cs="Arial"/>
                <w:szCs w:val="20"/>
              </w:rPr>
            </w:pPr>
            <w:r>
              <w:rPr>
                <w:rFonts w:cs="Arial"/>
                <w:szCs w:val="20"/>
              </w:rPr>
              <w:t>SLA Calculations</w:t>
            </w:r>
          </w:p>
        </w:tc>
        <w:tc>
          <w:tcPr>
            <w:tcW w:w="8900" w:type="dxa"/>
          </w:tcPr>
          <w:p w14:paraId="712E419D" w14:textId="7D66C9C9"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hour. For the ninety-nine percent (99.0%) target, the Contractor calculates the hourly daily average percentage of transactions completing within two (2) seconds. For the ninety-nine point five percent (99.5%) target, the Contractor calculates the hourly maximum response time and the percentage of transactions completing within five (5) seconds. Each hour during operational hours where either target is missed counts as one (1) occurrence under that specification. Service credits are assessed per occurrence per hour, or portion thereof.</w:t>
            </w:r>
          </w:p>
        </w:tc>
      </w:tr>
      <w:tr w:rsidR="005562EB" w:rsidRPr="002C7415" w14:paraId="44EE8305"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611E3EAC"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6057263F" w14:textId="50D681E2"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Integrated Response Times: </w:t>
            </w:r>
            <w:r>
              <w:rPr>
                <w:rFonts w:cs="Arial"/>
                <w:szCs w:val="20"/>
              </w:rPr>
              <w:t>Real-time transactions that require integration across multiple enterprise databases, third-party applications, COTS software applications, or middleware/web service interactions.</w:t>
            </w:r>
          </w:p>
          <w:p w14:paraId="0A632FF5" w14:textId="01575811"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Operational Hours: </w:t>
            </w:r>
            <w:r>
              <w:rPr>
                <w:rFonts w:cs="Arial"/>
                <w:szCs w:val="20"/>
              </w:rPr>
              <w:t>The agreed-upon operational hours recorded in the M&amp;O Manual.</w:t>
            </w:r>
          </w:p>
          <w:p w14:paraId="1A338127" w14:textId="5D9EB64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Occurrence: </w:t>
            </w:r>
            <w:r>
              <w:rPr>
                <w:rFonts w:cs="Arial"/>
                <w:szCs w:val="20"/>
              </w:rPr>
              <w:t>Each hour during operational hours in which a designated response time specification (the ninety-nine percent [99.0%] target or the ninety-nine point five percent [99.5% target]) is not met.</w:t>
            </w:r>
          </w:p>
        </w:tc>
      </w:tr>
      <w:tr w:rsidR="005562EB" w:rsidRPr="002C7415" w14:paraId="75837632"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D252618" w14:textId="77777777" w:rsidR="005562EB" w:rsidRPr="002C7415" w:rsidRDefault="005562EB" w:rsidP="002413AA">
            <w:pPr>
              <w:rPr>
                <w:rFonts w:cs="Arial"/>
                <w:b w:val="0"/>
                <w:bCs w:val="0"/>
                <w:szCs w:val="20"/>
              </w:rPr>
            </w:pPr>
            <w:r>
              <w:rPr>
                <w:rFonts w:cs="Arial"/>
                <w:szCs w:val="20"/>
              </w:rPr>
              <w:t>Exclusions</w:t>
            </w:r>
          </w:p>
        </w:tc>
        <w:tc>
          <w:tcPr>
            <w:tcW w:w="8900" w:type="dxa"/>
          </w:tcPr>
          <w:p w14:paraId="653320F0" w14:textId="670E36E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failures of third-party systems outside the Contractor’s managed boundary where the Contractor demonstrates with system records that the failure originated outside that boundary. The Contractor bears the burden of demonstrating any claimed exclusion.</w:t>
            </w:r>
          </w:p>
        </w:tc>
      </w:tr>
      <w:tr w:rsidR="005562EB" w:rsidRPr="002C7415" w14:paraId="32656699"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4F5A424A"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54AE00E6" w14:textId="25DDF2A9"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continuously capture transaction-level response time telemetry and ensure all performance calculations are validated by a qualified Business Analyst. Additionally, the Contractor must produce an Operations Report that aggregates these metrics on a daily and weekly basis. This report must detail the calculated compliance percentages against each target, the total service credits accrued, and an itemized list of every occurrence (including the specific hour, the target missed, and the root cause). The Contractor must also make all supporting raw telemetry accessible to the Department upon request.</w:t>
            </w:r>
          </w:p>
        </w:tc>
      </w:tr>
      <w:tr w:rsidR="005562EB" w:rsidRPr="002C7415" w14:paraId="715A63F4"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71DDCC3" w14:textId="2CC39FAE"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798C6C8F" w14:textId="1834C0B7" w:rsidR="00A40EA5" w:rsidRDefault="00F96958"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Two (2) Second Response Delay (Initial Service Credit):</w:t>
            </w:r>
            <w:r>
              <w:rPr>
                <w:rFonts w:cs="Arial"/>
                <w:szCs w:val="20"/>
              </w:rPr>
              <w:t xml:space="preserve"> Failure to comply with the ninety-nine percent (99.0%) response time metric results in a service credit of one thousand dollars ($1,000) per hour, or portion thereof, for each occurrence where response time does not comply with the specification. </w:t>
            </w:r>
          </w:p>
          <w:p w14:paraId="4FAB153B" w14:textId="2471DEAC" w:rsidR="005562EB" w:rsidRPr="002C7415" w:rsidRDefault="00897F94"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Five (5) Second Response Failure (Initial Service Credit):</w:t>
            </w:r>
            <w:r>
              <w:rPr>
                <w:rFonts w:cs="Arial"/>
                <w:szCs w:val="20"/>
              </w:rPr>
              <w:t xml:space="preserve"> Failure to comply with the ninety-nine point five percent (99.5%) response time metric results in a service credit of five thousand dollars ($5,000) per hour, or portion thereof, for each occurrence.</w:t>
            </w:r>
          </w:p>
        </w:tc>
      </w:tr>
    </w:tbl>
    <w:p w14:paraId="33B97A95" w14:textId="1D511170" w:rsidR="005562EB" w:rsidRPr="002C7415" w:rsidRDefault="005562EB" w:rsidP="00CB1E19">
      <w:pPr>
        <w:pStyle w:val="HeadingSLA"/>
      </w:pPr>
      <w:bookmarkStart w:id="141" w:name="_Toc230258240"/>
      <w:bookmarkStart w:id="142" w:name="_Toc233199189"/>
      <w:r>
        <w:lastRenderedPageBreak/>
        <w:t>Converged Eligibility and Enrollment System and Appeals Management System Service Continuity Management: Backup and Recovery</w:t>
      </w:r>
      <w:bookmarkEnd w:id="141"/>
      <w:bookmarkEnd w:id="142"/>
    </w:p>
    <w:tbl>
      <w:tblPr>
        <w:tblStyle w:val="DOH-LeftHeader"/>
        <w:tblW w:w="4998" w:type="pct"/>
        <w:tblLayout w:type="fixed"/>
        <w:tblLook w:val="0480" w:firstRow="0" w:lastRow="0" w:firstColumn="1" w:lastColumn="0" w:noHBand="0" w:noVBand="1"/>
      </w:tblPr>
      <w:tblGrid>
        <w:gridCol w:w="1886"/>
        <w:gridCol w:w="8900"/>
      </w:tblGrid>
      <w:tr w:rsidR="005562EB" w:rsidRPr="002C7415" w14:paraId="51D283A4"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57356D90" w14:textId="77777777" w:rsidR="005562EB" w:rsidRPr="002C7415" w:rsidRDefault="005562EB" w:rsidP="002413AA">
            <w:pPr>
              <w:rPr>
                <w:rFonts w:cs="Arial"/>
                <w:b w:val="0"/>
                <w:bCs w:val="0"/>
                <w:szCs w:val="20"/>
              </w:rPr>
            </w:pPr>
            <w:r>
              <w:rPr>
                <w:rFonts w:cs="Arial"/>
                <w:szCs w:val="20"/>
              </w:rPr>
              <w:t>Purpose</w:t>
            </w:r>
          </w:p>
        </w:tc>
        <w:tc>
          <w:tcPr>
            <w:tcW w:w="8900" w:type="dxa"/>
          </w:tcPr>
          <w:p w14:paraId="37B9111E" w14:textId="730A9B1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being ready to bring the system back when something goes wrong. Backups and replication exist for one reason: recovery. When the Department determines a recovery is needed, the clock starts: the Contractor has a tight, fixed window to actually begin restoring service before the State’s eligibility and enrollment operations are at risk.</w:t>
            </w:r>
          </w:p>
        </w:tc>
      </w:tr>
      <w:tr w:rsidR="005562EB" w:rsidRPr="002C7415" w14:paraId="2233BA9E"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410F8F5" w14:textId="77777777" w:rsidR="005562EB" w:rsidRPr="002C7415" w:rsidRDefault="005562EB" w:rsidP="002413AA">
            <w:pPr>
              <w:rPr>
                <w:rFonts w:cs="Arial"/>
                <w:b w:val="0"/>
                <w:bCs w:val="0"/>
                <w:szCs w:val="20"/>
              </w:rPr>
            </w:pPr>
            <w:r>
              <w:rPr>
                <w:rFonts w:cs="Arial"/>
                <w:szCs w:val="20"/>
              </w:rPr>
              <w:t>Specification</w:t>
            </w:r>
          </w:p>
        </w:tc>
        <w:tc>
          <w:tcPr>
            <w:tcW w:w="8900" w:type="dxa"/>
          </w:tcPr>
          <w:p w14:paraId="6A2B8254" w14:textId="640E9FC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ensure that all replicated or backed-up assets supporting the Converged E&amp;E System and AMS are recoverable and must begin actual recovery within sixty (60) minutes of the Department’s determination that a recovery is needed. In-scope assets include, at a minimum, all application code, application containers, Amazon Web Services (AWS) and Google Cloud Platform (GCP) infrastructure configuration, application endpoint certificates, application data and databases, and internal and external documentation. Recovery must be performed in compliance with the Contractor’s Department-approved Business Continuity and Disaster Recovery Plan and must satisfy the requirements of the Converged E&amp;E System and AMS Disaster Recovery – Recovery Point Objective (RPO) SLA. Each recovery event must be evidenced by Non-Repudiable Records that the Department can independently validate.</w:t>
            </w:r>
          </w:p>
        </w:tc>
      </w:tr>
      <w:tr w:rsidR="005562EB" w:rsidRPr="002C7415" w14:paraId="56F7A360"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358AFAAB" w14:textId="77777777" w:rsidR="005562EB" w:rsidRPr="002C7415" w:rsidRDefault="005562EB" w:rsidP="002413AA">
            <w:pPr>
              <w:rPr>
                <w:rFonts w:cs="Arial"/>
                <w:b w:val="0"/>
                <w:bCs w:val="0"/>
                <w:szCs w:val="20"/>
              </w:rPr>
            </w:pPr>
            <w:r>
              <w:rPr>
                <w:rFonts w:cs="Arial"/>
                <w:szCs w:val="20"/>
              </w:rPr>
              <w:t>Service Level</w:t>
            </w:r>
          </w:p>
        </w:tc>
        <w:tc>
          <w:tcPr>
            <w:tcW w:w="8900" w:type="dxa"/>
          </w:tcPr>
          <w:p w14:paraId="2FBF3F99" w14:textId="70F23F3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Recovery must be initiated within sixty (60) minutes of the Department’s determination that a recovery is needed, for one hundred percent (100%) of recovery requests.</w:t>
            </w:r>
          </w:p>
        </w:tc>
      </w:tr>
      <w:tr w:rsidR="005562EB" w:rsidRPr="002C7415" w14:paraId="57267CB9"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5438F0F" w14:textId="77777777" w:rsidR="005562EB" w:rsidRPr="002C7415" w:rsidRDefault="005562EB" w:rsidP="002413AA">
            <w:pPr>
              <w:rPr>
                <w:rFonts w:cs="Arial"/>
                <w:b w:val="0"/>
                <w:bCs w:val="0"/>
                <w:szCs w:val="20"/>
              </w:rPr>
            </w:pPr>
            <w:r>
              <w:rPr>
                <w:rFonts w:cs="Arial"/>
                <w:szCs w:val="20"/>
              </w:rPr>
              <w:t>Notes</w:t>
            </w:r>
          </w:p>
        </w:tc>
        <w:tc>
          <w:tcPr>
            <w:tcW w:w="8900" w:type="dxa"/>
          </w:tcPr>
          <w:p w14:paraId="3BD435F3" w14:textId="566749A5"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maintain a current, Department-approved Business Continuity and Disaster Recovery Plan and provide the Department with read-only access to backup status dashboards and recovery telemetry at all times. Backups and replicas must be testable and verifiable on demand. Any failed, partial, or missed backup or replication event must be reported to the Department per the timeframes set out in the M&amp;O Manual, with a documented root cause.</w:t>
            </w:r>
          </w:p>
        </w:tc>
      </w:tr>
      <w:tr w:rsidR="005562EB" w:rsidRPr="002C7415" w14:paraId="50442E8D"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7A8BB00D"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5BEDE3AC" w14:textId="42EDF9EC"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Each recovery event is reported within the timeframes set out in the M&amp;O Manual. The daily Production Status Report aggregates this data. This SLA is in effect after the Transition-In Cutover and continues through the Transition-Out Cutover.</w:t>
            </w:r>
          </w:p>
        </w:tc>
      </w:tr>
      <w:tr w:rsidR="005562EB" w:rsidRPr="002C7415" w14:paraId="358CA714"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2BAB4BB" w14:textId="77777777" w:rsidR="005562EB" w:rsidRPr="002C7415" w:rsidRDefault="005562EB" w:rsidP="002413AA">
            <w:pPr>
              <w:rPr>
                <w:rFonts w:cs="Arial"/>
                <w:szCs w:val="20"/>
              </w:rPr>
            </w:pPr>
            <w:r>
              <w:rPr>
                <w:rFonts w:cs="Arial"/>
                <w:szCs w:val="20"/>
              </w:rPr>
              <w:t>SLA Calculations</w:t>
            </w:r>
          </w:p>
        </w:tc>
        <w:tc>
          <w:tcPr>
            <w:tcW w:w="8900" w:type="dxa"/>
          </w:tcPr>
          <w:p w14:paraId="2FB45E26" w14:textId="273F436E"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recovery event. For each event, the Contractor records the timestamp of the Department’s recovery determination, the timestamp recovery actually begins, and the timestamp recovery completes. The start-time test is binary: either recovery began within sixty (60) minutes of the determination, or it did not. Service credits accrue per occurrence for missing the start window, and per hour (or portion thereof) that the recovery process exceeds sixty (60) minutes from the Department’s recovery request.</w:t>
            </w:r>
          </w:p>
        </w:tc>
      </w:tr>
      <w:tr w:rsidR="005562EB" w:rsidRPr="002C7415" w14:paraId="33319B95"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6FF28AD8"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46C585D7" w14:textId="5112ABF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Recovery: </w:t>
            </w:r>
            <w:r>
              <w:rPr>
                <w:rFonts w:cs="Arial"/>
                <w:szCs w:val="20"/>
              </w:rPr>
              <w:t>The actual restoration of replicated or backed-up assets to operational status, performed in accordance with the Business Continuity and Disaster Recovery Plan.</w:t>
            </w:r>
          </w:p>
          <w:p w14:paraId="22AC6F3C" w14:textId="66EFAA7A"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Determination: </w:t>
            </w:r>
            <w:r>
              <w:rPr>
                <w:rFonts w:cs="Arial"/>
                <w:szCs w:val="20"/>
              </w:rPr>
              <w:t>A formal communication from the Department directing the Contractor to perform a recovery, time-stamped by an independent time authority.</w:t>
            </w:r>
          </w:p>
          <w:p w14:paraId="4C341A60" w14:textId="04E237B0"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Business Continuity and Disaster Recovery Plan: </w:t>
            </w:r>
            <w:r>
              <w:rPr>
                <w:rFonts w:cs="Arial"/>
                <w:szCs w:val="20"/>
              </w:rPr>
              <w:t>Includes the documented, Department-approved plan that describes the steps, sequencing, and timing for recovering each class of replicated or backed-up asset.</w:t>
            </w:r>
          </w:p>
          <w:p w14:paraId="05E4BCF4" w14:textId="0EC9B2C9"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Non-Repudiable Records: </w:t>
            </w:r>
            <w:r>
              <w:rPr>
                <w:rFonts w:cs="Arial"/>
                <w:szCs w:val="20"/>
              </w:rPr>
              <w:t>A log entry or system-generated artifact that is tamper-evident, carries an immutable timestamp from a time authority independent of the Contractor’s control, maintains an unbroken chain of custody, and is independently accessible to the Department.</w:t>
            </w:r>
          </w:p>
        </w:tc>
      </w:tr>
      <w:tr w:rsidR="005562EB" w:rsidRPr="002C7415" w14:paraId="38126B36"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12A6CC9" w14:textId="77777777" w:rsidR="005562EB" w:rsidRPr="002C7415" w:rsidRDefault="005562EB" w:rsidP="002413AA">
            <w:pPr>
              <w:rPr>
                <w:rFonts w:cs="Arial"/>
                <w:b w:val="0"/>
                <w:bCs w:val="0"/>
                <w:szCs w:val="20"/>
              </w:rPr>
            </w:pPr>
            <w:r>
              <w:rPr>
                <w:rFonts w:cs="Arial"/>
                <w:szCs w:val="20"/>
              </w:rPr>
              <w:t>Exclusions</w:t>
            </w:r>
          </w:p>
        </w:tc>
        <w:tc>
          <w:tcPr>
            <w:tcW w:w="8900" w:type="dxa"/>
          </w:tcPr>
          <w:p w14:paraId="239C23B4" w14:textId="3E4A418E"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delays caused by the Department’s failure to provide a clear, unambiguous recovery determination. The Contractor is responsible for demonstrating, via Non-Repudiable Records, that any claimed exclusion applies.</w:t>
            </w:r>
          </w:p>
        </w:tc>
      </w:tr>
      <w:tr w:rsidR="005562EB" w:rsidRPr="002C7415" w14:paraId="47BF52CF"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35A7C0A6"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7F966576" w14:textId="5ED76AC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For each recovery event, the Contractor must capture and retain, at a minimum, the following documentation: the timestamp of the Department’s determination; the timestamp recovery began; the timestamp recovery completed; the assets recovered; the version of the Business Continuity </w:t>
            </w:r>
            <w:r>
              <w:rPr>
                <w:rFonts w:cs="Arial"/>
                <w:szCs w:val="20"/>
              </w:rPr>
              <w:lastRenderedPageBreak/>
              <w:t>and Disaster Recovery Plan applied; any deviations from the plan; and the root cause of any deviation. The daily Production Status Report aggregates all events for the calendar month, identifies any non-compliant occurrences, totals the credit-eligible hours, and lists corrective actions. Required artifacts include the Business Continuity and Disaster Recovery Plan, recovery event logs, and supporting telemetry. All raw event records must be available to the Department on request.</w:t>
            </w:r>
          </w:p>
        </w:tc>
      </w:tr>
      <w:tr w:rsidR="005562EB" w:rsidRPr="002C7415" w14:paraId="5B978BD8"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1D89B41" w14:textId="35855508" w:rsidR="005562EB" w:rsidRPr="002C7415" w:rsidRDefault="00567333" w:rsidP="002413AA">
            <w:pPr>
              <w:rPr>
                <w:rFonts w:cs="Arial"/>
                <w:b w:val="0"/>
                <w:bCs w:val="0"/>
                <w:szCs w:val="20"/>
              </w:rPr>
            </w:pPr>
            <w:r>
              <w:rPr>
                <w:rFonts w:cs="Arial"/>
                <w:szCs w:val="20"/>
              </w:rPr>
              <w:lastRenderedPageBreak/>
              <w:t>Converged E&amp;E System and AMS Service Credit</w:t>
            </w:r>
          </w:p>
        </w:tc>
        <w:tc>
          <w:tcPr>
            <w:tcW w:w="8900" w:type="dxa"/>
          </w:tcPr>
          <w:p w14:paraId="56806511" w14:textId="571BD265" w:rsidR="002D03A9" w:rsidRDefault="00897F94"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System Restore Delay (Initial Service Credit):</w:t>
            </w:r>
            <w:r>
              <w:rPr>
                <w:rFonts w:cs="Arial"/>
                <w:szCs w:val="20"/>
              </w:rPr>
              <w:t xml:space="preserve"> Failure to comply will result in a service credit of ten thousand dollars ($10,000) for each occurrence where recovery is not initiated within sixty (60) minutes of the Department’s determination as defined in the Business Continuity and Disaster Recovery Plan.</w:t>
            </w:r>
          </w:p>
          <w:p w14:paraId="3DC8CE1A" w14:textId="3B6440BF" w:rsidR="005562EB" w:rsidRPr="002C7415" w:rsidRDefault="002D03A9"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Excessive Delay (Additional Service Credit):</w:t>
            </w:r>
            <w:r>
              <w:rPr>
                <w:rFonts w:cs="Arial"/>
                <w:szCs w:val="20"/>
              </w:rPr>
              <w:t xml:space="preserve"> An additional service credit of five thousand dollars ($5,000) will apply, per instance per hour, or portion thereof, that the recovery process exceeds sixty (60) minutes from the Department’s recovery request.</w:t>
            </w:r>
          </w:p>
        </w:tc>
      </w:tr>
    </w:tbl>
    <w:p w14:paraId="5FDCB37C" w14:textId="015604EC" w:rsidR="005562EB" w:rsidRPr="002C7415" w:rsidRDefault="005562EB" w:rsidP="00CB1E19">
      <w:pPr>
        <w:pStyle w:val="HeadingSLA"/>
      </w:pPr>
      <w:bookmarkStart w:id="143" w:name="_Toc230258241"/>
      <w:bookmarkStart w:id="144" w:name="_Toc233199190"/>
      <w:r>
        <w:t>Disaster Recovery Testing</w:t>
      </w:r>
      <w:bookmarkEnd w:id="143"/>
      <w:bookmarkEnd w:id="144"/>
    </w:p>
    <w:tbl>
      <w:tblPr>
        <w:tblStyle w:val="DOH-LeftHeader"/>
        <w:tblW w:w="4998" w:type="pct"/>
        <w:tblLayout w:type="fixed"/>
        <w:tblLook w:val="0480" w:firstRow="0" w:lastRow="0" w:firstColumn="1" w:lastColumn="0" w:noHBand="0" w:noVBand="1"/>
      </w:tblPr>
      <w:tblGrid>
        <w:gridCol w:w="1886"/>
        <w:gridCol w:w="8900"/>
      </w:tblGrid>
      <w:tr w:rsidR="005562EB" w:rsidRPr="002C7415" w14:paraId="3422D5C9"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2DFD24F6" w14:textId="77777777" w:rsidR="005562EB" w:rsidRPr="002C7415" w:rsidRDefault="005562EB" w:rsidP="002413AA">
            <w:pPr>
              <w:rPr>
                <w:rFonts w:cs="Arial"/>
                <w:b w:val="0"/>
                <w:bCs w:val="0"/>
                <w:szCs w:val="20"/>
              </w:rPr>
            </w:pPr>
            <w:r>
              <w:rPr>
                <w:rFonts w:cs="Arial"/>
                <w:szCs w:val="20"/>
              </w:rPr>
              <w:t>Purpose</w:t>
            </w:r>
          </w:p>
        </w:tc>
        <w:tc>
          <w:tcPr>
            <w:tcW w:w="8900" w:type="dxa"/>
          </w:tcPr>
          <w:p w14:paraId="637FAD28" w14:textId="7F321802"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proving, every year and in advance, that the system can survive a disaster. Plans on paper are not enough; they must be exercised. This SLA requires the Contractor to actually run a non-production-impacting Disaster Recovery test each year and demonstrate that the documented recovery procedures will work when they are needed.</w:t>
            </w:r>
          </w:p>
        </w:tc>
      </w:tr>
      <w:tr w:rsidR="005562EB" w:rsidRPr="002C7415" w14:paraId="5D9A2D00"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7705C55" w14:textId="77777777" w:rsidR="005562EB" w:rsidRPr="002C7415" w:rsidRDefault="005562EB" w:rsidP="002413AA">
            <w:pPr>
              <w:rPr>
                <w:rFonts w:cs="Arial"/>
                <w:b w:val="0"/>
                <w:bCs w:val="0"/>
                <w:szCs w:val="20"/>
              </w:rPr>
            </w:pPr>
            <w:r>
              <w:rPr>
                <w:rFonts w:cs="Arial"/>
                <w:szCs w:val="20"/>
              </w:rPr>
              <w:t>Specification</w:t>
            </w:r>
          </w:p>
        </w:tc>
        <w:tc>
          <w:tcPr>
            <w:tcW w:w="8900" w:type="dxa"/>
          </w:tcPr>
          <w:p w14:paraId="6C92FA53" w14:textId="085EBB85"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Subsequent to the establishment of plans, procedures, and infrastructure to recover from a disaster and resume daily operations with minimal downtime, the Contractor must perform annual Disaster Recovery testing. The annual test must validate the operational viability of recovery in the event of a production site failure, must exercise all components of the Disaster Recovery plan that fall within the Contractor’s managed boundary, and must be conducted in a manner that is non-production-impacting. The test must satisfy the Disaster Recovery test objectives established by the Department.</w:t>
            </w:r>
          </w:p>
        </w:tc>
      </w:tr>
      <w:tr w:rsidR="005562EB" w:rsidRPr="002C7415" w14:paraId="53A02985"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7EBD33BC" w14:textId="77777777" w:rsidR="005562EB" w:rsidRPr="002C7415" w:rsidRDefault="005562EB" w:rsidP="002413AA">
            <w:pPr>
              <w:rPr>
                <w:rFonts w:cs="Arial"/>
                <w:b w:val="0"/>
                <w:bCs w:val="0"/>
                <w:szCs w:val="20"/>
              </w:rPr>
            </w:pPr>
            <w:r>
              <w:rPr>
                <w:rFonts w:cs="Arial"/>
                <w:szCs w:val="20"/>
              </w:rPr>
              <w:t>Service Level</w:t>
            </w:r>
          </w:p>
        </w:tc>
        <w:tc>
          <w:tcPr>
            <w:tcW w:w="8900" w:type="dxa"/>
          </w:tcPr>
          <w:p w14:paraId="3B76B23A" w14:textId="5794B3CF"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(1) Disaster Recovery test, satisfying all Department-defined Disaster Recovery test objectives and producing no production impact, must be successfully completed during each contract year.</w:t>
            </w:r>
          </w:p>
        </w:tc>
      </w:tr>
      <w:tr w:rsidR="005562EB" w:rsidRPr="002C7415" w14:paraId="345FAD55"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265B3F9" w14:textId="77777777" w:rsidR="005562EB" w:rsidRPr="002C7415" w:rsidRDefault="005562EB" w:rsidP="002413AA">
            <w:pPr>
              <w:rPr>
                <w:rFonts w:cs="Arial"/>
                <w:b w:val="0"/>
                <w:bCs w:val="0"/>
                <w:szCs w:val="20"/>
              </w:rPr>
            </w:pPr>
            <w:r>
              <w:rPr>
                <w:rFonts w:cs="Arial"/>
                <w:szCs w:val="20"/>
              </w:rPr>
              <w:t>Notes</w:t>
            </w:r>
          </w:p>
        </w:tc>
        <w:tc>
          <w:tcPr>
            <w:tcW w:w="8900" w:type="dxa"/>
          </w:tcPr>
          <w:p w14:paraId="52B63D6F"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 defines the Disaster Recovery test objectives. As a part of the Business Continuity and Disaster Recovery Plan, the Contractor must submit the Exercise and Testing Schedule to the Department in advance for review. Test results, including any deviations from objectives and any production impact, must be documented and provided to the Department within the timeframes set out in the Business Continuity and Disaster Recovery Plan. The Contractor must maintain a current Business Continuity and Disaster Recovery Plan at all times and must update it following each test based on lessons learned.</w:t>
            </w:r>
          </w:p>
        </w:tc>
      </w:tr>
      <w:tr w:rsidR="005562EB" w:rsidRPr="002C7415" w14:paraId="16306B86"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55895FD5"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122E52F0" w14:textId="63AA942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Annual test execution. Test results are submitted to the Department within the timeframes defined in the Business Continuity and Disaster Recovery Plan following each test. This SLA is in effect after the Transition-In Cutover and continues through the Transition-Out Cutover.</w:t>
            </w:r>
          </w:p>
        </w:tc>
      </w:tr>
      <w:tr w:rsidR="005562EB" w:rsidRPr="002C7415" w14:paraId="2E041A2F"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A99BF35" w14:textId="77777777" w:rsidR="005562EB" w:rsidRPr="002C7415" w:rsidRDefault="005562EB" w:rsidP="002413AA">
            <w:pPr>
              <w:rPr>
                <w:rFonts w:cs="Arial"/>
                <w:szCs w:val="20"/>
              </w:rPr>
            </w:pPr>
            <w:r>
              <w:rPr>
                <w:rFonts w:cs="Arial"/>
                <w:szCs w:val="20"/>
              </w:rPr>
              <w:t>SLA Calculations</w:t>
            </w:r>
          </w:p>
        </w:tc>
        <w:tc>
          <w:tcPr>
            <w:tcW w:w="8900" w:type="dxa"/>
          </w:tcPr>
          <w:p w14:paraId="574931B0" w14:textId="11B88295"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at the contract-year level. A test is “successful” if it satisfies all Department-defined Disaster Recovery test objectives and is non-production-impacting. A failed test triggers a thirty (30) calendar day remediation window during which the Contractor must complete a Corrective Action Plan and execute a follow-up test. Each failed follow-up test within the remediation window beyond the first failure contributes a per-occurrence credit. If the contract year ends without a successful annual Disaster Recovery test, the year-end credit applies.</w:t>
            </w:r>
          </w:p>
        </w:tc>
      </w:tr>
      <w:tr w:rsidR="005562EB" w:rsidRPr="002C7415" w14:paraId="7D613392"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6E6D5078"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72B4EBCD" w14:textId="2D20EB8C"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Annual Disaster Recovery Test: </w:t>
            </w:r>
            <w:r>
              <w:rPr>
                <w:rFonts w:cs="Arial"/>
                <w:szCs w:val="20"/>
              </w:rPr>
              <w:t>A non-production-impacting test, performed once per contract year, that exercises the documented Business Continuity and Disaster Recovery Plan against Department-defined test objectives.</w:t>
            </w:r>
          </w:p>
          <w:p w14:paraId="21C6FA01"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lastRenderedPageBreak/>
              <w:t xml:space="preserve">Disaster Recovery Test Objectives: </w:t>
            </w:r>
            <w:r>
              <w:rPr>
                <w:rFonts w:cs="Arial"/>
                <w:szCs w:val="20"/>
              </w:rPr>
              <w:t>The success criteria for the test, defined and approved by the Department in advance of test execution.</w:t>
            </w:r>
          </w:p>
          <w:p w14:paraId="6971CCCE" w14:textId="0958D8B5"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Corrective Action Plan: </w:t>
            </w:r>
            <w:r>
              <w:rPr>
                <w:rFonts w:cs="Arial"/>
                <w:szCs w:val="20"/>
              </w:rPr>
              <w:t>A documented corrective plan, approved by the Department, that addresses the failure modes identified in a failed test and defines the path to a successful follow-up test.</w:t>
            </w:r>
          </w:p>
          <w:p w14:paraId="4DCAEFE0"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Production Impact: </w:t>
            </w:r>
            <w:r>
              <w:rPr>
                <w:rFonts w:cs="Arial"/>
                <w:szCs w:val="20"/>
              </w:rPr>
              <w:t>Any unplanned degradation, unavailability, or change to the live Production Environment that is observable by End Users or detectable in production telemetry as a consequence of the test.</w:t>
            </w:r>
          </w:p>
        </w:tc>
      </w:tr>
      <w:tr w:rsidR="005562EB" w:rsidRPr="002C7415" w14:paraId="48AEEDE2"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5046805" w14:textId="77777777" w:rsidR="005562EB" w:rsidRPr="002C7415" w:rsidRDefault="005562EB" w:rsidP="002413AA">
            <w:pPr>
              <w:rPr>
                <w:rFonts w:cs="Arial"/>
                <w:b w:val="0"/>
                <w:bCs w:val="0"/>
                <w:szCs w:val="20"/>
              </w:rPr>
            </w:pPr>
            <w:r>
              <w:rPr>
                <w:rFonts w:cs="Arial"/>
                <w:szCs w:val="20"/>
              </w:rPr>
              <w:lastRenderedPageBreak/>
              <w:t>Exclusions</w:t>
            </w:r>
          </w:p>
        </w:tc>
        <w:tc>
          <w:tcPr>
            <w:tcW w:w="8900" w:type="dxa"/>
          </w:tcPr>
          <w:p w14:paraId="65174495" w14:textId="4F330A09"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test failures caused by Department-directed scope changes introduced after test execution begins. The Contractor is responsible for demonstrating any claimed exclusion.</w:t>
            </w:r>
          </w:p>
        </w:tc>
      </w:tr>
      <w:tr w:rsidR="005562EB" w:rsidRPr="002C7415" w14:paraId="4DEF35AF"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79E8C433"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71BBD535" w14:textId="48CD00BD"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Disaster Recovery test, the Contractor must capture and retain: the approved Business Continuity and Disaster Recovery Plan; the test execution log with timestamps; the pass/fail outcome against each Disaster Recovery test objective; any production impacts observed; and, if the test fails, the Corrective Action Plan and the execution record of the follow-up test. For each follow-up test conducted within a remediation window, the same capture is repeated. The Test Results Report identifies whether the contract year’s testing requirement was satisfied, lists every test attempt during the year, and totals any service credits accrued. All artifacts must be available to the Department on request.</w:t>
            </w:r>
          </w:p>
        </w:tc>
      </w:tr>
      <w:tr w:rsidR="005562EB" w:rsidRPr="002C7415" w14:paraId="42825C10"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CEB55E9" w14:textId="77777777" w:rsidR="005562EB" w:rsidRPr="002C7415" w:rsidRDefault="005562EB" w:rsidP="002413AA">
            <w:pPr>
              <w:rPr>
                <w:rFonts w:cs="Arial"/>
                <w:b w:val="0"/>
                <w:bCs w:val="0"/>
                <w:szCs w:val="20"/>
              </w:rPr>
            </w:pPr>
            <w:r>
              <w:rPr>
                <w:rFonts w:cs="Arial"/>
                <w:szCs w:val="20"/>
              </w:rPr>
              <w:t>AMS Service Credit</w:t>
            </w:r>
          </w:p>
        </w:tc>
        <w:tc>
          <w:tcPr>
            <w:tcW w:w="8900" w:type="dxa"/>
          </w:tcPr>
          <w:p w14:paraId="1B4BB599" w14:textId="5E68A308"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first failed annual Disaster Recovery test attempt incurs no service credit (zero dollars [$0]). Following any failed test, the Contractor must complete a Corrective Action Plan and conduct a follow-up Disaster Recovery test within thirty (30) calendar days of the failed attempt; failure to complete the Corrective Action Plan within that thirty (30) day period is treated as an additional failed test attempt. Each failed Disaster Recovery test attempt within the thirty (30) day remediation window, subsequent to the first failed test, incurs a service credit of one thousand two hundred fifty dollars ($1,250). Failure to successfully complete the annual Disaster Recovery testing for the contract year results in a service credit of ten thousand dollars ($10,000).</w:t>
            </w:r>
          </w:p>
        </w:tc>
      </w:tr>
      <w:tr w:rsidR="005562EB" w:rsidRPr="002C7415" w14:paraId="7DD8CDAB"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1E12B578" w14:textId="1014BE53"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1BCEADF3" w14:textId="77777777" w:rsidR="00042373"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The first failed annual Disaster Recovery test attempt incurs no service credit (zero dollars [$0]). </w:t>
            </w:r>
          </w:p>
          <w:p w14:paraId="446ADA7E" w14:textId="77777777" w:rsidR="00042373"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Following any failed test, the Contractor must complete a Corrective Action Plan and conduct a follow-up Disaster Recovery test within thirty (30) calendar days of the failed attempt; failure to complete the Corrective Action Plan within that thirty (30) day period is treated as an additional failed test attempt.</w:t>
            </w:r>
          </w:p>
          <w:p w14:paraId="24B0D2F5" w14:textId="37D5BF95" w:rsidR="00042373" w:rsidRDefault="00BF2ED7"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Incomplete Disaster Recovery Test (Initial Service Credit):</w:t>
            </w:r>
            <w:r>
              <w:rPr>
                <w:rFonts w:cs="Arial"/>
                <w:szCs w:val="20"/>
              </w:rPr>
              <w:t xml:space="preserve"> Each failed Disaster Recovery test attempt within the thirty (30) day remediation window, subsequent to the first failed test, incurs a service credit of twenty-five thousand dollars ($25,000).</w:t>
            </w:r>
          </w:p>
          <w:p w14:paraId="4EC88666" w14:textId="61D3EDFA" w:rsidR="005562EB" w:rsidRPr="002C7415" w:rsidRDefault="00BF2ED7"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Missed Annual Disaster Recovery (Initial Service Credit):</w:t>
            </w:r>
            <w:r>
              <w:rPr>
                <w:rFonts w:cs="Arial"/>
                <w:szCs w:val="20"/>
              </w:rPr>
              <w:t xml:space="preserve"> Failure to successfully complete the annual Disaster Recovery testing for the contract year results in a service credit of two hundred fifty thousand dollars ($250,000).</w:t>
            </w:r>
          </w:p>
        </w:tc>
      </w:tr>
    </w:tbl>
    <w:p w14:paraId="639C9951" w14:textId="7C33248A" w:rsidR="0002106C" w:rsidRPr="002C7415" w:rsidRDefault="0002106C" w:rsidP="0002106C">
      <w:pPr>
        <w:pStyle w:val="HeadingSLA"/>
      </w:pPr>
      <w:bookmarkStart w:id="145" w:name="_Toc230258247"/>
      <w:bookmarkStart w:id="146" w:name="_Toc233199191"/>
      <w:bookmarkStart w:id="147" w:name="_Toc230258242"/>
      <w:r>
        <w:t>Production Defects: Critical</w:t>
      </w:r>
      <w:bookmarkEnd w:id="145"/>
      <w:bookmarkEnd w:id="146"/>
    </w:p>
    <w:tbl>
      <w:tblPr>
        <w:tblStyle w:val="DOH-LeftHeader"/>
        <w:tblW w:w="4998" w:type="pct"/>
        <w:tblLayout w:type="fixed"/>
        <w:tblLook w:val="0480" w:firstRow="0" w:lastRow="0" w:firstColumn="1" w:lastColumn="0" w:noHBand="0" w:noVBand="1"/>
      </w:tblPr>
      <w:tblGrid>
        <w:gridCol w:w="1886"/>
        <w:gridCol w:w="8900"/>
      </w:tblGrid>
      <w:tr w:rsidR="0002106C" w:rsidRPr="002C7415" w14:paraId="69EC8F6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9B2B543" w14:textId="77777777" w:rsidR="0002106C" w:rsidRPr="002C7415" w:rsidRDefault="0002106C" w:rsidP="00DB06F0">
            <w:pPr>
              <w:rPr>
                <w:rFonts w:cs="Arial"/>
                <w:b w:val="0"/>
                <w:bCs w:val="0"/>
                <w:szCs w:val="20"/>
              </w:rPr>
            </w:pPr>
            <w:r>
              <w:rPr>
                <w:rFonts w:cs="Arial"/>
                <w:szCs w:val="20"/>
              </w:rPr>
              <w:t>Purpose</w:t>
            </w:r>
          </w:p>
        </w:tc>
        <w:tc>
          <w:tcPr>
            <w:tcW w:w="8900" w:type="dxa"/>
          </w:tcPr>
          <w:p w14:paraId="27E07B72"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quickly restoring production when a Critical defect takes the system down or breaks a core eligibility, enrollment, or back-office process. By definition there is no acceptable workaround for a Critical defect, so the only remedy is fast resolution. This SLA enforces a forty-eight (48) hour clock once triage closes.</w:t>
            </w:r>
          </w:p>
        </w:tc>
      </w:tr>
      <w:tr w:rsidR="0002106C" w:rsidRPr="002C7415" w14:paraId="31FC12B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346CEE5" w14:textId="77777777" w:rsidR="0002106C" w:rsidRPr="002C7415" w:rsidRDefault="0002106C" w:rsidP="00DB06F0">
            <w:pPr>
              <w:rPr>
                <w:rFonts w:cs="Arial"/>
                <w:b w:val="0"/>
                <w:bCs w:val="0"/>
                <w:szCs w:val="20"/>
              </w:rPr>
            </w:pPr>
            <w:r>
              <w:rPr>
                <w:rFonts w:cs="Arial"/>
                <w:szCs w:val="20"/>
              </w:rPr>
              <w:t>Specification</w:t>
            </w:r>
          </w:p>
        </w:tc>
        <w:tc>
          <w:tcPr>
            <w:tcW w:w="8900" w:type="dxa"/>
          </w:tcPr>
          <w:p w14:paraId="3E7BE48F" w14:textId="12376E0F"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A Critical defect is a significant issue or flaw in the production environment that results in the system being unavailable or in failure of a critical business process (such as eligibility, enrollment, or back office), and for which there is no systemic or Department-acceptable manual workaround. Refer to the “Instructions” tab, </w:t>
            </w:r>
            <w:r>
              <w:rPr>
                <w:rFonts w:cs="Arial"/>
                <w:b/>
                <w:bCs/>
                <w:szCs w:val="20"/>
              </w:rPr>
              <w:fldChar w:fldCharType="begin"/>
            </w:r>
            <w:r>
              <w:rPr>
                <w:rFonts w:cs="Arial"/>
                <w:b/>
                <w:bCs/>
                <w:szCs w:val="20"/>
              </w:rPr>
              <w:instrText xml:space="preserve"> REF _Ref233191304 \h  \* MERGEFORMAT </w:instrText>
            </w:r>
            <w:r>
              <w:rPr>
                <w:rFonts w:cs="Arial"/>
                <w:b/>
                <w:bCs/>
                <w:szCs w:val="20"/>
              </w:rPr>
            </w:r>
            <w:r>
              <w:rPr>
                <w:rFonts w:cs="Arial"/>
                <w:b/>
                <w:bCs/>
                <w:szCs w:val="20"/>
              </w:rPr>
              <w:fldChar w:fldCharType="separate"/>
            </w:r>
            <w:r>
              <w:rPr>
                <w:b/>
                <w:bCs/>
              </w:rPr>
              <w:t xml:space="preserve">Table </w:t>
            </w:r>
            <w:r>
              <w:rPr>
                <w:b/>
                <w:bCs/>
                <w:noProof/>
              </w:rPr>
              <w:t>2 – Priority Level for Issues/Defects with Converged E&amp;E System and AMS Functions</w:t>
            </w:r>
            <w:r>
              <w:rPr>
                <w:rFonts w:cs="Arial"/>
                <w:b/>
                <w:bCs/>
                <w:szCs w:val="20"/>
              </w:rPr>
              <w:fldChar w:fldCharType="end"/>
            </w:r>
            <w:r>
              <w:rPr>
                <w:rFonts w:cs="Arial"/>
                <w:szCs w:val="20"/>
              </w:rPr>
              <w:t xml:space="preserve">. Critical Production defects must be resolved within forty-eight (48) </w:t>
            </w:r>
            <w:r>
              <w:rPr>
                <w:rFonts w:cs="Arial"/>
                <w:szCs w:val="20"/>
              </w:rPr>
              <w:lastRenderedPageBreak/>
              <w:t>hours after exiting triage (refer to SLA 68 for Production Defects – Triage), or a mutually agreed-upon resolution timeframe, whichever is greater, and must be assigned to a Contractor resource for remediation. Upon logging a Critical defect, the Contractor must notify the Department OHIP CIO and the Contractor’s Account Executive for agreement; if either is unavailable, escalation must be made to their designees. The Department and the Contractor must mutually agree to the designated severity level via the triage process; if agreement cannot be reached during triage, final determination rests solely with the Department OHIP CIO or designee.</w:t>
            </w:r>
          </w:p>
        </w:tc>
      </w:tr>
      <w:tr w:rsidR="0002106C" w:rsidRPr="002C7415" w14:paraId="163BAE0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E6715B4" w14:textId="77777777" w:rsidR="0002106C" w:rsidRPr="002C7415" w:rsidRDefault="0002106C" w:rsidP="00DB06F0">
            <w:pPr>
              <w:rPr>
                <w:rFonts w:cs="Arial"/>
                <w:b w:val="0"/>
                <w:bCs w:val="0"/>
                <w:szCs w:val="20"/>
              </w:rPr>
            </w:pPr>
            <w:r>
              <w:rPr>
                <w:rFonts w:cs="Arial"/>
                <w:szCs w:val="20"/>
              </w:rPr>
              <w:lastRenderedPageBreak/>
              <w:t>Service Level</w:t>
            </w:r>
          </w:p>
        </w:tc>
        <w:tc>
          <w:tcPr>
            <w:tcW w:w="8900" w:type="dxa"/>
          </w:tcPr>
          <w:p w14:paraId="43B873B5"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Critical Production defects must be resolved within forty-eight (48) hours after exiting triage, or within the mutually agreed-upon resolution timeframe, whichever is greater.</w:t>
            </w:r>
          </w:p>
        </w:tc>
      </w:tr>
      <w:tr w:rsidR="0002106C" w:rsidRPr="002C7415" w14:paraId="1F290C49"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A8F78F8" w14:textId="77777777" w:rsidR="0002106C" w:rsidRPr="002C7415" w:rsidRDefault="0002106C" w:rsidP="00DB06F0">
            <w:pPr>
              <w:rPr>
                <w:rFonts w:cs="Arial"/>
                <w:b w:val="0"/>
                <w:bCs w:val="0"/>
                <w:szCs w:val="20"/>
              </w:rPr>
            </w:pPr>
            <w:r>
              <w:rPr>
                <w:rFonts w:cs="Arial"/>
                <w:szCs w:val="20"/>
              </w:rPr>
              <w:t>Notes</w:t>
            </w:r>
          </w:p>
        </w:tc>
        <w:tc>
          <w:tcPr>
            <w:tcW w:w="8900" w:type="dxa"/>
          </w:tcPr>
          <w:p w14:paraId="3D206755"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Defect severity is determined collaboratively in triage; final determination rests with the Department OHIP CIO or designee. The Contractor must maintain Critical defect records in the Department-approved ticketing system with all required timestamps.</w:t>
            </w:r>
          </w:p>
        </w:tc>
      </w:tr>
      <w:tr w:rsidR="0002106C" w:rsidRPr="002C7415" w14:paraId="570230C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4C90F49" w14:textId="77777777" w:rsidR="0002106C" w:rsidRPr="002C7415" w:rsidRDefault="0002106C" w:rsidP="00DB06F0">
            <w:pPr>
              <w:rPr>
                <w:rFonts w:cs="Arial"/>
                <w:b w:val="0"/>
                <w:bCs w:val="0"/>
                <w:szCs w:val="20"/>
              </w:rPr>
            </w:pPr>
            <w:r>
              <w:rPr>
                <w:rFonts w:cs="Arial"/>
                <w:szCs w:val="20"/>
              </w:rPr>
              <w:t>Reporting Frequency</w:t>
            </w:r>
          </w:p>
        </w:tc>
        <w:tc>
          <w:tcPr>
            <w:tcW w:w="8900" w:type="dxa"/>
          </w:tcPr>
          <w:p w14:paraId="305C10ED"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evaluated per Critical defect. Production defects compliance is reported to the Department in the daily and weekly Operations Report. This SLA is in effect after the Transition-In Cutover and continues through the Transition-Out Cutover.</w:t>
            </w:r>
          </w:p>
        </w:tc>
      </w:tr>
      <w:tr w:rsidR="0002106C" w:rsidRPr="002C7415" w14:paraId="573F88F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A165CF3" w14:textId="77777777" w:rsidR="0002106C" w:rsidRPr="002C7415" w:rsidRDefault="0002106C" w:rsidP="00DB06F0">
            <w:pPr>
              <w:rPr>
                <w:rFonts w:cs="Arial"/>
                <w:szCs w:val="20"/>
              </w:rPr>
            </w:pPr>
            <w:r>
              <w:rPr>
                <w:rFonts w:cs="Arial"/>
                <w:szCs w:val="20"/>
              </w:rPr>
              <w:t>SLA Calculations</w:t>
            </w:r>
          </w:p>
        </w:tc>
        <w:tc>
          <w:tcPr>
            <w:tcW w:w="8900" w:type="dxa"/>
          </w:tcPr>
          <w:p w14:paraId="16F88629"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Critical defect. For each Critical defect, the Contractor records the triage exit timestamp, the agreed resolution timeframe (where one was established), and the resolution timestamp. Each Critical defect not resolved within the applicable timeframe counts as one occurrence, with additional service credits accruing for every calendar day, or portion thereof, beyond the initial timeframe.</w:t>
            </w:r>
          </w:p>
        </w:tc>
      </w:tr>
      <w:tr w:rsidR="0002106C" w:rsidRPr="002C7415" w14:paraId="2369248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B7757A8" w14:textId="77777777" w:rsidR="0002106C" w:rsidRPr="002C7415" w:rsidRDefault="0002106C" w:rsidP="00DB06F0">
            <w:pPr>
              <w:rPr>
                <w:rFonts w:cs="Arial"/>
                <w:b w:val="0"/>
                <w:bCs w:val="0"/>
                <w:szCs w:val="20"/>
              </w:rPr>
            </w:pPr>
            <w:r>
              <w:rPr>
                <w:rFonts w:cs="Arial"/>
                <w:szCs w:val="20"/>
              </w:rPr>
              <w:t>SLA Calculations Definitions</w:t>
            </w:r>
          </w:p>
        </w:tc>
        <w:tc>
          <w:tcPr>
            <w:tcW w:w="8900" w:type="dxa"/>
          </w:tcPr>
          <w:p w14:paraId="6C6AAAA2"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Critical Defect: </w:t>
            </w:r>
            <w:r>
              <w:rPr>
                <w:rFonts w:cs="Arial"/>
                <w:szCs w:val="20"/>
              </w:rPr>
              <w:t>A significant production issue that renders the system unavailable or causes failure of a critical business process, and for which there is no systemic or Department-acceptable manual workaround.</w:t>
            </w:r>
          </w:p>
          <w:p w14:paraId="53210A8D"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Triage Exit: </w:t>
            </w:r>
            <w:r>
              <w:rPr>
                <w:rFonts w:cs="Arial"/>
                <w:szCs w:val="20"/>
              </w:rPr>
              <w:t>The point at which the defect ticket is given an “Assigned” or “Closed” status in the ticketing system, marking the start of the resolution clock.</w:t>
            </w:r>
          </w:p>
          <w:p w14:paraId="359EAD3F"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Mutually Agreed-Upon Resolution Timeframe: </w:t>
            </w:r>
            <w:r>
              <w:rPr>
                <w:rFonts w:cs="Arial"/>
                <w:szCs w:val="20"/>
              </w:rPr>
              <w:t>A resolution window negotiated between the Department and the Contractor for an individual Critical defect when the standard forty-eight (48) hour window is not feasible; only the longer of the two timeframes governs.</w:t>
            </w:r>
          </w:p>
        </w:tc>
      </w:tr>
      <w:tr w:rsidR="0002106C" w:rsidRPr="002C7415" w14:paraId="79B9B07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3AC06D3" w14:textId="77777777" w:rsidR="0002106C" w:rsidRPr="002C7415" w:rsidRDefault="0002106C" w:rsidP="00DB06F0">
            <w:pPr>
              <w:rPr>
                <w:rFonts w:cs="Arial"/>
                <w:b w:val="0"/>
                <w:bCs w:val="0"/>
                <w:szCs w:val="20"/>
              </w:rPr>
            </w:pPr>
            <w:r>
              <w:rPr>
                <w:rFonts w:cs="Arial"/>
                <w:szCs w:val="20"/>
              </w:rPr>
              <w:t>Exclusions</w:t>
            </w:r>
          </w:p>
        </w:tc>
        <w:tc>
          <w:tcPr>
            <w:tcW w:w="8900" w:type="dxa"/>
          </w:tcPr>
          <w:p w14:paraId="498E78B6"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resolution delays caused by: (a) Department-directed pauses; or (b) failures of third-party systems outside the Contractor’s managed boundary. The Contractor is responsible for demonstrating any claimed exclusion.</w:t>
            </w:r>
          </w:p>
        </w:tc>
      </w:tr>
      <w:tr w:rsidR="0002106C" w:rsidRPr="002C7415" w14:paraId="1FAAA6D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3B3909B" w14:textId="77777777" w:rsidR="0002106C" w:rsidRPr="002C7415" w:rsidRDefault="0002106C" w:rsidP="00DB06F0">
            <w:pPr>
              <w:rPr>
                <w:rFonts w:cs="Arial"/>
                <w:b w:val="0"/>
                <w:bCs w:val="0"/>
                <w:szCs w:val="20"/>
              </w:rPr>
            </w:pPr>
            <w:r>
              <w:rPr>
                <w:rFonts w:cs="Arial"/>
                <w:szCs w:val="20"/>
              </w:rPr>
              <w:t>Process to Compile and Report SLA</w:t>
            </w:r>
          </w:p>
        </w:tc>
        <w:tc>
          <w:tcPr>
            <w:tcW w:w="8900" w:type="dxa"/>
          </w:tcPr>
          <w:p w14:paraId="7ABF8051"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Critical defect, the Contractor must capture and retain: the defect ticket; the Department notifications upon logging; the triage exit timestamp; the agreed resolution timeframe (where applicable); the resolution timestamp; the root cause; and the corrective action. These records, across all Critical defects, are aggregated in the daily and weekly Operations Report, which identifies non-compliant resolutions, totals service credits accrued (subject to the monthly cap), and is made available to the Department on request.</w:t>
            </w:r>
          </w:p>
        </w:tc>
      </w:tr>
      <w:tr w:rsidR="0002106C" w:rsidRPr="002C7415" w14:paraId="29EC4C6D"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0CFC3BF" w14:textId="77777777" w:rsidR="0002106C" w:rsidRPr="002C7415" w:rsidRDefault="0002106C" w:rsidP="00DB06F0">
            <w:pPr>
              <w:rPr>
                <w:rFonts w:cs="Arial"/>
                <w:b w:val="0"/>
                <w:bCs w:val="0"/>
                <w:szCs w:val="20"/>
              </w:rPr>
            </w:pPr>
            <w:r>
              <w:rPr>
                <w:rFonts w:cs="Arial"/>
                <w:szCs w:val="20"/>
              </w:rPr>
              <w:t>AMS Service Credit</w:t>
            </w:r>
          </w:p>
        </w:tc>
        <w:tc>
          <w:tcPr>
            <w:tcW w:w="8900" w:type="dxa"/>
          </w:tcPr>
          <w:p w14:paraId="6D956C52"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Resolution (Initial Service Credit):</w:t>
            </w:r>
            <w:r>
              <w:rPr>
                <w:rFonts w:cs="Arial"/>
                <w:szCs w:val="20"/>
              </w:rPr>
              <w:t xml:space="preserve"> Failure to comply within the forty-eight (48) hour resolution timeframe (or the mutually agreed-upon resolution timeframe) after exiting triage results in a service credit of two thousand-five hundred dollars ($2,500) per Critical defect not resolved within the applicable timeframe.</w:t>
            </w:r>
          </w:p>
          <w:p w14:paraId="18698266" w14:textId="77777777" w:rsidR="0002106C"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Delay (Additional Service Credit):</w:t>
            </w:r>
            <w:r>
              <w:rPr>
                <w:rFonts w:cs="Arial"/>
                <w:szCs w:val="20"/>
              </w:rPr>
              <w:t xml:space="preserve"> If the defect remains unresolved beyond forty-eight (48) hours, an additional one thousand dollars ($1,000) applies for every calendar day, or portion thereof, beyond the initial resolution timeframe.</w:t>
            </w:r>
          </w:p>
          <w:p w14:paraId="22BC393B" w14:textId="77777777" w:rsidR="0002106C" w:rsidRPr="002C7415" w:rsidRDefault="0002106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Service credits for defect resolution time will not exceed ten thousand dollars ($10,00) per month for all Critical defects.</w:t>
            </w:r>
          </w:p>
        </w:tc>
      </w:tr>
      <w:tr w:rsidR="0002106C" w:rsidRPr="002C7415" w14:paraId="0015E13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93CA9B7" w14:textId="77777777" w:rsidR="0002106C" w:rsidRPr="002C7415" w:rsidRDefault="0002106C" w:rsidP="00DB06F0">
            <w:pPr>
              <w:rPr>
                <w:rFonts w:cs="Arial"/>
                <w:b w:val="0"/>
                <w:bCs w:val="0"/>
                <w:szCs w:val="20"/>
              </w:rPr>
            </w:pPr>
            <w:r>
              <w:rPr>
                <w:rFonts w:cs="Arial"/>
                <w:szCs w:val="20"/>
              </w:rPr>
              <w:t>Converged E&amp;E System and AMS Service Credit</w:t>
            </w:r>
          </w:p>
        </w:tc>
        <w:tc>
          <w:tcPr>
            <w:tcW w:w="8900" w:type="dxa"/>
          </w:tcPr>
          <w:p w14:paraId="5747D38E" w14:textId="77777777" w:rsidR="0002106C"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Delayed Resolution (Initial Service Credit):</w:t>
            </w:r>
            <w:r>
              <w:rPr>
                <w:rFonts w:cs="Arial"/>
                <w:szCs w:val="20"/>
              </w:rPr>
              <w:t xml:space="preserve"> Failure to comply within the forty-eight (48) hour resolution timeframe (or the mutually agreed-upon resolution timeframe) after exiting triage results </w:t>
            </w:r>
            <w:r>
              <w:rPr>
                <w:rFonts w:cs="Arial"/>
                <w:szCs w:val="20"/>
              </w:rPr>
              <w:lastRenderedPageBreak/>
              <w:t>in a service credit of twenty thousand dollars ($20,000) per Critical defect not resolved within the applicable timeframe.</w:t>
            </w:r>
          </w:p>
          <w:p w14:paraId="798BD502" w14:textId="77777777" w:rsidR="0002106C"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Extended Delay (Additional Service Credit):</w:t>
            </w:r>
            <w:r>
              <w:rPr>
                <w:rFonts w:cs="Arial"/>
                <w:szCs w:val="20"/>
              </w:rPr>
              <w:t xml:space="preserve"> If the defect is unresolved after forty-eight (48) hours, an additional ten thousand dollars ($10,000) is applied for every calendar day, or portion thereof, beyond the initial resolution timeframe. </w:t>
            </w:r>
          </w:p>
          <w:p w14:paraId="0477B98C" w14:textId="77777777" w:rsidR="0002106C" w:rsidRPr="002C7415" w:rsidRDefault="0002106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Service credits for defect resolution time will not exceed one hundred thousand dollars ($100,000) per month for all Critical defects.</w:t>
            </w:r>
          </w:p>
        </w:tc>
      </w:tr>
    </w:tbl>
    <w:p w14:paraId="250D7290" w14:textId="510DB346" w:rsidR="0001751C" w:rsidRPr="002C7415" w:rsidRDefault="0001751C" w:rsidP="0001751C">
      <w:pPr>
        <w:pStyle w:val="HeadingSLA"/>
      </w:pPr>
      <w:bookmarkStart w:id="148" w:name="_Toc230258248"/>
      <w:bookmarkStart w:id="149" w:name="_Toc233199192"/>
      <w:r>
        <w:lastRenderedPageBreak/>
        <w:t>Production Defects: High</w:t>
      </w:r>
      <w:bookmarkEnd w:id="148"/>
      <w:bookmarkEnd w:id="149"/>
    </w:p>
    <w:tbl>
      <w:tblPr>
        <w:tblStyle w:val="DOH-LeftHeader"/>
        <w:tblW w:w="4998" w:type="pct"/>
        <w:tblLayout w:type="fixed"/>
        <w:tblLook w:val="0480" w:firstRow="0" w:lastRow="0" w:firstColumn="1" w:lastColumn="0" w:noHBand="0" w:noVBand="1"/>
      </w:tblPr>
      <w:tblGrid>
        <w:gridCol w:w="1886"/>
        <w:gridCol w:w="8900"/>
      </w:tblGrid>
      <w:tr w:rsidR="0001751C" w:rsidRPr="002C7415" w14:paraId="67A29C9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FF0B5D6" w14:textId="77777777" w:rsidR="0001751C" w:rsidRPr="002C7415" w:rsidRDefault="0001751C" w:rsidP="00DB06F0">
            <w:pPr>
              <w:rPr>
                <w:rFonts w:cs="Arial"/>
                <w:b w:val="0"/>
                <w:bCs w:val="0"/>
                <w:szCs w:val="20"/>
              </w:rPr>
            </w:pPr>
            <w:r>
              <w:rPr>
                <w:rFonts w:cs="Arial"/>
                <w:szCs w:val="20"/>
              </w:rPr>
              <w:t>Purpose</w:t>
            </w:r>
          </w:p>
        </w:tc>
        <w:tc>
          <w:tcPr>
            <w:tcW w:w="8900" w:type="dxa"/>
          </w:tcPr>
          <w:p w14:paraId="207C9D13"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resolving high production defects within a window appropriate to their impact. High defects are not system-down emergencies, but they do degrade the system’s ability to do its job and have no acceptable workaround. This SLA gives the Contractor a defined window after triage to fix them.</w:t>
            </w:r>
          </w:p>
        </w:tc>
      </w:tr>
      <w:tr w:rsidR="0001751C" w:rsidRPr="002C7415" w14:paraId="489F01F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45D6F7E" w14:textId="77777777" w:rsidR="0001751C" w:rsidRPr="002C7415" w:rsidRDefault="0001751C" w:rsidP="00DB06F0">
            <w:pPr>
              <w:rPr>
                <w:rFonts w:cs="Arial"/>
                <w:b w:val="0"/>
                <w:bCs w:val="0"/>
                <w:szCs w:val="20"/>
              </w:rPr>
            </w:pPr>
            <w:r>
              <w:rPr>
                <w:rFonts w:cs="Arial"/>
                <w:szCs w:val="20"/>
              </w:rPr>
              <w:t>Specification</w:t>
            </w:r>
          </w:p>
        </w:tc>
        <w:tc>
          <w:tcPr>
            <w:tcW w:w="8900" w:type="dxa"/>
          </w:tcPr>
          <w:p w14:paraId="6F8B2889" w14:textId="302AE36D"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A High defect is an issue that results in a significant negative impact on business operations or service delivery and a failure of the system to satisfy a business or technical function, and for which there is no systemic or Department-acceptable manual workaround. See </w:t>
            </w:r>
            <w:r>
              <w:rPr>
                <w:rFonts w:cs="Arial"/>
                <w:szCs w:val="20"/>
              </w:rPr>
              <w:fldChar w:fldCharType="begin"/>
            </w:r>
            <w:r>
              <w:rPr>
                <w:rFonts w:cs="Arial"/>
                <w:szCs w:val="20"/>
              </w:rPr>
              <w:instrText xml:space="preserve"> REF _Ref233191304 \h  \* MERGEFORMAT </w:instrText>
            </w:r>
            <w:r>
              <w:rPr>
                <w:rFonts w:cs="Arial"/>
                <w:szCs w:val="20"/>
              </w:rPr>
            </w:r>
            <w:r>
              <w:rPr>
                <w:rFonts w:cs="Arial"/>
                <w:szCs w:val="20"/>
              </w:rPr>
              <w:fldChar w:fldCharType="separate"/>
            </w:r>
            <w:r>
              <w:t>T</w:t>
            </w:r>
            <w:r>
              <w:rPr>
                <w:b/>
                <w:bCs/>
              </w:rPr>
              <w:t xml:space="preserve">able </w:t>
            </w:r>
            <w:r>
              <w:rPr>
                <w:b/>
                <w:bCs/>
                <w:noProof/>
              </w:rPr>
              <w:t>2 – Priority Level for Issues/Defects with Converged E&amp;E System and AMS Functions</w:t>
            </w:r>
            <w:r>
              <w:rPr>
                <w:rFonts w:cs="Arial"/>
                <w:szCs w:val="20"/>
              </w:rPr>
              <w:fldChar w:fldCharType="end"/>
            </w:r>
            <w:r>
              <w:rPr>
                <w:rFonts w:cs="Arial"/>
                <w:szCs w:val="20"/>
              </w:rPr>
              <w:t>. High Production defects must be resolved within five (5) calendar days or within a mutually agreed-upon maintenance window after exiting triage (refer to SLA 68 for Production Defects – Triage), whichever is greater, and must be assigned to a Contractor resource for remediation. The Department and the Contractor must mutually agree to the designated severity level via the triage process; if agreement cannot be reached during triage, final determination rests solely with the Department.</w:t>
            </w:r>
          </w:p>
        </w:tc>
      </w:tr>
      <w:tr w:rsidR="0001751C" w:rsidRPr="002C7415" w14:paraId="733F7D8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71B0D51" w14:textId="77777777" w:rsidR="0001751C" w:rsidRPr="002C7415" w:rsidRDefault="0001751C" w:rsidP="00DB06F0">
            <w:pPr>
              <w:rPr>
                <w:rFonts w:cs="Arial"/>
                <w:b w:val="0"/>
                <w:bCs w:val="0"/>
                <w:szCs w:val="20"/>
              </w:rPr>
            </w:pPr>
            <w:r>
              <w:rPr>
                <w:rFonts w:cs="Arial"/>
                <w:szCs w:val="20"/>
              </w:rPr>
              <w:t>Service Level</w:t>
            </w:r>
          </w:p>
        </w:tc>
        <w:tc>
          <w:tcPr>
            <w:tcW w:w="8900" w:type="dxa"/>
          </w:tcPr>
          <w:p w14:paraId="03DA92D4"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High Production defects must be resolved within five (5) calendar days after exiting triage, or within the mutually agreed-upon resolution timeframe, whichever is greater.</w:t>
            </w:r>
          </w:p>
        </w:tc>
      </w:tr>
      <w:tr w:rsidR="0001751C" w:rsidRPr="002C7415" w14:paraId="508A8AA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5C035FB" w14:textId="77777777" w:rsidR="0001751C" w:rsidRPr="002C7415" w:rsidRDefault="0001751C" w:rsidP="00DB06F0">
            <w:pPr>
              <w:rPr>
                <w:rFonts w:cs="Arial"/>
                <w:b w:val="0"/>
                <w:bCs w:val="0"/>
                <w:szCs w:val="20"/>
              </w:rPr>
            </w:pPr>
            <w:r>
              <w:rPr>
                <w:rFonts w:cs="Arial"/>
                <w:szCs w:val="20"/>
              </w:rPr>
              <w:t>Notes</w:t>
            </w:r>
          </w:p>
        </w:tc>
        <w:tc>
          <w:tcPr>
            <w:tcW w:w="8900" w:type="dxa"/>
          </w:tcPr>
          <w:p w14:paraId="19E3BB06"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Severity is determined collaboratively in triage; final determination rests with the Department. The Contractor must maintain High defect records in the Department-approved ticketing system with all required timestamps.</w:t>
            </w:r>
          </w:p>
        </w:tc>
      </w:tr>
      <w:tr w:rsidR="0001751C" w:rsidRPr="002C7415" w14:paraId="7F299C5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DF70335" w14:textId="77777777" w:rsidR="0001751C" w:rsidRPr="002C7415" w:rsidRDefault="0001751C" w:rsidP="00DB06F0">
            <w:pPr>
              <w:rPr>
                <w:rFonts w:cs="Arial"/>
                <w:b w:val="0"/>
                <w:bCs w:val="0"/>
                <w:szCs w:val="20"/>
              </w:rPr>
            </w:pPr>
            <w:r>
              <w:rPr>
                <w:rFonts w:cs="Arial"/>
                <w:szCs w:val="20"/>
              </w:rPr>
              <w:t>Reporting Frequency</w:t>
            </w:r>
          </w:p>
        </w:tc>
        <w:tc>
          <w:tcPr>
            <w:tcW w:w="8900" w:type="dxa"/>
          </w:tcPr>
          <w:p w14:paraId="38430BD4"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checked for every defect. A summary of all High defects, their resolution times, and any service credits must be included in the monthly Operations Report, which is due within five (5) business days after the end of each month. This SLA is in effect from the end of the Transition-In period until the end of the Transition-Out period.</w:t>
            </w:r>
          </w:p>
        </w:tc>
      </w:tr>
      <w:tr w:rsidR="0001751C" w:rsidRPr="002C7415" w14:paraId="72E0E4A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A602ED0" w14:textId="77777777" w:rsidR="0001751C" w:rsidRPr="002C7415" w:rsidRDefault="0001751C" w:rsidP="00DB06F0">
            <w:pPr>
              <w:rPr>
                <w:rFonts w:cs="Arial"/>
                <w:szCs w:val="20"/>
              </w:rPr>
            </w:pPr>
            <w:r>
              <w:rPr>
                <w:rFonts w:cs="Arial"/>
                <w:szCs w:val="20"/>
              </w:rPr>
              <w:t>SLA Calculations</w:t>
            </w:r>
          </w:p>
        </w:tc>
        <w:tc>
          <w:tcPr>
            <w:tcW w:w="8900" w:type="dxa"/>
          </w:tcPr>
          <w:p w14:paraId="56F0E729"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High defect. For each High defect, the Contractor records the triage exit timestamp, the agreed resolution timeframe where one was established, and the resolution timestamp. Each High defect not resolved within the applicable timeframe counts as one occurrence, with additional occurrences accruing weekly, or portion thereof, beyond the initial resolution timeframe. Total credits under this SLA are subject to the monthly cap.</w:t>
            </w:r>
          </w:p>
        </w:tc>
      </w:tr>
      <w:tr w:rsidR="0001751C" w:rsidRPr="002C7415" w14:paraId="487142D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8B02BC3" w14:textId="77777777" w:rsidR="0001751C" w:rsidRPr="002C7415" w:rsidRDefault="0001751C" w:rsidP="00DB06F0">
            <w:pPr>
              <w:rPr>
                <w:rFonts w:cs="Arial"/>
                <w:b w:val="0"/>
                <w:bCs w:val="0"/>
                <w:szCs w:val="20"/>
              </w:rPr>
            </w:pPr>
            <w:r>
              <w:rPr>
                <w:rFonts w:cs="Arial"/>
                <w:szCs w:val="20"/>
              </w:rPr>
              <w:t>SLA Calculations Definitions</w:t>
            </w:r>
          </w:p>
        </w:tc>
        <w:tc>
          <w:tcPr>
            <w:tcW w:w="8900" w:type="dxa"/>
          </w:tcPr>
          <w:p w14:paraId="598BBD11"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High Defect: </w:t>
            </w:r>
            <w:r>
              <w:rPr>
                <w:rFonts w:cs="Arial"/>
                <w:szCs w:val="20"/>
              </w:rPr>
              <w:t>an issue that results in a significant negative impact on business operations or service delivery and a failure of the system to satisfy a business or technical function, and for which there is no systemic or Department-acceptable manual workaround.</w:t>
            </w:r>
          </w:p>
          <w:p w14:paraId="60E11E39"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Triage Exit: </w:t>
            </w:r>
            <w:r>
              <w:rPr>
                <w:rFonts w:cs="Arial"/>
                <w:szCs w:val="20"/>
              </w:rPr>
              <w:t>The point at which the defect ticket is given an “Assigned” or “Closed” status in the ticketing system, marking the start of the resolution clock.</w:t>
            </w:r>
          </w:p>
          <w:p w14:paraId="375163DF"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Mutually Agreed-Upon Resolution Timeframe: </w:t>
            </w:r>
            <w:r>
              <w:rPr>
                <w:rFonts w:cs="Arial"/>
                <w:szCs w:val="20"/>
              </w:rPr>
              <w:t>A resolution window negotiated between the Department and the Contractor for an individual High defect when the standard five (5) calendar days window is not feasible; only the longer of the two timeframes governs.</w:t>
            </w:r>
          </w:p>
        </w:tc>
      </w:tr>
      <w:tr w:rsidR="0001751C" w:rsidRPr="002C7415" w14:paraId="768CD9B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C1D3FD7" w14:textId="77777777" w:rsidR="0001751C" w:rsidRPr="002C7415" w:rsidRDefault="0001751C" w:rsidP="00DB06F0">
            <w:pPr>
              <w:rPr>
                <w:rFonts w:cs="Arial"/>
                <w:b w:val="0"/>
                <w:bCs w:val="0"/>
                <w:szCs w:val="20"/>
              </w:rPr>
            </w:pPr>
            <w:r>
              <w:rPr>
                <w:rFonts w:cs="Arial"/>
                <w:szCs w:val="20"/>
              </w:rPr>
              <w:t>Exclusions</w:t>
            </w:r>
          </w:p>
        </w:tc>
        <w:tc>
          <w:tcPr>
            <w:tcW w:w="8900" w:type="dxa"/>
          </w:tcPr>
          <w:p w14:paraId="4926F4DF"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resolution delays caused by: (a) Department-directed pauses; or (b) failures of third-party systems outside the Contractor’s managed boundary. The Contractor is responsible for demonstrating any claimed exclusion.</w:t>
            </w:r>
          </w:p>
        </w:tc>
      </w:tr>
      <w:tr w:rsidR="0001751C" w:rsidRPr="002C7415" w14:paraId="464ECEE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4891EFE" w14:textId="77777777" w:rsidR="0001751C" w:rsidRPr="002C7415" w:rsidRDefault="0001751C" w:rsidP="00DB06F0">
            <w:pPr>
              <w:rPr>
                <w:rFonts w:cs="Arial"/>
                <w:b w:val="0"/>
                <w:bCs w:val="0"/>
                <w:szCs w:val="20"/>
              </w:rPr>
            </w:pPr>
            <w:r>
              <w:rPr>
                <w:rFonts w:cs="Arial"/>
                <w:szCs w:val="20"/>
              </w:rPr>
              <w:lastRenderedPageBreak/>
              <w:t>Process to Compile and Report SLA</w:t>
            </w:r>
          </w:p>
        </w:tc>
        <w:tc>
          <w:tcPr>
            <w:tcW w:w="8900" w:type="dxa"/>
          </w:tcPr>
          <w:p w14:paraId="6B76C41F"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High defect, the Contractor must capture and retain: the defect ticket; the triage exit timestamp; the agreed resolution timeframe where applicable; the resolution timestamp; the root cause; and the corrective action. These records are aggregated in the daily and weekly Operations Report, which identifies non-compliant resolutions, totals service credits accrued (subject to the monthly cap), and is made available to the Department on request.</w:t>
            </w:r>
          </w:p>
        </w:tc>
      </w:tr>
      <w:tr w:rsidR="0001751C" w:rsidRPr="002C7415" w14:paraId="0EDF811B"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8642E49" w14:textId="77777777" w:rsidR="0001751C" w:rsidRPr="002C7415" w:rsidRDefault="0001751C" w:rsidP="00DB06F0">
            <w:pPr>
              <w:rPr>
                <w:rFonts w:cs="Arial"/>
                <w:b w:val="0"/>
                <w:bCs w:val="0"/>
                <w:szCs w:val="20"/>
              </w:rPr>
            </w:pPr>
            <w:r>
              <w:rPr>
                <w:rFonts w:cs="Arial"/>
                <w:szCs w:val="20"/>
              </w:rPr>
              <w:t>AMS Service Credit</w:t>
            </w:r>
          </w:p>
        </w:tc>
        <w:tc>
          <w:tcPr>
            <w:tcW w:w="8900" w:type="dxa"/>
          </w:tcPr>
          <w:p w14:paraId="16509378"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Resolution (Initial Service Credit):</w:t>
            </w:r>
            <w:r>
              <w:rPr>
                <w:rFonts w:cs="Arial"/>
                <w:szCs w:val="20"/>
              </w:rPr>
              <w:t xml:space="preserve"> Failure to comply within five (5) calendar days (or the mutually agreed-upon resolution timeframe) after exiting triage results in a service credit of one thousand dollars ($1,000) per High defect not resolved in production.</w:t>
            </w:r>
          </w:p>
          <w:p w14:paraId="2C361A1E"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Extended Delay (Additional Service Credit): </w:t>
            </w:r>
            <w:r>
              <w:rPr>
                <w:rFonts w:cs="Arial"/>
                <w:szCs w:val="20"/>
              </w:rPr>
              <w:t xml:space="preserve">If the defect remains unresolved after five (5) calendar days, an additional five hundred dollars ($500) is applied for weekly, or portion thereof, beyond the initial resolution timeframe. </w:t>
            </w:r>
          </w:p>
          <w:p w14:paraId="3294BB3A"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Service credits for defect resolution time will not exceed two thousand five hundred dollars ($2,500) per month for all High defects.</w:t>
            </w:r>
          </w:p>
        </w:tc>
      </w:tr>
      <w:tr w:rsidR="0001751C" w:rsidRPr="002C7415" w14:paraId="6B7E04B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F68A4E7" w14:textId="77777777" w:rsidR="0001751C" w:rsidRPr="002C7415" w:rsidRDefault="0001751C" w:rsidP="00DB06F0">
            <w:pPr>
              <w:rPr>
                <w:rFonts w:cs="Arial"/>
                <w:b w:val="0"/>
                <w:bCs w:val="0"/>
                <w:szCs w:val="20"/>
              </w:rPr>
            </w:pPr>
            <w:r>
              <w:rPr>
                <w:rFonts w:cs="Arial"/>
                <w:szCs w:val="20"/>
              </w:rPr>
              <w:t>Converged E&amp;E System and AMS Service Credit</w:t>
            </w:r>
          </w:p>
        </w:tc>
        <w:tc>
          <w:tcPr>
            <w:tcW w:w="8900" w:type="dxa"/>
          </w:tcPr>
          <w:p w14:paraId="5C8AFF51" w14:textId="77777777" w:rsidR="0001751C"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Delayed Resolution (Initial Service Credit): </w:t>
            </w:r>
            <w:r>
              <w:rPr>
                <w:rFonts w:cs="Arial"/>
                <w:szCs w:val="20"/>
              </w:rPr>
              <w:t>Failure to comply within five (5) calendar days (or the mutually agreed-upon resolution timeframe) after exiting triage results in a service credit of five thousand dollars ($5,000) per High defect not resolved in production.</w:t>
            </w:r>
          </w:p>
          <w:p w14:paraId="5B71B89D" w14:textId="77777777" w:rsidR="0001751C"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Extended Delay (Additional Service Credit): </w:t>
            </w:r>
            <w:r>
              <w:rPr>
                <w:rFonts w:cs="Arial"/>
                <w:szCs w:val="20"/>
              </w:rPr>
              <w:t>If the defect remains unresolved after five (5) calendar days</w:t>
            </w:r>
            <w:r>
              <w:rPr>
                <w:rFonts w:cs="Arial"/>
                <w:b/>
                <w:bCs/>
                <w:szCs w:val="20"/>
              </w:rPr>
              <w:t>,</w:t>
            </w:r>
            <w:r>
              <w:rPr>
                <w:rFonts w:cs="Arial"/>
                <w:szCs w:val="20"/>
              </w:rPr>
              <w:t xml:space="preserve"> an additional two thousand five hundred dollars ($2,500) is applied for every weekly, or portion thereof, beyond the initial resolution timeframe.</w:t>
            </w:r>
          </w:p>
          <w:p w14:paraId="34C45858"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Service credits for defect resolution time will not exceed fifty thousand dollars ($50,000) per month for all High defects.</w:t>
            </w:r>
          </w:p>
        </w:tc>
      </w:tr>
    </w:tbl>
    <w:p w14:paraId="472477AE" w14:textId="15A36910" w:rsidR="0001751C" w:rsidRPr="002C7415" w:rsidRDefault="0001751C" w:rsidP="0001751C">
      <w:pPr>
        <w:pStyle w:val="HeadingSLA"/>
      </w:pPr>
      <w:bookmarkStart w:id="150" w:name="_Toc230258249"/>
      <w:bookmarkStart w:id="151" w:name="_Toc233199193"/>
      <w:r>
        <w:t>Production Defects: Medium</w:t>
      </w:r>
      <w:bookmarkEnd w:id="150"/>
      <w:bookmarkEnd w:id="151"/>
    </w:p>
    <w:tbl>
      <w:tblPr>
        <w:tblStyle w:val="DOH-LeftHeader"/>
        <w:tblW w:w="4998" w:type="pct"/>
        <w:tblLayout w:type="fixed"/>
        <w:tblLook w:val="0480" w:firstRow="0" w:lastRow="0" w:firstColumn="1" w:lastColumn="0" w:noHBand="0" w:noVBand="1"/>
      </w:tblPr>
      <w:tblGrid>
        <w:gridCol w:w="1886"/>
        <w:gridCol w:w="8900"/>
      </w:tblGrid>
      <w:tr w:rsidR="0001751C" w:rsidRPr="002C7415" w14:paraId="36D5260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D1026B3" w14:textId="77777777" w:rsidR="0001751C" w:rsidRPr="002C7415" w:rsidRDefault="0001751C" w:rsidP="00DB06F0">
            <w:pPr>
              <w:rPr>
                <w:rFonts w:cs="Arial"/>
                <w:b w:val="0"/>
                <w:bCs w:val="0"/>
                <w:szCs w:val="20"/>
              </w:rPr>
            </w:pPr>
            <w:r>
              <w:rPr>
                <w:rFonts w:cs="Arial"/>
                <w:szCs w:val="20"/>
              </w:rPr>
              <w:t>Purpose</w:t>
            </w:r>
          </w:p>
        </w:tc>
        <w:tc>
          <w:tcPr>
            <w:tcW w:w="8900" w:type="dxa"/>
          </w:tcPr>
          <w:p w14:paraId="4FA98EB9"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makes sure the Contractor fixes Medium production defects within a set timeframe. Medium defects negatively affect how the system works. This SLA sets a strict fourteen (14)-day deadline for fixing the defect after the initial review is finished.</w:t>
            </w:r>
          </w:p>
        </w:tc>
      </w:tr>
      <w:tr w:rsidR="0001751C" w:rsidRPr="002C7415" w14:paraId="58A43A7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A218835" w14:textId="77777777" w:rsidR="0001751C" w:rsidRPr="002C7415" w:rsidRDefault="0001751C" w:rsidP="00DB06F0">
            <w:pPr>
              <w:rPr>
                <w:rFonts w:cs="Arial"/>
                <w:b w:val="0"/>
                <w:bCs w:val="0"/>
                <w:szCs w:val="20"/>
              </w:rPr>
            </w:pPr>
            <w:r>
              <w:rPr>
                <w:rFonts w:cs="Arial"/>
                <w:szCs w:val="20"/>
              </w:rPr>
              <w:t>Specification</w:t>
            </w:r>
          </w:p>
        </w:tc>
        <w:tc>
          <w:tcPr>
            <w:tcW w:w="8900" w:type="dxa"/>
          </w:tcPr>
          <w:p w14:paraId="637317AB"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 Medium Defect is a problem that stops a part of the system from working as it should, and there is no workaround the Department agrees to. (Refer to Business Criticality of Converged E&amp;E System or AMS Functions).</w:t>
            </w:r>
          </w:p>
          <w:p w14:paraId="515FE0B9"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The Contractor must fix all Medium defects within fourteen (14) calendar days after the defect leaves the triage phase.</w:t>
            </w:r>
          </w:p>
          <w:p w14:paraId="663CFEBC"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If both parties agree in writing to a different timeline (for example, to line up with a scheduled maintenance window), then that new deadline will apply.</w:t>
            </w:r>
          </w:p>
          <w:p w14:paraId="4D0550DB"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The Contractor must assign a team member to start working on the fix.</w:t>
            </w:r>
          </w:p>
          <w:p w14:paraId="5FFBC43D"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Both parties should agree on the ‘Medium’ severity level during triage, but if there is a disagreement, the Department makes the final decision.</w:t>
            </w:r>
          </w:p>
        </w:tc>
      </w:tr>
      <w:tr w:rsidR="0001751C" w:rsidRPr="002C7415" w14:paraId="03219C8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F63CD0F" w14:textId="77777777" w:rsidR="0001751C" w:rsidRPr="002C7415" w:rsidRDefault="0001751C" w:rsidP="00DB06F0">
            <w:pPr>
              <w:rPr>
                <w:rFonts w:cs="Arial"/>
                <w:b w:val="0"/>
                <w:bCs w:val="0"/>
                <w:szCs w:val="20"/>
              </w:rPr>
            </w:pPr>
            <w:r>
              <w:rPr>
                <w:rFonts w:cs="Arial"/>
                <w:szCs w:val="20"/>
              </w:rPr>
              <w:t>Service Level</w:t>
            </w:r>
          </w:p>
        </w:tc>
        <w:tc>
          <w:tcPr>
            <w:tcW w:w="8900" w:type="dxa"/>
          </w:tcPr>
          <w:p w14:paraId="22BE8C85"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fix one hundred percent (100%) of all Medium defects within fourteen (14) calendar days after triage (or the agreed-upon timeframe, if one was set).</w:t>
            </w:r>
          </w:p>
        </w:tc>
      </w:tr>
      <w:tr w:rsidR="0001751C" w:rsidRPr="002C7415" w14:paraId="0AA4D2B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B7E3165" w14:textId="77777777" w:rsidR="0001751C" w:rsidRPr="002C7415" w:rsidRDefault="0001751C" w:rsidP="00DB06F0">
            <w:pPr>
              <w:rPr>
                <w:rFonts w:cs="Arial"/>
                <w:b w:val="0"/>
                <w:bCs w:val="0"/>
                <w:szCs w:val="20"/>
              </w:rPr>
            </w:pPr>
            <w:r>
              <w:rPr>
                <w:rFonts w:cs="Arial"/>
                <w:szCs w:val="20"/>
              </w:rPr>
              <w:t>Notes</w:t>
            </w:r>
          </w:p>
        </w:tc>
        <w:tc>
          <w:tcPr>
            <w:tcW w:w="8900" w:type="dxa"/>
          </w:tcPr>
          <w:p w14:paraId="7339C76F"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Department has the final say on a defect’s severity level. The Contractor must keep all defect records and timestamps updated in the ticketing system the Department uses.</w:t>
            </w:r>
          </w:p>
        </w:tc>
      </w:tr>
      <w:tr w:rsidR="0001751C" w:rsidRPr="002C7415" w14:paraId="50CA988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0341416" w14:textId="77777777" w:rsidR="0001751C" w:rsidRPr="002C7415" w:rsidRDefault="0001751C" w:rsidP="00DB06F0">
            <w:pPr>
              <w:rPr>
                <w:rFonts w:cs="Arial"/>
                <w:b w:val="0"/>
                <w:bCs w:val="0"/>
                <w:szCs w:val="20"/>
              </w:rPr>
            </w:pPr>
            <w:r>
              <w:rPr>
                <w:rFonts w:cs="Arial"/>
                <w:szCs w:val="20"/>
              </w:rPr>
              <w:t>Reporting Frequency</w:t>
            </w:r>
          </w:p>
        </w:tc>
        <w:tc>
          <w:tcPr>
            <w:tcW w:w="8900" w:type="dxa"/>
          </w:tcPr>
          <w:p w14:paraId="18F381E3"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Daily and Weekly Status Reports, Compliance is reviewed for each defect. The status of every defect must be in the Operations Report.</w:t>
            </w:r>
          </w:p>
        </w:tc>
      </w:tr>
      <w:tr w:rsidR="0001751C" w:rsidRPr="002C7415" w14:paraId="29B86B3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74AAD05" w14:textId="77777777" w:rsidR="0001751C" w:rsidRPr="002C7415" w:rsidRDefault="0001751C" w:rsidP="00DB06F0">
            <w:pPr>
              <w:rPr>
                <w:rFonts w:cs="Arial"/>
                <w:szCs w:val="20"/>
              </w:rPr>
            </w:pPr>
            <w:r>
              <w:rPr>
                <w:rFonts w:cs="Arial"/>
                <w:szCs w:val="20"/>
              </w:rPr>
              <w:t>SLA Calculations</w:t>
            </w:r>
          </w:p>
        </w:tc>
        <w:tc>
          <w:tcPr>
            <w:tcW w:w="8900" w:type="dxa"/>
          </w:tcPr>
          <w:p w14:paraId="56DC45D9"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Here is how we measure if this SLA was met for each Medium defect:</w:t>
            </w:r>
          </w:p>
          <w:p w14:paraId="5B70760A" w14:textId="77777777" w:rsidR="0001751C" w:rsidRPr="002C7415" w:rsidRDefault="0001751C" w:rsidP="00DB06F0">
            <w:pPr>
              <w:pStyle w:val="TableNumber"/>
              <w:cnfStyle w:val="000000010000" w:firstRow="0" w:lastRow="0" w:firstColumn="0" w:lastColumn="0" w:oddVBand="0" w:evenVBand="0" w:oddHBand="0" w:evenHBand="1" w:firstRowFirstColumn="0" w:firstRowLastColumn="0" w:lastRowFirstColumn="0" w:lastRowLastColumn="0"/>
            </w:pPr>
            <w:r>
              <w:t>Start the Clock: The fourteen (14)-day clock starts as soon as the defect’s status changes from “triage” in the ticketing system.</w:t>
            </w:r>
          </w:p>
          <w:p w14:paraId="046D402B" w14:textId="77777777" w:rsidR="0001751C" w:rsidRPr="002C7415" w:rsidRDefault="0001751C" w:rsidP="00DB06F0">
            <w:pPr>
              <w:pStyle w:val="TableNumber"/>
              <w:cnfStyle w:val="000000010000" w:firstRow="0" w:lastRow="0" w:firstColumn="0" w:lastColumn="0" w:oddVBand="0" w:evenVBand="0" w:oddHBand="0" w:evenHBand="1" w:firstRowFirstColumn="0" w:firstRowLastColumn="0" w:lastRowFirstColumn="0" w:lastRowLastColumn="0"/>
            </w:pPr>
            <w:r>
              <w:t>Find the Due Date: The defect is due to be fixed fourteen (14) calendar days after the clock starts (or on the different date we agreed to in writing).</w:t>
            </w:r>
          </w:p>
          <w:p w14:paraId="6E435FA0" w14:textId="77777777" w:rsidR="0001751C" w:rsidRPr="002C7415" w:rsidRDefault="0001751C" w:rsidP="00DB06F0">
            <w:pPr>
              <w:pStyle w:val="TableNumber"/>
              <w:cnfStyle w:val="000000010000" w:firstRow="0" w:lastRow="0" w:firstColumn="0" w:lastColumn="0" w:oddVBand="0" w:evenVBand="0" w:oddHBand="0" w:evenHBand="1" w:firstRowFirstColumn="0" w:firstRowLastColumn="0" w:lastRowFirstColumn="0" w:lastRowLastColumn="0"/>
            </w:pPr>
            <w:r>
              <w:lastRenderedPageBreak/>
              <w:t>Check if the SLA was Met: If the defect is not fixed by the due date, a service credit applies. For every fourteen (14)-day period that the defect remains unfixed, another service credit applies.</w:t>
            </w:r>
          </w:p>
        </w:tc>
      </w:tr>
      <w:tr w:rsidR="0001751C" w:rsidRPr="002C7415" w14:paraId="201822FB"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2F53090" w14:textId="77777777" w:rsidR="0001751C" w:rsidRPr="002C7415" w:rsidRDefault="0001751C" w:rsidP="00DB06F0">
            <w:pPr>
              <w:rPr>
                <w:rFonts w:cs="Arial"/>
                <w:b w:val="0"/>
                <w:bCs w:val="0"/>
                <w:szCs w:val="20"/>
              </w:rPr>
            </w:pPr>
            <w:r>
              <w:rPr>
                <w:rFonts w:cs="Arial"/>
                <w:szCs w:val="20"/>
              </w:rPr>
              <w:lastRenderedPageBreak/>
              <w:t>SLA Calculations Definitions</w:t>
            </w:r>
          </w:p>
        </w:tc>
        <w:tc>
          <w:tcPr>
            <w:tcW w:w="8900" w:type="dxa"/>
          </w:tcPr>
          <w:p w14:paraId="3354BE29" w14:textId="77777777" w:rsidR="0001751C" w:rsidRPr="002C7415" w:rsidRDefault="0001751C" w:rsidP="00DB06F0">
            <w:pPr>
              <w:pStyle w:val="TableBullet"/>
              <w:cnfStyle w:val="000000000000" w:firstRow="0" w:lastRow="0" w:firstColumn="0" w:lastColumn="0" w:oddVBand="0" w:evenVBand="0" w:oddHBand="0" w:evenHBand="0" w:firstRowFirstColumn="0" w:firstRowLastColumn="0" w:lastRowFirstColumn="0" w:lastRowLastColumn="0"/>
            </w:pPr>
            <w:r>
              <w:rPr>
                <w:b/>
              </w:rPr>
              <w:t>Medium Defect:</w:t>
            </w:r>
            <w:r>
              <w:t xml:space="preserve"> A problem that stops a part of the system from working as it should, with no workaround the Department agrees to.</w:t>
            </w:r>
          </w:p>
          <w:p w14:paraId="550FE710" w14:textId="77777777" w:rsidR="0001751C" w:rsidRPr="002C7415" w:rsidRDefault="0001751C" w:rsidP="00DB06F0">
            <w:pPr>
              <w:pStyle w:val="TableBullet"/>
              <w:cnfStyle w:val="000000000000" w:firstRow="0" w:lastRow="0" w:firstColumn="0" w:lastColumn="0" w:oddVBand="0" w:evenVBand="0" w:oddHBand="0" w:evenHBand="0" w:firstRowFirstColumn="0" w:firstRowLastColumn="0" w:lastRowFirstColumn="0" w:lastRowLastColumn="0"/>
            </w:pPr>
            <w:r>
              <w:rPr>
                <w:b/>
              </w:rPr>
              <w:t>Resolved:</w:t>
            </w:r>
            <w:r>
              <w:t xml:space="preserve"> The defect is fixed. This means the root cause is gone (not just a temporary patch), the system is working correctly again for at least one full hour, any bad data is fixed, and the Contractor has given the Department a report on what happened, which the Department has accepted in writing.</w:t>
            </w:r>
          </w:p>
          <w:p w14:paraId="5E20252E" w14:textId="77777777" w:rsidR="0001751C" w:rsidRPr="002C7415" w:rsidRDefault="0001751C" w:rsidP="00DB06F0">
            <w:pPr>
              <w:pStyle w:val="TableBullet"/>
              <w:cnfStyle w:val="000000000000" w:firstRow="0" w:lastRow="0" w:firstColumn="0" w:lastColumn="0" w:oddVBand="0" w:evenVBand="0" w:oddHBand="0" w:evenHBand="0" w:firstRowFirstColumn="0" w:firstRowLastColumn="0" w:lastRowFirstColumn="0" w:lastRowLastColumn="0"/>
            </w:pPr>
            <w:r>
              <w:rPr>
                <w:b/>
              </w:rPr>
              <w:t>Triage Exit:</w:t>
            </w:r>
            <w:r>
              <w:t xml:space="preserve"> The timestamp in the ticketing system when a defect is assigned to be worked on.</w:t>
            </w:r>
          </w:p>
          <w:p w14:paraId="123F43C9" w14:textId="77777777" w:rsidR="0001751C" w:rsidRPr="002C7415" w:rsidRDefault="0001751C" w:rsidP="00DB06F0">
            <w:pPr>
              <w:pStyle w:val="TableBullet"/>
              <w:cnfStyle w:val="000000000000" w:firstRow="0" w:lastRow="0" w:firstColumn="0" w:lastColumn="0" w:oddVBand="0" w:evenVBand="0" w:oddHBand="0" w:evenHBand="0" w:firstRowFirstColumn="0" w:firstRowLastColumn="0" w:lastRowFirstColumn="0" w:lastRowLastColumn="0"/>
            </w:pPr>
            <w:r>
              <w:rPr>
                <w:b/>
              </w:rPr>
              <w:t>Mutually Agreed-Upon Resolution Timeframe:</w:t>
            </w:r>
            <w:r>
              <w:t xml:space="preserve"> A different due date that both the Department and the Contractor have agreed to in writing.</w:t>
            </w:r>
          </w:p>
        </w:tc>
      </w:tr>
      <w:tr w:rsidR="0001751C" w:rsidRPr="002C7415" w14:paraId="2AC4E6B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902AA0F" w14:textId="77777777" w:rsidR="0001751C" w:rsidRPr="002C7415" w:rsidRDefault="0001751C" w:rsidP="00DB06F0">
            <w:pPr>
              <w:rPr>
                <w:rFonts w:cs="Arial"/>
                <w:b w:val="0"/>
                <w:bCs w:val="0"/>
                <w:szCs w:val="20"/>
              </w:rPr>
            </w:pPr>
            <w:r>
              <w:rPr>
                <w:rFonts w:cs="Arial"/>
                <w:szCs w:val="20"/>
              </w:rPr>
              <w:t>Exclusions</w:t>
            </w:r>
          </w:p>
        </w:tc>
        <w:tc>
          <w:tcPr>
            <w:tcW w:w="8900" w:type="dxa"/>
          </w:tcPr>
          <w:p w14:paraId="5642E81A"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delays if:</w:t>
            </w:r>
          </w:p>
          <w:p w14:paraId="5FCF0170"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The Department gives a written instruction to pause work on the defect.</w:t>
            </w:r>
          </w:p>
          <w:p w14:paraId="23771748"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An outside system that the Contractor doesn’t manage fails. The Contractor must provide system logs to prove this was the cause.</w:t>
            </w:r>
          </w:p>
        </w:tc>
      </w:tr>
      <w:tr w:rsidR="0001751C" w:rsidRPr="002C7415" w14:paraId="06D4ECE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ED3F835" w14:textId="77777777" w:rsidR="0001751C" w:rsidRPr="002C7415" w:rsidRDefault="0001751C" w:rsidP="00DB06F0">
            <w:pPr>
              <w:rPr>
                <w:rFonts w:cs="Arial"/>
                <w:b w:val="0"/>
                <w:bCs w:val="0"/>
                <w:szCs w:val="20"/>
              </w:rPr>
            </w:pPr>
            <w:r>
              <w:rPr>
                <w:rFonts w:cs="Arial"/>
                <w:szCs w:val="20"/>
              </w:rPr>
              <w:t>Process to Compile and Report SLA</w:t>
            </w:r>
          </w:p>
        </w:tc>
        <w:tc>
          <w:tcPr>
            <w:tcW w:w="8900" w:type="dxa"/>
          </w:tcPr>
          <w:p w14:paraId="04E60185"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will use the Operations Report to list any defects that missed their due date and to calculate the total service credits for the month.</w:t>
            </w:r>
          </w:p>
        </w:tc>
      </w:tr>
      <w:tr w:rsidR="0001751C" w:rsidRPr="002C7415" w14:paraId="3D2A744D"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1908254" w14:textId="77777777" w:rsidR="0001751C" w:rsidRPr="002C7415" w:rsidRDefault="0001751C" w:rsidP="00DB06F0">
            <w:pPr>
              <w:rPr>
                <w:rFonts w:cs="Arial"/>
                <w:b w:val="0"/>
                <w:bCs w:val="0"/>
                <w:szCs w:val="20"/>
              </w:rPr>
            </w:pPr>
            <w:r>
              <w:rPr>
                <w:rFonts w:cs="Arial"/>
                <w:szCs w:val="20"/>
              </w:rPr>
              <w:t>AMS Service Credit</w:t>
            </w:r>
          </w:p>
        </w:tc>
        <w:tc>
          <w:tcPr>
            <w:tcW w:w="8900" w:type="dxa"/>
          </w:tcPr>
          <w:p w14:paraId="0FE49D65"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rPr>
                <w:b/>
                <w:bCs/>
                <w:szCs w:val="20"/>
              </w:rPr>
              <w:t xml:space="preserve">Delayed Resolution (Initial Service Credit): </w:t>
            </w:r>
            <w:r>
              <w:t>One hundred dollars ($100) if the defect is not fixed by the due date.</w:t>
            </w:r>
          </w:p>
          <w:p w14:paraId="5076ED1A"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rPr>
                <w:b/>
                <w:bCs/>
                <w:szCs w:val="20"/>
              </w:rPr>
              <w:t xml:space="preserve">Extended Delay (Additional Service Credit): </w:t>
            </w:r>
            <w:r>
              <w:t>An additional one hundred dollars ($100) is applied for every fourteen (14)-day period where the defect remains unfixed.</w:t>
            </w:r>
          </w:p>
          <w:p w14:paraId="7D72EE3C"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pPr>
            <w:r>
              <w:t>Service credits for this SLA will not exceed twenty-five hundred dollars ($2,500) per month.</w:t>
            </w:r>
          </w:p>
        </w:tc>
      </w:tr>
      <w:tr w:rsidR="0001751C" w:rsidRPr="002C7415" w14:paraId="2B161BDF"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0BC753B" w14:textId="77777777" w:rsidR="0001751C" w:rsidRPr="002C7415" w:rsidRDefault="0001751C" w:rsidP="00DB06F0">
            <w:pPr>
              <w:rPr>
                <w:rFonts w:cs="Arial"/>
                <w:b w:val="0"/>
                <w:bCs w:val="0"/>
                <w:szCs w:val="20"/>
              </w:rPr>
            </w:pPr>
            <w:r>
              <w:rPr>
                <w:rFonts w:cs="Arial"/>
                <w:szCs w:val="20"/>
              </w:rPr>
              <w:t>Converged E&amp;E System and AMS Service Credit</w:t>
            </w:r>
          </w:p>
        </w:tc>
        <w:tc>
          <w:tcPr>
            <w:tcW w:w="8900" w:type="dxa"/>
          </w:tcPr>
          <w:p w14:paraId="78EA284E"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Delayed Resolution (Initial Service Credit):</w:t>
            </w:r>
            <w:r>
              <w:rPr>
                <w:b/>
                <w:bCs/>
                <w:szCs w:val="20"/>
              </w:rPr>
              <w:t xml:space="preserve"> </w:t>
            </w:r>
            <w:r>
              <w:rPr>
                <w:rFonts w:cs="Arial"/>
                <w:szCs w:val="20"/>
              </w:rPr>
              <w:t>One thousand dollars ($1,000) if the defect is not fixed by the due date.</w:t>
            </w:r>
          </w:p>
          <w:p w14:paraId="4A192A4D"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Extended Delay (Additional Service Credit):</w:t>
            </w:r>
            <w:r>
              <w:rPr>
                <w:rFonts w:cs="Arial"/>
                <w:szCs w:val="20"/>
              </w:rPr>
              <w:t xml:space="preserve"> An additional one thousand dollars ($1,000) applies for every fourteen (14)-day period, or portion thereof, when the defect remains unfixed.</w:t>
            </w:r>
          </w:p>
          <w:p w14:paraId="4278B074"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Service credits for this SLA will not exceed fifty thousand dollars ($50,000) per month.</w:t>
            </w:r>
          </w:p>
        </w:tc>
      </w:tr>
    </w:tbl>
    <w:p w14:paraId="482375E7" w14:textId="39023C1E" w:rsidR="0001751C" w:rsidRPr="002C7415" w:rsidRDefault="0001751C" w:rsidP="0001751C">
      <w:pPr>
        <w:pStyle w:val="HeadingSLA"/>
      </w:pPr>
      <w:bookmarkStart w:id="152" w:name="_Toc230258250"/>
      <w:bookmarkStart w:id="153" w:name="_Toc233199194"/>
      <w:r>
        <w:t>Production Defects: Low</w:t>
      </w:r>
      <w:bookmarkEnd w:id="152"/>
      <w:bookmarkEnd w:id="153"/>
    </w:p>
    <w:tbl>
      <w:tblPr>
        <w:tblStyle w:val="DOH-LeftHeader"/>
        <w:tblW w:w="4998" w:type="pct"/>
        <w:tblLayout w:type="fixed"/>
        <w:tblLook w:val="0480" w:firstRow="0" w:lastRow="0" w:firstColumn="1" w:lastColumn="0" w:noHBand="0" w:noVBand="1"/>
      </w:tblPr>
      <w:tblGrid>
        <w:gridCol w:w="1886"/>
        <w:gridCol w:w="8900"/>
      </w:tblGrid>
      <w:tr w:rsidR="0001751C" w:rsidRPr="002C7415" w14:paraId="1BDF2FA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36EEC19" w14:textId="77777777" w:rsidR="0001751C" w:rsidRPr="002C7415" w:rsidRDefault="0001751C" w:rsidP="00DB06F0">
            <w:pPr>
              <w:rPr>
                <w:rFonts w:cs="Arial"/>
                <w:b w:val="0"/>
                <w:bCs w:val="0"/>
                <w:szCs w:val="20"/>
              </w:rPr>
            </w:pPr>
            <w:r>
              <w:rPr>
                <w:rFonts w:cs="Arial"/>
                <w:szCs w:val="20"/>
              </w:rPr>
              <w:t>Purpose</w:t>
            </w:r>
          </w:p>
        </w:tc>
        <w:tc>
          <w:tcPr>
            <w:tcW w:w="8900" w:type="dxa"/>
          </w:tcPr>
          <w:p w14:paraId="21643202"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resolving low production defects within a window appropriate to their impact. Low defects are not system-down emergencies, but they do degrade the system’s ability to do its job. This SLA gives the Contractor a defined window after triage to fix them.</w:t>
            </w:r>
          </w:p>
        </w:tc>
      </w:tr>
      <w:tr w:rsidR="0001751C" w:rsidRPr="002C7415" w14:paraId="64208D6A"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C34B51F" w14:textId="77777777" w:rsidR="0001751C" w:rsidRPr="002C7415" w:rsidRDefault="0001751C" w:rsidP="00DB06F0">
            <w:pPr>
              <w:rPr>
                <w:rFonts w:cs="Arial"/>
                <w:b w:val="0"/>
                <w:bCs w:val="0"/>
                <w:szCs w:val="20"/>
              </w:rPr>
            </w:pPr>
            <w:r>
              <w:rPr>
                <w:rFonts w:cs="Arial"/>
                <w:szCs w:val="20"/>
              </w:rPr>
              <w:t>Specification</w:t>
            </w:r>
          </w:p>
        </w:tc>
        <w:tc>
          <w:tcPr>
            <w:tcW w:w="8900" w:type="dxa"/>
          </w:tcPr>
          <w:p w14:paraId="6D1545B8" w14:textId="42315D93"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A Low defect is an issue that results in a failure of the system to satisfy a business or technical function which does not return valid information, such as an error that does not affect overall system functionality or is cosmetic in nature. See </w:t>
            </w:r>
            <w:r>
              <w:rPr>
                <w:rFonts w:cs="Arial"/>
                <w:b/>
                <w:bCs/>
                <w:szCs w:val="20"/>
              </w:rPr>
              <w:fldChar w:fldCharType="begin"/>
            </w:r>
            <w:r>
              <w:rPr>
                <w:rFonts w:cs="Arial"/>
                <w:b/>
                <w:bCs/>
                <w:szCs w:val="20"/>
              </w:rPr>
              <w:instrText xml:space="preserve"> REF _Ref233191304 \h  \* MERGEFORMAT </w:instrText>
            </w:r>
            <w:r>
              <w:rPr>
                <w:rFonts w:cs="Arial"/>
                <w:b/>
                <w:bCs/>
                <w:szCs w:val="20"/>
              </w:rPr>
            </w:r>
            <w:r>
              <w:rPr>
                <w:rFonts w:cs="Arial"/>
                <w:b/>
                <w:bCs/>
                <w:szCs w:val="20"/>
              </w:rPr>
              <w:fldChar w:fldCharType="separate"/>
            </w:r>
            <w:r>
              <w:rPr>
                <w:b/>
                <w:bCs/>
              </w:rPr>
              <w:t xml:space="preserve">Table </w:t>
            </w:r>
            <w:r>
              <w:rPr>
                <w:b/>
                <w:bCs/>
                <w:noProof/>
              </w:rPr>
              <w:t>2 – Priority Level for Issues/Defects with Converged E&amp;E System and AMS Functions</w:t>
            </w:r>
            <w:r>
              <w:rPr>
                <w:rFonts w:cs="Arial"/>
                <w:b/>
                <w:bCs/>
                <w:szCs w:val="20"/>
              </w:rPr>
              <w:fldChar w:fldCharType="end"/>
            </w:r>
            <w:r>
              <w:rPr>
                <w:rFonts w:cs="Arial"/>
                <w:szCs w:val="20"/>
              </w:rPr>
              <w:t>. Low Production defects must be resolved within ninety (90) calendar days or within a mutually agreed-upon maintenance window after exiting triage (see SLA 68 for Production Defects – Triage), whichever is greater, and must be assigned to a Contractor resource for remediation. The Department and the Contractor must mutually agree to the designated severity level via the triage process; if agreement cannot be reached during triage, final determination rests solely with the Department.</w:t>
            </w:r>
          </w:p>
        </w:tc>
      </w:tr>
      <w:tr w:rsidR="0001751C" w:rsidRPr="002C7415" w14:paraId="1B1D9C7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FDE1929" w14:textId="77777777" w:rsidR="0001751C" w:rsidRPr="002C7415" w:rsidRDefault="0001751C" w:rsidP="00DB06F0">
            <w:pPr>
              <w:rPr>
                <w:rFonts w:cs="Arial"/>
                <w:b w:val="0"/>
                <w:bCs w:val="0"/>
                <w:szCs w:val="20"/>
              </w:rPr>
            </w:pPr>
            <w:r>
              <w:rPr>
                <w:rFonts w:cs="Arial"/>
                <w:szCs w:val="20"/>
              </w:rPr>
              <w:t>Service Level</w:t>
            </w:r>
          </w:p>
        </w:tc>
        <w:tc>
          <w:tcPr>
            <w:tcW w:w="8900" w:type="dxa"/>
          </w:tcPr>
          <w:p w14:paraId="16782B30"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Low Production defects must be resolved within ninety (90) calendar days after exiting triage, or within the mutually agreed-upon resolution timeframe, whichever is greater.</w:t>
            </w:r>
          </w:p>
        </w:tc>
      </w:tr>
      <w:tr w:rsidR="0001751C" w:rsidRPr="002C7415" w14:paraId="587461AD"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A094F42" w14:textId="77777777" w:rsidR="0001751C" w:rsidRPr="002C7415" w:rsidRDefault="0001751C" w:rsidP="00DB06F0">
            <w:pPr>
              <w:rPr>
                <w:rFonts w:cs="Arial"/>
                <w:b w:val="0"/>
                <w:bCs w:val="0"/>
                <w:szCs w:val="20"/>
              </w:rPr>
            </w:pPr>
            <w:r>
              <w:rPr>
                <w:rFonts w:cs="Arial"/>
                <w:szCs w:val="20"/>
              </w:rPr>
              <w:lastRenderedPageBreak/>
              <w:t>Notes</w:t>
            </w:r>
          </w:p>
        </w:tc>
        <w:tc>
          <w:tcPr>
            <w:tcW w:w="8900" w:type="dxa"/>
          </w:tcPr>
          <w:p w14:paraId="32328DBD"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Severity is determined collaboratively in triage; final determination rests with the Department. The Contractor must maintain Low defect records in the Department-approved ticketing system with all required timestamps.</w:t>
            </w:r>
          </w:p>
        </w:tc>
      </w:tr>
      <w:tr w:rsidR="0001751C" w:rsidRPr="002C7415" w14:paraId="000B3CC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3D417C5" w14:textId="77777777" w:rsidR="0001751C" w:rsidRPr="002C7415" w:rsidRDefault="0001751C" w:rsidP="00DB06F0">
            <w:pPr>
              <w:rPr>
                <w:rFonts w:cs="Arial"/>
                <w:b w:val="0"/>
                <w:bCs w:val="0"/>
                <w:szCs w:val="20"/>
              </w:rPr>
            </w:pPr>
            <w:r>
              <w:rPr>
                <w:rFonts w:cs="Arial"/>
                <w:szCs w:val="20"/>
              </w:rPr>
              <w:t>Reporting Frequency</w:t>
            </w:r>
          </w:p>
        </w:tc>
        <w:tc>
          <w:tcPr>
            <w:tcW w:w="8900" w:type="dxa"/>
          </w:tcPr>
          <w:p w14:paraId="7AA0A5F2"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evaluated per defect. The Operations Report is delivered to the Department daily. This SLA is in effect after the Transition-In Cutover and continues through the Transition-Out Cutover.</w:t>
            </w:r>
          </w:p>
        </w:tc>
      </w:tr>
      <w:tr w:rsidR="0001751C" w:rsidRPr="002C7415" w14:paraId="064D216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A26C474" w14:textId="77777777" w:rsidR="0001751C" w:rsidRPr="002C7415" w:rsidRDefault="0001751C" w:rsidP="00DB06F0">
            <w:pPr>
              <w:rPr>
                <w:rFonts w:cs="Arial"/>
                <w:szCs w:val="20"/>
              </w:rPr>
            </w:pPr>
            <w:r>
              <w:rPr>
                <w:rFonts w:cs="Arial"/>
                <w:szCs w:val="20"/>
              </w:rPr>
              <w:t>SLA Calculations</w:t>
            </w:r>
          </w:p>
        </w:tc>
        <w:tc>
          <w:tcPr>
            <w:tcW w:w="8900" w:type="dxa"/>
          </w:tcPr>
          <w:p w14:paraId="4C4B7826"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Low defect. For each Low defect, the Contractor records the triage exit timestamp, the agreed resolution timeframe (if established in triage), and the resolution timestamp. Each Low defect not resolved within the applicable timeframe counts as one (1) occurrence, with additional occurrences accruing every thirty (30) calendar days, or portion thereof, beyond the initial resolution timeframe. Total credits under this SLA are subject to the monthly cap.</w:t>
            </w:r>
          </w:p>
        </w:tc>
      </w:tr>
      <w:tr w:rsidR="0001751C" w:rsidRPr="002C7415" w14:paraId="7C1D49A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807067E" w14:textId="77777777" w:rsidR="0001751C" w:rsidRPr="002C7415" w:rsidRDefault="0001751C" w:rsidP="00DB06F0">
            <w:pPr>
              <w:rPr>
                <w:rFonts w:cs="Arial"/>
                <w:b w:val="0"/>
                <w:bCs w:val="0"/>
                <w:szCs w:val="20"/>
              </w:rPr>
            </w:pPr>
            <w:r>
              <w:rPr>
                <w:rFonts w:cs="Arial"/>
                <w:szCs w:val="20"/>
              </w:rPr>
              <w:t>SLA Calculations Definitions</w:t>
            </w:r>
          </w:p>
        </w:tc>
        <w:tc>
          <w:tcPr>
            <w:tcW w:w="8900" w:type="dxa"/>
          </w:tcPr>
          <w:p w14:paraId="2090F1B5"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Low Defect: </w:t>
            </w:r>
            <w:r>
              <w:rPr>
                <w:rFonts w:cs="Arial"/>
                <w:szCs w:val="20"/>
              </w:rPr>
              <w:t>an issue that results in a failure of the system to satisfy a business or technical function which does not return valid information, such as an error that does not affect overall system functionality or is cosmetic in nature.</w:t>
            </w:r>
          </w:p>
          <w:p w14:paraId="73956FBD"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Triage Exit: </w:t>
            </w:r>
            <w:r>
              <w:rPr>
                <w:rFonts w:cs="Arial"/>
                <w:szCs w:val="20"/>
              </w:rPr>
              <w:t>The point at which the defect ticket is given an “Assigned” or “Closed” status in the ticketing system, marking the start of the resolution clock.</w:t>
            </w:r>
          </w:p>
          <w:p w14:paraId="46EC8E56"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Mutually Agreed-Upon Resolution Timeframe: </w:t>
            </w:r>
            <w:r>
              <w:rPr>
                <w:rFonts w:cs="Arial"/>
                <w:szCs w:val="20"/>
              </w:rPr>
              <w:t>A resolution window negotiated between the Department and the Contractor for an individual Low defect when the standard ninety (90) calendar days window is not feasible; only the longer of the two timeframes governs.</w:t>
            </w:r>
          </w:p>
        </w:tc>
      </w:tr>
      <w:tr w:rsidR="0001751C" w:rsidRPr="002C7415" w14:paraId="0267C97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A9EEE99" w14:textId="77777777" w:rsidR="0001751C" w:rsidRPr="002C7415" w:rsidRDefault="0001751C" w:rsidP="00DB06F0">
            <w:pPr>
              <w:rPr>
                <w:rFonts w:cs="Arial"/>
                <w:b w:val="0"/>
                <w:bCs w:val="0"/>
                <w:szCs w:val="20"/>
              </w:rPr>
            </w:pPr>
            <w:r>
              <w:rPr>
                <w:rFonts w:cs="Arial"/>
                <w:szCs w:val="20"/>
              </w:rPr>
              <w:t>Exclusions</w:t>
            </w:r>
          </w:p>
        </w:tc>
        <w:tc>
          <w:tcPr>
            <w:tcW w:w="8900" w:type="dxa"/>
          </w:tcPr>
          <w:p w14:paraId="0E342B24"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resolution delays caused by: (a) Department-directed pauses; or (b) failures of third-party systems outside the Contractor’s managed boundary. The Contractor is responsible for demonstrating any claimed exclusion.</w:t>
            </w:r>
          </w:p>
        </w:tc>
      </w:tr>
      <w:tr w:rsidR="0001751C" w:rsidRPr="002C7415" w14:paraId="6FE3B8D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2A89559" w14:textId="77777777" w:rsidR="0001751C" w:rsidRPr="002C7415" w:rsidRDefault="0001751C" w:rsidP="00DB06F0">
            <w:pPr>
              <w:rPr>
                <w:rFonts w:cs="Arial"/>
                <w:b w:val="0"/>
                <w:bCs w:val="0"/>
                <w:szCs w:val="20"/>
              </w:rPr>
            </w:pPr>
            <w:r>
              <w:rPr>
                <w:rFonts w:cs="Arial"/>
                <w:szCs w:val="20"/>
              </w:rPr>
              <w:t>Process to Compile and Report SLA</w:t>
            </w:r>
          </w:p>
        </w:tc>
        <w:tc>
          <w:tcPr>
            <w:tcW w:w="8900" w:type="dxa"/>
          </w:tcPr>
          <w:p w14:paraId="78765D3C"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Low defect, the Contractor must capture and retain: the defect ticket; the triage exit timestamp; the agreed resolution timeframe where applicable; the resolution timestamp; the root cause; and the corrective action. The Operations Report aggregates these records, identifies non-compliant resolutions, totals service credits accrued (subject to the monthly cap), and is made available to the Department on request.</w:t>
            </w:r>
          </w:p>
        </w:tc>
      </w:tr>
      <w:tr w:rsidR="0001751C" w:rsidRPr="002C7415" w14:paraId="186DC9B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E36D545" w14:textId="77777777" w:rsidR="0001751C" w:rsidRPr="002C7415" w:rsidRDefault="0001751C" w:rsidP="00DB06F0">
            <w:pPr>
              <w:rPr>
                <w:rFonts w:cs="Arial"/>
                <w:b w:val="0"/>
                <w:bCs w:val="0"/>
                <w:szCs w:val="20"/>
              </w:rPr>
            </w:pPr>
            <w:r>
              <w:rPr>
                <w:rFonts w:cs="Arial"/>
                <w:szCs w:val="20"/>
              </w:rPr>
              <w:t>AMS Service Credit</w:t>
            </w:r>
          </w:p>
        </w:tc>
        <w:tc>
          <w:tcPr>
            <w:tcW w:w="8900" w:type="dxa"/>
          </w:tcPr>
          <w:p w14:paraId="68A05E5A"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Delayed Resolution (Initial Service Credit): </w:t>
            </w:r>
            <w:r>
              <w:rPr>
                <w:rFonts w:cs="Arial"/>
                <w:szCs w:val="20"/>
              </w:rPr>
              <w:t>Failure to comply within ninety (90) calendar days (or the mutually agreed-upon resolution timeframe) after exiting triage results in a service credit of five hundred dollars ($500) per Low defect not resolved in production.</w:t>
            </w:r>
          </w:p>
          <w:p w14:paraId="6B509BED"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Extended Delay (Additional Service Credit): </w:t>
            </w:r>
            <w:r>
              <w:rPr>
                <w:rFonts w:cs="Arial"/>
                <w:szCs w:val="20"/>
              </w:rPr>
              <w:t>If the defect remains unresolved after ninety (90) calendar days,</w:t>
            </w:r>
            <w:r>
              <w:rPr>
                <w:rFonts w:cs="Arial"/>
                <w:b/>
                <w:bCs/>
                <w:szCs w:val="20"/>
              </w:rPr>
              <w:t xml:space="preserve"> </w:t>
            </w:r>
            <w:r>
              <w:rPr>
                <w:rFonts w:cs="Arial"/>
                <w:szCs w:val="20"/>
              </w:rPr>
              <w:t xml:space="preserve">an additional five hundred dollars ($500) is applied for every thirty (30) calendar days, or portion thereof, beyond the initial resolution timeframe. </w:t>
            </w:r>
          </w:p>
          <w:p w14:paraId="0E7ACF42"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Service credits for defect resolution time will not exceed five thousand dollars ($5,000) per month for all Low defects.</w:t>
            </w:r>
          </w:p>
        </w:tc>
      </w:tr>
      <w:tr w:rsidR="0001751C" w:rsidRPr="002C7415" w14:paraId="5686F55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6DFD71B" w14:textId="77777777" w:rsidR="0001751C" w:rsidRPr="002C7415" w:rsidRDefault="0001751C" w:rsidP="00DB06F0">
            <w:pPr>
              <w:rPr>
                <w:rFonts w:cs="Arial"/>
                <w:b w:val="0"/>
                <w:bCs w:val="0"/>
                <w:szCs w:val="20"/>
              </w:rPr>
            </w:pPr>
            <w:r>
              <w:rPr>
                <w:rFonts w:cs="Arial"/>
                <w:szCs w:val="20"/>
              </w:rPr>
              <w:t>Converged E&amp;E System and AMS Service Credit</w:t>
            </w:r>
          </w:p>
        </w:tc>
        <w:tc>
          <w:tcPr>
            <w:tcW w:w="8900" w:type="dxa"/>
          </w:tcPr>
          <w:p w14:paraId="144C030C" w14:textId="77777777" w:rsidR="0001751C"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Delayed Resolution (Initial Service Credit): </w:t>
            </w:r>
            <w:r>
              <w:rPr>
                <w:rFonts w:cs="Arial"/>
                <w:szCs w:val="20"/>
              </w:rPr>
              <w:t>Failure to comply within ninety (90) calendar days (or the mutually agreed-upon resolution timeframe) after exiting triage results in a service credit of five hundred dollars ($500) per Low defect not resolved in production.</w:t>
            </w:r>
          </w:p>
          <w:p w14:paraId="431DADD7" w14:textId="77777777" w:rsidR="0001751C"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Extended Delay (Additional Service Credit): </w:t>
            </w:r>
            <w:r>
              <w:rPr>
                <w:rFonts w:cs="Arial"/>
                <w:szCs w:val="20"/>
              </w:rPr>
              <w:t xml:space="preserve">If the defect remains unresolved after ninety (90) calendar days, an additional five hundred dollars ($500) is applied for every thirty (30) calendar days, or portion thereof, beyond the initial resolution timeframe. </w:t>
            </w:r>
          </w:p>
          <w:p w14:paraId="64A2D9B6"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Service credits for defect resolution time will not exceed fifty thousand dollars ($50,000) per month for all Low defects.</w:t>
            </w:r>
          </w:p>
        </w:tc>
      </w:tr>
    </w:tbl>
    <w:p w14:paraId="5D9D34F4" w14:textId="25C9124F" w:rsidR="0001751C" w:rsidRPr="002C7415" w:rsidRDefault="0001751C" w:rsidP="0001751C">
      <w:pPr>
        <w:pStyle w:val="HeadingSLA"/>
      </w:pPr>
      <w:bookmarkStart w:id="154" w:name="_Toc230258251"/>
      <w:bookmarkStart w:id="155" w:name="_Toc233199195"/>
      <w:r>
        <w:t>Production Defects: Triage</w:t>
      </w:r>
      <w:bookmarkEnd w:id="154"/>
      <w:bookmarkEnd w:id="155"/>
    </w:p>
    <w:tbl>
      <w:tblPr>
        <w:tblStyle w:val="DOH-LeftHeader"/>
        <w:tblW w:w="4998" w:type="pct"/>
        <w:tblLayout w:type="fixed"/>
        <w:tblLook w:val="0480" w:firstRow="0" w:lastRow="0" w:firstColumn="1" w:lastColumn="0" w:noHBand="0" w:noVBand="1"/>
      </w:tblPr>
      <w:tblGrid>
        <w:gridCol w:w="1886"/>
        <w:gridCol w:w="8900"/>
      </w:tblGrid>
      <w:tr w:rsidR="0001751C" w:rsidRPr="002C7415" w14:paraId="66D75D6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3055B97" w14:textId="77777777" w:rsidR="0001751C" w:rsidRPr="002C7415" w:rsidRDefault="0001751C" w:rsidP="00DB06F0">
            <w:pPr>
              <w:rPr>
                <w:rFonts w:cs="Arial"/>
                <w:b w:val="0"/>
                <w:bCs w:val="0"/>
                <w:szCs w:val="20"/>
              </w:rPr>
            </w:pPr>
            <w:r>
              <w:rPr>
                <w:rFonts w:cs="Arial"/>
                <w:szCs w:val="20"/>
              </w:rPr>
              <w:t>Purpose</w:t>
            </w:r>
          </w:p>
        </w:tc>
        <w:tc>
          <w:tcPr>
            <w:tcW w:w="8900" w:type="dxa"/>
          </w:tcPr>
          <w:p w14:paraId="2F979FBA"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is about not letting defects sit in triage. Once a defect is in front of the Contractor, the Department needs the severity decision and the assignment to happen quickly so the resolution </w:t>
            </w:r>
            <w:r>
              <w:rPr>
                <w:rFonts w:cs="Arial"/>
                <w:szCs w:val="20"/>
              </w:rPr>
              <w:lastRenderedPageBreak/>
              <w:t>clock can start. This SLA enforces a five (5) calendar day cap for non-Critical defects and a thirty-six (36) hour cap for Critical defects, with explicit clock controls.</w:t>
            </w:r>
          </w:p>
        </w:tc>
      </w:tr>
      <w:tr w:rsidR="0001751C" w:rsidRPr="002C7415" w14:paraId="123E0EC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F268F5B" w14:textId="77777777" w:rsidR="0001751C" w:rsidRPr="002C7415" w:rsidRDefault="0001751C" w:rsidP="00DB06F0">
            <w:pPr>
              <w:rPr>
                <w:rFonts w:cs="Arial"/>
                <w:b w:val="0"/>
                <w:bCs w:val="0"/>
                <w:szCs w:val="20"/>
              </w:rPr>
            </w:pPr>
            <w:r>
              <w:rPr>
                <w:rFonts w:cs="Arial"/>
                <w:szCs w:val="20"/>
              </w:rPr>
              <w:lastRenderedPageBreak/>
              <w:t>Specification</w:t>
            </w:r>
          </w:p>
        </w:tc>
        <w:tc>
          <w:tcPr>
            <w:tcW w:w="8900" w:type="dxa"/>
          </w:tcPr>
          <w:p w14:paraId="35568195" w14:textId="77777777" w:rsidR="0001751C" w:rsidRPr="006B37D1" w:rsidRDefault="0001751C" w:rsidP="00DB06F0">
            <w:pPr>
              <w:cnfStyle w:val="000000010000" w:firstRow="0" w:lastRow="0" w:firstColumn="0" w:lastColumn="0" w:oddVBand="0" w:evenVBand="0" w:oddHBand="0" w:evenHBand="1" w:firstRowFirstColumn="0" w:firstRowLastColumn="0" w:lastRowFirstColumn="0" w:lastRowLastColumn="0"/>
            </w:pPr>
            <w:r>
              <w:t>As part of the defect triage process, once a non-Critical defect is assigned a status requiring Contractor interaction, it must exit triage within five (5) calendar days. Critical defects must exit triage within thirty-six (36) hours.</w:t>
            </w:r>
          </w:p>
          <w:p w14:paraId="52B5FDC8" w14:textId="77777777" w:rsidR="0001751C" w:rsidRPr="006B37D1" w:rsidRDefault="0001751C" w:rsidP="00DB06F0">
            <w:pPr>
              <w:cnfStyle w:val="000000010000" w:firstRow="0" w:lastRow="0" w:firstColumn="0" w:lastColumn="0" w:oddVBand="0" w:evenVBand="0" w:oddHBand="0" w:evenHBand="1" w:firstRowFirstColumn="0" w:firstRowLastColumn="0" w:lastRowFirstColumn="0" w:lastRowLastColumn="0"/>
            </w:pPr>
            <w:r>
              <w:t xml:space="preserve">Triage is considered complete when the defect is given an “Assigned” or “Closed” status in the service ticketing system. The Triage Clock is governed by ticket status: it begins the next calendar day after the production defect creation date; it stops upon Department approval of suspension, with the ticket placed in “Clock Suspend” status (which may be initiated by Department staff or by the Contractor with Department approval); it resumes when the ticket is no longer in “Clock Suspend”; and it stops when the ticket reaches “Assigned” or “Closed.” </w:t>
            </w:r>
          </w:p>
          <w:p w14:paraId="2AD5B487" w14:textId="77777777" w:rsidR="0001751C" w:rsidRPr="006B37D1" w:rsidRDefault="0001751C" w:rsidP="00DB06F0">
            <w:pPr>
              <w:cnfStyle w:val="000000010000" w:firstRow="0" w:lastRow="0" w:firstColumn="0" w:lastColumn="0" w:oddVBand="0" w:evenVBand="0" w:oddHBand="0" w:evenHBand="1" w:firstRowFirstColumn="0" w:firstRowLastColumn="0" w:lastRowFirstColumn="0" w:lastRowLastColumn="0"/>
            </w:pPr>
            <w:r>
              <w:t>The five (5) calendar day SLA for non-Critical defects is calculated, minus any days for which the Triage Clock was in suspended status at end of day. The thirty-six (36) hours SLA for Critical defects is calculated, less any hours, or portion thereof, for which the Triage Clock was in suspended status.</w:t>
            </w:r>
          </w:p>
          <w:p w14:paraId="637B74D6" w14:textId="77777777" w:rsidR="0001751C" w:rsidRPr="006B37D1" w:rsidRDefault="0001751C" w:rsidP="00DB06F0">
            <w:pPr>
              <w:cnfStyle w:val="000000010000" w:firstRow="0" w:lastRow="0" w:firstColumn="0" w:lastColumn="0" w:oddVBand="0" w:evenVBand="0" w:oddHBand="0" w:evenHBand="1" w:firstRowFirstColumn="0" w:firstRowLastColumn="0" w:lastRowFirstColumn="0" w:lastRowLastColumn="0"/>
            </w:pPr>
            <w:r>
              <w:t>If any of the following defect attributes are changed, the production defect returns to triage and both the triage and remediation clocks are reset to zero (0): Severity, Found In, or Phase. The Department must be notified by the Contractor in writing or at the daily triage meeting of any such change.</w:t>
            </w:r>
          </w:p>
        </w:tc>
      </w:tr>
      <w:tr w:rsidR="0001751C" w:rsidRPr="002C7415" w14:paraId="5D177F6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1C8FA38" w14:textId="77777777" w:rsidR="0001751C" w:rsidRPr="002C7415" w:rsidRDefault="0001751C" w:rsidP="00DB06F0">
            <w:pPr>
              <w:rPr>
                <w:rFonts w:cs="Arial"/>
                <w:b w:val="0"/>
                <w:bCs w:val="0"/>
                <w:szCs w:val="20"/>
              </w:rPr>
            </w:pPr>
            <w:r>
              <w:rPr>
                <w:rFonts w:cs="Arial"/>
                <w:szCs w:val="20"/>
              </w:rPr>
              <w:t>Service Level</w:t>
            </w:r>
          </w:p>
        </w:tc>
        <w:tc>
          <w:tcPr>
            <w:tcW w:w="8900" w:type="dxa"/>
          </w:tcPr>
          <w:p w14:paraId="46343D11"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Critical defects must exit triage within thirty-six (36) hours; all other defects must exit triage within five (5) calendar days, less any approved Triage Clock suspension hours or days, respectively.</w:t>
            </w:r>
          </w:p>
        </w:tc>
      </w:tr>
      <w:tr w:rsidR="0001751C" w:rsidRPr="002C7415" w14:paraId="71A8FC8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9807906" w14:textId="77777777" w:rsidR="0001751C" w:rsidRPr="002C7415" w:rsidRDefault="0001751C" w:rsidP="00DB06F0">
            <w:pPr>
              <w:rPr>
                <w:rFonts w:cs="Arial"/>
                <w:b w:val="0"/>
                <w:bCs w:val="0"/>
                <w:szCs w:val="20"/>
              </w:rPr>
            </w:pPr>
            <w:r>
              <w:rPr>
                <w:rFonts w:cs="Arial"/>
                <w:szCs w:val="20"/>
              </w:rPr>
              <w:t>Notes</w:t>
            </w:r>
          </w:p>
        </w:tc>
        <w:tc>
          <w:tcPr>
            <w:tcW w:w="8900" w:type="dxa"/>
          </w:tcPr>
          <w:p w14:paraId="00AFC1C3"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Triage Clock control is driven by ticket status in the Department’s preferred ticketing system (Jira). Suspensions require Department approval and must be evidenced in the ticket. The daily triage meeting is the primary forum for written notification of attribute changes that reset the clock.</w:t>
            </w:r>
          </w:p>
        </w:tc>
      </w:tr>
      <w:tr w:rsidR="0001751C" w:rsidRPr="002C7415" w14:paraId="6548AB8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AEBB036" w14:textId="77777777" w:rsidR="0001751C" w:rsidRPr="002C7415" w:rsidRDefault="0001751C" w:rsidP="00DB06F0">
            <w:pPr>
              <w:rPr>
                <w:rFonts w:cs="Arial"/>
                <w:b w:val="0"/>
                <w:bCs w:val="0"/>
                <w:szCs w:val="20"/>
              </w:rPr>
            </w:pPr>
            <w:r>
              <w:rPr>
                <w:rFonts w:cs="Arial"/>
                <w:szCs w:val="20"/>
              </w:rPr>
              <w:t>Reporting Frequency</w:t>
            </w:r>
          </w:p>
        </w:tc>
        <w:tc>
          <w:tcPr>
            <w:tcW w:w="8900" w:type="dxa"/>
          </w:tcPr>
          <w:p w14:paraId="3ED3FAC8"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Compliance is evaluated per defect. A monthly M&amp;O Status Report is delivered to the Department within five (5) business days after the end of each calendar month. This SLA is in effect after the Transition-In Cutover and continues through the Transition-Out Cutover.</w:t>
            </w:r>
          </w:p>
        </w:tc>
      </w:tr>
      <w:tr w:rsidR="0001751C" w:rsidRPr="002C7415" w14:paraId="712BD72A"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FE9A1A7" w14:textId="77777777" w:rsidR="0001751C" w:rsidRPr="002C7415" w:rsidRDefault="0001751C" w:rsidP="00DB06F0">
            <w:pPr>
              <w:rPr>
                <w:rFonts w:cs="Arial"/>
                <w:szCs w:val="20"/>
              </w:rPr>
            </w:pPr>
            <w:r>
              <w:rPr>
                <w:rFonts w:cs="Arial"/>
                <w:szCs w:val="20"/>
              </w:rPr>
              <w:t>SLA Calculations</w:t>
            </w:r>
          </w:p>
        </w:tc>
        <w:tc>
          <w:tcPr>
            <w:tcW w:w="8900" w:type="dxa"/>
          </w:tcPr>
          <w:p w14:paraId="30EB5950" w14:textId="77777777" w:rsidR="0001751C"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 xml:space="preserve">Compliance is measured per defect. For each defect, the Contractor records the production defect creation date, the Triage Clock start date (the day after creation), every suspension and resumption with Department approval reference, and the timestamp the ticket reaches “Assigned” or “Closed.” </w:t>
            </w:r>
          </w:p>
          <w:p w14:paraId="4FCE1D24" w14:textId="77777777" w:rsidR="0001751C" w:rsidRDefault="0001751C" w:rsidP="00DB06F0">
            <w:pPr>
              <w:pStyle w:val="TableBullet2"/>
              <w:cnfStyle w:val="000000010000" w:firstRow="0" w:lastRow="0" w:firstColumn="0" w:lastColumn="0" w:oddVBand="0" w:evenVBand="0" w:oddHBand="0" w:evenHBand="1" w:firstRowFirstColumn="0" w:firstRowLastColumn="0" w:lastRowFirstColumn="0" w:lastRowLastColumn="0"/>
            </w:pPr>
            <w:r>
              <w:t xml:space="preserve">Effective triage time for non-Critical defects is calculated by subtracting all approved suspension days from elapsed days. </w:t>
            </w:r>
          </w:p>
          <w:p w14:paraId="3140C811" w14:textId="77777777" w:rsidR="0001751C" w:rsidRPr="00515815" w:rsidRDefault="0001751C" w:rsidP="00DB06F0">
            <w:pPr>
              <w:pStyle w:val="TableBullet2"/>
              <w:cnfStyle w:val="000000010000" w:firstRow="0" w:lastRow="0" w:firstColumn="0" w:lastColumn="0" w:oddVBand="0" w:evenVBand="0" w:oddHBand="0" w:evenHBand="1" w:firstRowFirstColumn="0" w:firstRowLastColumn="0" w:lastRowFirstColumn="0" w:lastRowLastColumn="0"/>
            </w:pPr>
            <w:r>
              <w:t>Effective triage time for Critical defects is calculated by subtracting all approved suspension hours from total elapsed hours.</w:t>
            </w:r>
          </w:p>
          <w:p w14:paraId="1D4813C9" w14:textId="77777777" w:rsidR="0001751C" w:rsidRPr="005158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Each defect that exceeds the applicable triage timeframe (thirty-six [36] hours for Critical, five [5] calendar days for non-Critical) counts as one (1) occurrence, with additional per-calendar-day or per-hour occurrences accruing until the ticket exits triage.</w:t>
            </w:r>
          </w:p>
        </w:tc>
      </w:tr>
      <w:tr w:rsidR="0001751C" w:rsidRPr="002C7415" w14:paraId="172FD2A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9EA5B99" w14:textId="77777777" w:rsidR="0001751C" w:rsidRPr="002C7415" w:rsidRDefault="0001751C" w:rsidP="00DB06F0">
            <w:pPr>
              <w:rPr>
                <w:rFonts w:cs="Arial"/>
                <w:b w:val="0"/>
                <w:bCs w:val="0"/>
                <w:szCs w:val="20"/>
              </w:rPr>
            </w:pPr>
            <w:r>
              <w:rPr>
                <w:rFonts w:cs="Arial"/>
                <w:szCs w:val="20"/>
              </w:rPr>
              <w:t>SLA Calculations Definitions</w:t>
            </w:r>
          </w:p>
        </w:tc>
        <w:tc>
          <w:tcPr>
            <w:tcW w:w="8900" w:type="dxa"/>
          </w:tcPr>
          <w:p w14:paraId="6EC8C170"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Triage: </w:t>
            </w:r>
            <w:r>
              <w:rPr>
                <w:rFonts w:cs="Arial"/>
                <w:szCs w:val="20"/>
              </w:rPr>
              <w:t>The defect classification and assignment process that runs from the day after defect creation until the ticket reaches “Assigned” or “Closed” status.</w:t>
            </w:r>
          </w:p>
          <w:p w14:paraId="26B1E31F"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Triage Clock: </w:t>
            </w:r>
            <w:r>
              <w:rPr>
                <w:rFonts w:cs="Arial"/>
                <w:szCs w:val="20"/>
              </w:rPr>
              <w:t>The elapsed-time counter for triage, controlled by ticket status, starting the day after defect creation and pausing during Department-approved “Clock Suspend” periods.</w:t>
            </w:r>
          </w:p>
          <w:p w14:paraId="1162D270"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Reset Attributes: </w:t>
            </w:r>
            <w:r>
              <w:rPr>
                <w:rFonts w:cs="Arial"/>
                <w:szCs w:val="20"/>
              </w:rPr>
              <w:t>Severity, Found In, or Phase. Any change to one of these returns the defect to triage and resets both the triage and remediation clocks to zero (0).</w:t>
            </w:r>
          </w:p>
        </w:tc>
      </w:tr>
      <w:tr w:rsidR="0001751C" w:rsidRPr="002C7415" w14:paraId="7F61C721"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0B21556" w14:textId="77777777" w:rsidR="0001751C" w:rsidRPr="002C7415" w:rsidRDefault="0001751C" w:rsidP="00DB06F0">
            <w:pPr>
              <w:rPr>
                <w:rFonts w:cs="Arial"/>
                <w:b w:val="0"/>
                <w:bCs w:val="0"/>
                <w:szCs w:val="20"/>
              </w:rPr>
            </w:pPr>
            <w:r>
              <w:rPr>
                <w:rFonts w:cs="Arial"/>
                <w:szCs w:val="20"/>
              </w:rPr>
              <w:t>Exclusions</w:t>
            </w:r>
          </w:p>
        </w:tc>
        <w:tc>
          <w:tcPr>
            <w:tcW w:w="8900" w:type="dxa"/>
          </w:tcPr>
          <w:p w14:paraId="6AE93997" w14:textId="77777777" w:rsidR="0001751C" w:rsidRPr="0009321C"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 xml:space="preserve">Days for which the Triage Clock is in Department-approved “Clock Suspend” status at end of day are excluded from the non-Critical defect five (5) calendar day count. </w:t>
            </w:r>
          </w:p>
          <w:p w14:paraId="10533C49" w14:textId="77777777" w:rsidR="0001751C" w:rsidRPr="0009321C"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Hours for which the Triage Clock is in Department-approved “Clock Suspend” status are excluded from the Critical defect thirty-six (36) hours count.</w:t>
            </w:r>
          </w:p>
          <w:p w14:paraId="643C7BAF"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responsible for demonstrating any claimed exclusion.</w:t>
            </w:r>
          </w:p>
        </w:tc>
      </w:tr>
      <w:tr w:rsidR="0001751C" w:rsidRPr="002C7415" w14:paraId="38217451"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5214608" w14:textId="77777777" w:rsidR="0001751C" w:rsidRPr="002C7415" w:rsidRDefault="0001751C" w:rsidP="00DB06F0">
            <w:pPr>
              <w:rPr>
                <w:rFonts w:cs="Arial"/>
                <w:b w:val="0"/>
                <w:bCs w:val="0"/>
                <w:szCs w:val="20"/>
              </w:rPr>
            </w:pPr>
            <w:r>
              <w:rPr>
                <w:rFonts w:cs="Arial"/>
                <w:szCs w:val="20"/>
              </w:rPr>
              <w:t>Process to Compile and Report SLA</w:t>
            </w:r>
          </w:p>
        </w:tc>
        <w:tc>
          <w:tcPr>
            <w:tcW w:w="8900" w:type="dxa"/>
          </w:tcPr>
          <w:p w14:paraId="48888349"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defect, the Contractor must capture and retain, at a minimum, the following: the production defect creation date; the Triage Clock start; every suspension event with Department approval reference; every resumption; the “Assigned” or “Closed” timestamp; and any attribute changes that reset the clock. The monthly M&amp;O Status Report aggregates these records, identifies overdue triage events, and totals service credits accrued. The service credit calculation detail is made available to the Department on request.</w:t>
            </w:r>
          </w:p>
        </w:tc>
      </w:tr>
      <w:tr w:rsidR="0001751C" w:rsidRPr="002C7415" w14:paraId="49EA7A2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678175F" w14:textId="77777777" w:rsidR="0001751C" w:rsidRPr="002C7415" w:rsidRDefault="0001751C" w:rsidP="00DB06F0">
            <w:pPr>
              <w:rPr>
                <w:rFonts w:cs="Arial"/>
                <w:b w:val="0"/>
                <w:bCs w:val="0"/>
                <w:szCs w:val="20"/>
              </w:rPr>
            </w:pPr>
            <w:r>
              <w:rPr>
                <w:rFonts w:cs="Arial"/>
                <w:szCs w:val="20"/>
              </w:rPr>
              <w:t>AMS Service Credit</w:t>
            </w:r>
          </w:p>
        </w:tc>
        <w:tc>
          <w:tcPr>
            <w:tcW w:w="8900" w:type="dxa"/>
          </w:tcPr>
          <w:p w14:paraId="78259071"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Resolution (Initial Service Credit)</w:t>
            </w:r>
            <w:r>
              <w:rPr>
                <w:rFonts w:cs="Arial"/>
                <w:szCs w:val="20"/>
              </w:rPr>
              <w:t>: Failure to comply results in a service credit of five  hundred dollars ($500) per defect overdue in the triage stage and not moved to the next stage as defined in the M&amp;O Manual.</w:t>
            </w:r>
          </w:p>
          <w:p w14:paraId="542345D9"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Extended Non-Critical Defect Delay (Additional Service Credit): </w:t>
            </w:r>
            <w:r>
              <w:rPr>
                <w:rFonts w:cs="Arial"/>
                <w:szCs w:val="20"/>
              </w:rPr>
              <w:t>If the non-Critical defect remains unresolved after five (5) calendar days, an additional five  hundred dollars ($500) is applied per defect for every calendar day, or portion thereof, beyond the initial five (5) calendar days that a defect remains in triage stage.</w:t>
            </w:r>
          </w:p>
          <w:p w14:paraId="683B66FA"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Extended Critical Defect Delay (Additional Service Credit): </w:t>
            </w:r>
            <w:r>
              <w:rPr>
                <w:rFonts w:cs="Arial"/>
                <w:szCs w:val="20"/>
              </w:rPr>
              <w:t>If the Critical defect remains unresolved after thirty-six (36) hours, an additional five  hundred dollars ($500) applies per defect for every hour, or portion thereof, beyond the initial thirty-six (36) hours that a defect remains in triage stage.</w:t>
            </w:r>
          </w:p>
        </w:tc>
      </w:tr>
      <w:tr w:rsidR="0001751C" w:rsidRPr="002C7415" w14:paraId="73547DF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35D3B9B" w14:textId="77777777" w:rsidR="0001751C" w:rsidRPr="002C7415" w:rsidRDefault="0001751C" w:rsidP="00DB06F0">
            <w:pPr>
              <w:rPr>
                <w:rFonts w:cs="Arial"/>
                <w:b w:val="0"/>
                <w:bCs w:val="0"/>
                <w:szCs w:val="20"/>
              </w:rPr>
            </w:pPr>
            <w:r>
              <w:rPr>
                <w:rFonts w:cs="Arial"/>
                <w:szCs w:val="20"/>
              </w:rPr>
              <w:t>Converged E&amp;E System and AMS Service Credit</w:t>
            </w:r>
          </w:p>
        </w:tc>
        <w:tc>
          <w:tcPr>
            <w:tcW w:w="8900" w:type="dxa"/>
          </w:tcPr>
          <w:p w14:paraId="6AC47270" w14:textId="77777777" w:rsidR="0001751C"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Delayed Resolution (Initial Service Credit)</w:t>
            </w:r>
            <w:r>
              <w:rPr>
                <w:rFonts w:cs="Arial"/>
                <w:szCs w:val="20"/>
              </w:rPr>
              <w:t>: Failure to comply results in a service credit of one thousand dollars ($1,000) per defect overdue in the triage stage and not moved to the next stage as defined in the M&amp;O Manual.</w:t>
            </w:r>
          </w:p>
          <w:p w14:paraId="0D671752" w14:textId="77777777" w:rsidR="0001751C"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Extended Non-Critical Defect Delay (Additional Service Credit): </w:t>
            </w:r>
            <w:r>
              <w:rPr>
                <w:rFonts w:cs="Arial"/>
                <w:szCs w:val="20"/>
              </w:rPr>
              <w:t>If the non-Critical defect remains unresolved after five (5) calendar days, an additional one thousand dollars ($1,000) is applied per defect for every calendar day, or portion thereof, starting with calendar day six (6) while the defect remains in triage stage.</w:t>
            </w:r>
          </w:p>
          <w:p w14:paraId="46F6562B"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Extended Critical Defect Delay (Additional Service Credit): </w:t>
            </w:r>
            <w:r>
              <w:rPr>
                <w:rFonts w:cs="Arial"/>
                <w:szCs w:val="20"/>
              </w:rPr>
              <w:t xml:space="preserve">If the Critical defect remains unresolved after thirty-six (36) hours, an additional one thousand dollars ($1,000) is applied per defect for every hour, or portion thereof, starting with hour thirty-seven (37) while the defect remains in triage stage. </w:t>
            </w:r>
          </w:p>
        </w:tc>
      </w:tr>
      <w:tr w:rsidR="0001751C" w:rsidRPr="002C7415" w14:paraId="7DE10BC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B727954" w14:textId="77777777" w:rsidR="0001751C" w:rsidRPr="002C7415" w:rsidRDefault="0001751C" w:rsidP="00DB06F0">
            <w:pPr>
              <w:rPr>
                <w:rFonts w:cs="Arial"/>
                <w:szCs w:val="20"/>
              </w:rPr>
            </w:pPr>
          </w:p>
        </w:tc>
        <w:tc>
          <w:tcPr>
            <w:tcW w:w="8900" w:type="dxa"/>
          </w:tcPr>
          <w:p w14:paraId="41A54F53" w14:textId="77777777" w:rsidR="0001751C" w:rsidRPr="00176DFC" w:rsidRDefault="0001751C" w:rsidP="00DB06F0">
            <w:pPr>
              <w:cnfStyle w:val="000000010000" w:firstRow="0" w:lastRow="0" w:firstColumn="0" w:lastColumn="0" w:oddVBand="0" w:evenVBand="0" w:oddHBand="0" w:evenHBand="1" w:firstRowFirstColumn="0" w:firstRowLastColumn="0" w:lastRowFirstColumn="0" w:lastRowLastColumn="0"/>
              <w:rPr>
                <w:rFonts w:cs="Arial"/>
                <w:b/>
                <w:bCs/>
                <w:szCs w:val="20"/>
              </w:rPr>
            </w:pPr>
          </w:p>
        </w:tc>
      </w:tr>
    </w:tbl>
    <w:p w14:paraId="0EF45020" w14:textId="2DD01826" w:rsidR="00DE353D" w:rsidRPr="002C7415" w:rsidRDefault="00DE353D" w:rsidP="00DE353D">
      <w:pPr>
        <w:pStyle w:val="HeadingSLA"/>
      </w:pPr>
      <w:bookmarkStart w:id="156" w:name="_Toc230258254"/>
      <w:bookmarkStart w:id="157" w:name="_Toc233199196"/>
      <w:bookmarkStart w:id="158" w:name="_Toc230258252"/>
      <w:r>
        <w:t>Converged Eligibility and Enrollment System and Appeals Management System Image Retrieval</w:t>
      </w:r>
      <w:bookmarkEnd w:id="156"/>
      <w:bookmarkEnd w:id="157"/>
    </w:p>
    <w:tbl>
      <w:tblPr>
        <w:tblStyle w:val="DOH-LeftHeader"/>
        <w:tblW w:w="4998" w:type="pct"/>
        <w:tblLayout w:type="fixed"/>
        <w:tblLook w:val="0480" w:firstRow="0" w:lastRow="0" w:firstColumn="1" w:lastColumn="0" w:noHBand="0" w:noVBand="1"/>
      </w:tblPr>
      <w:tblGrid>
        <w:gridCol w:w="1886"/>
        <w:gridCol w:w="8900"/>
      </w:tblGrid>
      <w:tr w:rsidR="00DE353D" w:rsidRPr="002C7415" w14:paraId="0A875DC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DB294F2" w14:textId="77777777" w:rsidR="00DE353D" w:rsidRPr="002C7415" w:rsidRDefault="00DE353D" w:rsidP="00DB06F0">
            <w:pPr>
              <w:rPr>
                <w:rFonts w:cs="Arial"/>
                <w:b w:val="0"/>
                <w:bCs w:val="0"/>
                <w:szCs w:val="20"/>
              </w:rPr>
            </w:pPr>
            <w:r>
              <w:rPr>
                <w:rFonts w:cs="Arial"/>
                <w:szCs w:val="20"/>
              </w:rPr>
              <w:t>Purpose</w:t>
            </w:r>
          </w:p>
        </w:tc>
        <w:tc>
          <w:tcPr>
            <w:tcW w:w="8900" w:type="dxa"/>
          </w:tcPr>
          <w:p w14:paraId="5708E007" w14:textId="77777777" w:rsidR="00DE353D" w:rsidRPr="002C7415" w:rsidRDefault="00DE353D"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establishes response time targets for Image Retrieval, a critical component of daily eligibility and enrollment casework. Slow retrieval times directly impact encounter durations; therefore, this SLA holds the Contractor accountable for maintaining consistent system performance.</w:t>
            </w:r>
          </w:p>
        </w:tc>
      </w:tr>
      <w:tr w:rsidR="00DE353D" w:rsidRPr="002C7415" w14:paraId="5995EAC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624C6ED" w14:textId="77777777" w:rsidR="00DE353D" w:rsidRPr="002C7415" w:rsidRDefault="00DE353D" w:rsidP="00DB06F0">
            <w:pPr>
              <w:rPr>
                <w:rFonts w:cs="Arial"/>
                <w:b w:val="0"/>
                <w:bCs w:val="0"/>
                <w:szCs w:val="20"/>
              </w:rPr>
            </w:pPr>
            <w:r>
              <w:rPr>
                <w:rFonts w:cs="Arial"/>
                <w:szCs w:val="20"/>
              </w:rPr>
              <w:t>Specification</w:t>
            </w:r>
          </w:p>
        </w:tc>
        <w:tc>
          <w:tcPr>
            <w:tcW w:w="8900" w:type="dxa"/>
          </w:tcPr>
          <w:p w14:paraId="4BF037B5" w14:textId="77777777" w:rsidR="00DE353D" w:rsidRPr="002C7415" w:rsidRDefault="00DE353D"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Response times for all document Image Retrieval transactions must not be greater than five (5) seconds for at least ninety-eight percent (98.0%) of transactions and must not be greater than ten (10) seconds for at least ninety-nine point nine percent (99.9%) of transactions. The Contractor must comply with these response time metrics during the agreed-upon operational hours recorded in the Maintenance &amp; Operations (M&amp;O) Manual. An hourly daily average is measured for the ninety-eight percent (98.0%) target, and an hourly maximum is measured for the ninety-nine point nine percent (99.9%) target. Hourly measurements begin on the o’clock. Each failure for each designated time specification, for each hour, is considered an occurrence.</w:t>
            </w:r>
          </w:p>
        </w:tc>
      </w:tr>
      <w:tr w:rsidR="00DE353D" w:rsidRPr="002C7415" w14:paraId="466CB80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75CADD5" w14:textId="77777777" w:rsidR="00DE353D" w:rsidRPr="002C7415" w:rsidRDefault="00DE353D" w:rsidP="00DB06F0">
            <w:pPr>
              <w:rPr>
                <w:rFonts w:cs="Arial"/>
                <w:b w:val="0"/>
                <w:bCs w:val="0"/>
                <w:szCs w:val="20"/>
              </w:rPr>
            </w:pPr>
            <w:r>
              <w:rPr>
                <w:rFonts w:cs="Arial"/>
                <w:szCs w:val="20"/>
              </w:rPr>
              <w:t>Service Level</w:t>
            </w:r>
          </w:p>
        </w:tc>
        <w:tc>
          <w:tcPr>
            <w:tcW w:w="8900" w:type="dxa"/>
          </w:tcPr>
          <w:p w14:paraId="6985A08A" w14:textId="77777777" w:rsidR="00DE353D" w:rsidRPr="002C7415" w:rsidRDefault="00DE353D"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At least ninety-eight percent (98.0%) of Image Retrieval transactions must complete within five (5) seconds, and at least ninety-nine point nine percent (99.9%) of Image Retrieval transactions must complete within ten (10) seconds, during agreed-upon operational hours.</w:t>
            </w:r>
          </w:p>
        </w:tc>
      </w:tr>
      <w:tr w:rsidR="00DE353D" w:rsidRPr="002C7415" w14:paraId="798D16DA"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3DBF174" w14:textId="77777777" w:rsidR="00DE353D" w:rsidRPr="002C7415" w:rsidRDefault="00DE353D" w:rsidP="00DB06F0">
            <w:pPr>
              <w:rPr>
                <w:rFonts w:cs="Arial"/>
                <w:b w:val="0"/>
                <w:bCs w:val="0"/>
                <w:szCs w:val="20"/>
              </w:rPr>
            </w:pPr>
            <w:r>
              <w:rPr>
                <w:rFonts w:cs="Arial"/>
                <w:szCs w:val="20"/>
              </w:rPr>
              <w:t>Notes</w:t>
            </w:r>
          </w:p>
        </w:tc>
        <w:tc>
          <w:tcPr>
            <w:tcW w:w="8900" w:type="dxa"/>
          </w:tcPr>
          <w:p w14:paraId="37CAC8FB" w14:textId="77777777" w:rsidR="00DE353D" w:rsidRPr="002C7415" w:rsidRDefault="00DE353D"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Operational hours are defined in the M&amp;O Manual.</w:t>
            </w:r>
          </w:p>
        </w:tc>
      </w:tr>
      <w:tr w:rsidR="00DE353D" w:rsidRPr="002C7415" w14:paraId="68A2407C"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4B2A8F3" w14:textId="77777777" w:rsidR="00DE353D" w:rsidRPr="002C7415" w:rsidRDefault="00DE353D" w:rsidP="00DB06F0">
            <w:pPr>
              <w:rPr>
                <w:rFonts w:cs="Arial"/>
                <w:b w:val="0"/>
                <w:bCs w:val="0"/>
                <w:szCs w:val="20"/>
              </w:rPr>
            </w:pPr>
            <w:r>
              <w:rPr>
                <w:rFonts w:cs="Arial"/>
                <w:szCs w:val="20"/>
              </w:rPr>
              <w:t>Reporting Frequency</w:t>
            </w:r>
          </w:p>
        </w:tc>
        <w:tc>
          <w:tcPr>
            <w:tcW w:w="8900" w:type="dxa"/>
          </w:tcPr>
          <w:p w14:paraId="45084094" w14:textId="77777777" w:rsidR="00DE353D" w:rsidRPr="002C7415" w:rsidRDefault="00DE353D"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Compliance is measured continuously during operational hours, with hourly aggregation. A monthly Operations Report is delivered to the Department within five (5) business days after the end of each calendar month. This SLA is in effect after the Transition-In Cutover and continues through the Transition-Out Cutover.</w:t>
            </w:r>
          </w:p>
        </w:tc>
      </w:tr>
      <w:tr w:rsidR="00DE353D" w:rsidRPr="002C7415" w14:paraId="38B8F65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390C344" w14:textId="77777777" w:rsidR="00DE353D" w:rsidRPr="002C7415" w:rsidRDefault="00DE353D" w:rsidP="00DB06F0">
            <w:pPr>
              <w:rPr>
                <w:rFonts w:cs="Arial"/>
                <w:szCs w:val="20"/>
              </w:rPr>
            </w:pPr>
            <w:r>
              <w:rPr>
                <w:rFonts w:cs="Arial"/>
                <w:szCs w:val="20"/>
              </w:rPr>
              <w:t>SLA Calculations</w:t>
            </w:r>
          </w:p>
        </w:tc>
        <w:tc>
          <w:tcPr>
            <w:tcW w:w="8900" w:type="dxa"/>
          </w:tcPr>
          <w:p w14:paraId="539FE8F6" w14:textId="77777777" w:rsidR="00DE353D" w:rsidRPr="002C7415" w:rsidRDefault="00DE353D"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hour. For the ninety-eight  percent (98.0%) target, the Contractor calculates the hourly daily average percentage of transactions completing within five (5) seconds. For the ninety-nine point nine percent (99.9%) target, the Contractor calculates the hourly maximum response time and the percentage of transactions completing within ten (10) seconds. Each hour during operational hours where either target is missed counts as one (1) occurrence.</w:t>
            </w:r>
          </w:p>
        </w:tc>
      </w:tr>
      <w:tr w:rsidR="00DE353D" w:rsidRPr="002C7415" w14:paraId="47EE4E1C"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AD03530" w14:textId="77777777" w:rsidR="00DE353D" w:rsidRPr="002C7415" w:rsidRDefault="00DE353D" w:rsidP="00DB06F0">
            <w:pPr>
              <w:rPr>
                <w:rFonts w:cs="Arial"/>
                <w:b w:val="0"/>
                <w:bCs w:val="0"/>
                <w:szCs w:val="20"/>
              </w:rPr>
            </w:pPr>
            <w:r>
              <w:rPr>
                <w:rFonts w:cs="Arial"/>
                <w:szCs w:val="20"/>
              </w:rPr>
              <w:t>SLA Calculations Definitions</w:t>
            </w:r>
          </w:p>
        </w:tc>
        <w:tc>
          <w:tcPr>
            <w:tcW w:w="8900" w:type="dxa"/>
          </w:tcPr>
          <w:p w14:paraId="10953F64" w14:textId="77777777" w:rsidR="00DE353D" w:rsidRPr="002C7415" w:rsidRDefault="00DE353D"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Image Retrieval Transaction: </w:t>
            </w:r>
            <w:r>
              <w:rPr>
                <w:rFonts w:cs="Arial"/>
                <w:szCs w:val="20"/>
              </w:rPr>
              <w:t>Any user request to retrieve a document image from the Converged E&amp;E System and AMS.</w:t>
            </w:r>
          </w:p>
          <w:p w14:paraId="48ADA7B5" w14:textId="77777777" w:rsidR="00DE353D" w:rsidRPr="002C7415" w:rsidRDefault="00DE353D"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Operational Hours: </w:t>
            </w:r>
            <w:r>
              <w:rPr>
                <w:rFonts w:cs="Arial"/>
                <w:szCs w:val="20"/>
              </w:rPr>
              <w:t>The agreed-upon operational hours recorded in the M&amp;O Manual.</w:t>
            </w:r>
          </w:p>
          <w:p w14:paraId="4907B66D" w14:textId="77777777" w:rsidR="00DE353D" w:rsidRPr="002C7415" w:rsidRDefault="00DE353D"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Occurrence: </w:t>
            </w:r>
            <w:r>
              <w:rPr>
                <w:rFonts w:cs="Arial"/>
                <w:szCs w:val="20"/>
              </w:rPr>
              <w:t>Each hour during operational hours in which a designated response time specification (the ninety-eight percent [98.0%] target or the ninety-nine point nine percent [99.9%] target) is not met.</w:t>
            </w:r>
          </w:p>
        </w:tc>
      </w:tr>
      <w:tr w:rsidR="00DE353D" w:rsidRPr="002C7415" w14:paraId="1B53109D"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C377233" w14:textId="77777777" w:rsidR="00DE353D" w:rsidRPr="002C7415" w:rsidRDefault="00DE353D" w:rsidP="00DB06F0">
            <w:pPr>
              <w:rPr>
                <w:rFonts w:cs="Arial"/>
                <w:b w:val="0"/>
                <w:bCs w:val="0"/>
                <w:szCs w:val="20"/>
              </w:rPr>
            </w:pPr>
            <w:r>
              <w:rPr>
                <w:rFonts w:cs="Arial"/>
                <w:szCs w:val="20"/>
              </w:rPr>
              <w:t>Exclusions</w:t>
            </w:r>
          </w:p>
        </w:tc>
        <w:tc>
          <w:tcPr>
            <w:tcW w:w="8900" w:type="dxa"/>
          </w:tcPr>
          <w:p w14:paraId="1624C2D5" w14:textId="77777777" w:rsidR="00DE353D" w:rsidRPr="002C7415" w:rsidRDefault="00DE353D"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responsible for demonstrating any claimed exclusion.</w:t>
            </w:r>
          </w:p>
        </w:tc>
      </w:tr>
      <w:tr w:rsidR="00DE353D" w:rsidRPr="002C7415" w14:paraId="1FEE599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CB12974" w14:textId="77777777" w:rsidR="00DE353D" w:rsidRPr="002C7415" w:rsidRDefault="00DE353D" w:rsidP="00DB06F0">
            <w:pPr>
              <w:rPr>
                <w:rFonts w:cs="Arial"/>
                <w:b w:val="0"/>
                <w:bCs w:val="0"/>
                <w:szCs w:val="20"/>
              </w:rPr>
            </w:pPr>
            <w:r>
              <w:rPr>
                <w:rFonts w:cs="Arial"/>
                <w:szCs w:val="20"/>
              </w:rPr>
              <w:t>Process to Compile and Report SLA</w:t>
            </w:r>
          </w:p>
        </w:tc>
        <w:tc>
          <w:tcPr>
            <w:tcW w:w="8900" w:type="dxa"/>
          </w:tcPr>
          <w:p w14:paraId="13903FDA" w14:textId="77777777" w:rsidR="00DE353D" w:rsidRPr="002C7415" w:rsidRDefault="00DE353D"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capture transaction-level response time telemetry continuously and validate calculations through a person with a business analyst skill set. The monthly Operations Report must include hourly and daily measurements, the calculated percentages against each target, an itemized list of each occurrence with hour, target missed, and root cause, and the service credits accrued. Supporting raw telemetry must be made accessible to the Department on request.</w:t>
            </w:r>
          </w:p>
        </w:tc>
      </w:tr>
      <w:tr w:rsidR="00DE353D" w:rsidRPr="002C7415" w14:paraId="65FED4A4"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5EF2BE7" w14:textId="77777777" w:rsidR="00DE353D" w:rsidRPr="002C7415" w:rsidRDefault="00DE353D" w:rsidP="00DB06F0">
            <w:pPr>
              <w:rPr>
                <w:rFonts w:cs="Arial"/>
                <w:b w:val="0"/>
                <w:bCs w:val="0"/>
                <w:szCs w:val="20"/>
              </w:rPr>
            </w:pPr>
            <w:r>
              <w:rPr>
                <w:rFonts w:cs="Arial"/>
                <w:szCs w:val="20"/>
              </w:rPr>
              <w:t>Converged E&amp;E System and AMS Service Credit</w:t>
            </w:r>
          </w:p>
        </w:tc>
        <w:tc>
          <w:tcPr>
            <w:tcW w:w="8900" w:type="dxa"/>
          </w:tcPr>
          <w:p w14:paraId="13740C0C" w14:textId="77777777" w:rsidR="00DE353D" w:rsidRPr="002C7415" w:rsidRDefault="00DE353D"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comply with the response time metrics results in a service credit of five thousand dollars ($5,000) per hour, or portion thereof, for each occurrence where response times do not comply with the specifications.</w:t>
            </w:r>
          </w:p>
        </w:tc>
      </w:tr>
    </w:tbl>
    <w:p w14:paraId="47414A1D" w14:textId="233B2D2B" w:rsidR="0001751C" w:rsidRPr="002C7415" w:rsidRDefault="0001751C" w:rsidP="0001751C">
      <w:pPr>
        <w:pStyle w:val="HeadingSLA"/>
      </w:pPr>
      <w:bookmarkStart w:id="159" w:name="_Toc233199197"/>
      <w:r>
        <w:t>Maintenance and Operations Report</w:t>
      </w:r>
      <w:bookmarkEnd w:id="158"/>
      <w:bookmarkEnd w:id="159"/>
    </w:p>
    <w:tbl>
      <w:tblPr>
        <w:tblStyle w:val="DOH-LeftHeader"/>
        <w:tblW w:w="4998" w:type="pct"/>
        <w:tblLayout w:type="fixed"/>
        <w:tblLook w:val="0480" w:firstRow="0" w:lastRow="0" w:firstColumn="1" w:lastColumn="0" w:noHBand="0" w:noVBand="1"/>
      </w:tblPr>
      <w:tblGrid>
        <w:gridCol w:w="1886"/>
        <w:gridCol w:w="8900"/>
      </w:tblGrid>
      <w:tr w:rsidR="0001751C" w:rsidRPr="002C7415" w14:paraId="1288D75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EC51247" w14:textId="77777777" w:rsidR="0001751C" w:rsidRPr="002C7415" w:rsidRDefault="0001751C" w:rsidP="00DB06F0">
            <w:pPr>
              <w:rPr>
                <w:rFonts w:cs="Arial"/>
                <w:b w:val="0"/>
                <w:bCs w:val="0"/>
                <w:szCs w:val="20"/>
              </w:rPr>
            </w:pPr>
            <w:r>
              <w:rPr>
                <w:rFonts w:cs="Arial"/>
                <w:szCs w:val="20"/>
              </w:rPr>
              <w:t>Purpose</w:t>
            </w:r>
          </w:p>
        </w:tc>
        <w:tc>
          <w:tcPr>
            <w:tcW w:w="8900" w:type="dxa"/>
          </w:tcPr>
          <w:p w14:paraId="595AFC2B"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to provide the Department with consistent, daily visibility into the performance, health, and throughput of the Converged E&amp;E System and AMS. This report is critical for operational oversight and informed Departmental decision-making.</w:t>
            </w:r>
          </w:p>
        </w:tc>
      </w:tr>
      <w:tr w:rsidR="0001751C" w:rsidRPr="002C7415" w14:paraId="32D7008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6B8DBCD" w14:textId="77777777" w:rsidR="0001751C" w:rsidRPr="002C7415" w:rsidRDefault="0001751C" w:rsidP="00DB06F0">
            <w:pPr>
              <w:rPr>
                <w:rFonts w:cs="Arial"/>
                <w:b w:val="0"/>
                <w:bCs w:val="0"/>
                <w:szCs w:val="20"/>
              </w:rPr>
            </w:pPr>
            <w:r>
              <w:rPr>
                <w:rFonts w:cs="Arial"/>
                <w:szCs w:val="20"/>
              </w:rPr>
              <w:t>Specification</w:t>
            </w:r>
          </w:p>
        </w:tc>
        <w:tc>
          <w:tcPr>
            <w:tcW w:w="8900" w:type="dxa"/>
          </w:tcPr>
          <w:p w14:paraId="1CD502BE"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provide an accurate Operations Report to the Department by 9:00:00 a.m. Eastern Time (ET) each business day.</w:t>
            </w:r>
          </w:p>
        </w:tc>
      </w:tr>
      <w:tr w:rsidR="0001751C" w:rsidRPr="002C7415" w14:paraId="2C64727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D3B014B" w14:textId="77777777" w:rsidR="0001751C" w:rsidRPr="002C7415" w:rsidRDefault="0001751C" w:rsidP="00DB06F0">
            <w:pPr>
              <w:rPr>
                <w:rFonts w:cs="Arial"/>
                <w:b w:val="0"/>
                <w:bCs w:val="0"/>
                <w:szCs w:val="20"/>
              </w:rPr>
            </w:pPr>
            <w:r>
              <w:rPr>
                <w:rFonts w:cs="Arial"/>
                <w:szCs w:val="20"/>
              </w:rPr>
              <w:t>Service Level</w:t>
            </w:r>
          </w:p>
        </w:tc>
        <w:tc>
          <w:tcPr>
            <w:tcW w:w="8900" w:type="dxa"/>
          </w:tcPr>
          <w:p w14:paraId="5BAD8F6F"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Operations Reports must be delivered to the Department by 9:00 a.m. ET on each business day.</w:t>
            </w:r>
          </w:p>
        </w:tc>
      </w:tr>
      <w:tr w:rsidR="0001751C" w:rsidRPr="002C7415" w14:paraId="447859F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487EA3E" w14:textId="77777777" w:rsidR="0001751C" w:rsidRPr="002C7415" w:rsidRDefault="0001751C" w:rsidP="00DB06F0">
            <w:pPr>
              <w:rPr>
                <w:rFonts w:cs="Arial"/>
                <w:b w:val="0"/>
                <w:bCs w:val="0"/>
                <w:szCs w:val="20"/>
              </w:rPr>
            </w:pPr>
            <w:r>
              <w:rPr>
                <w:rFonts w:cs="Arial"/>
                <w:szCs w:val="20"/>
              </w:rPr>
              <w:t>Notes</w:t>
            </w:r>
          </w:p>
        </w:tc>
        <w:tc>
          <w:tcPr>
            <w:tcW w:w="8900" w:type="dxa"/>
          </w:tcPr>
          <w:p w14:paraId="0D320A0B"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content, format, and accuracy standards for the Operations Report are defined in the Department-approved M&amp;O Manual. The Contractor must develop an Operations Report that includes, at a minimum, the following:</w:t>
            </w:r>
          </w:p>
          <w:p w14:paraId="53B80057" w14:textId="77777777" w:rsidR="0001751C"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 xml:space="preserve"> System Performance Metrics</w:t>
            </w:r>
          </w:p>
          <w:p w14:paraId="54F1FA39" w14:textId="77777777" w:rsidR="0001751C"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 xml:space="preserve"> Program Support Metrics</w:t>
            </w:r>
          </w:p>
          <w:p w14:paraId="621936C5" w14:textId="77777777" w:rsidR="0001751C"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 xml:space="preserve"> Production Defect Metrics</w:t>
            </w:r>
          </w:p>
          <w:p w14:paraId="7C570A24" w14:textId="77777777" w:rsidR="0001751C"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 xml:space="preserve"> Special Provisions and SLA Metrics</w:t>
            </w:r>
          </w:p>
          <w:p w14:paraId="322CFA78" w14:textId="77777777" w:rsidR="0001751C"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 xml:space="preserve"> Daily Batch Operations</w:t>
            </w:r>
          </w:p>
          <w:p w14:paraId="02919CF2" w14:textId="77777777" w:rsidR="0001751C"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 xml:space="preserve"> Weekly Processing and Transaction Counts</w:t>
            </w:r>
          </w:p>
          <w:p w14:paraId="273EB11B" w14:textId="77777777" w:rsidR="0001751C"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 xml:space="preserve"> Staffing Contact Information Report</w:t>
            </w:r>
          </w:p>
          <w:p w14:paraId="2B1D0D56" w14:textId="77777777" w:rsidR="0001751C"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 xml:space="preserve"> Application Processing Data</w:t>
            </w:r>
          </w:p>
          <w:p w14:paraId="14957363"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 xml:space="preserve"> Other Data</w:t>
            </w:r>
          </w:p>
        </w:tc>
      </w:tr>
      <w:tr w:rsidR="0001751C" w:rsidRPr="002C7415" w14:paraId="675DDF8E"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81FE04C" w14:textId="77777777" w:rsidR="0001751C" w:rsidRPr="002C7415" w:rsidRDefault="0001751C" w:rsidP="00DB06F0">
            <w:pPr>
              <w:rPr>
                <w:rFonts w:cs="Arial"/>
                <w:b w:val="0"/>
                <w:bCs w:val="0"/>
                <w:szCs w:val="20"/>
              </w:rPr>
            </w:pPr>
            <w:r>
              <w:rPr>
                <w:rFonts w:cs="Arial"/>
                <w:szCs w:val="20"/>
              </w:rPr>
              <w:t>Reporting Frequency</w:t>
            </w:r>
          </w:p>
        </w:tc>
        <w:tc>
          <w:tcPr>
            <w:tcW w:w="8900" w:type="dxa"/>
          </w:tcPr>
          <w:p w14:paraId="59ECAAB6"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Daily/Monthly - reported by 9:00 a.m. ET on every business day. This SLA is in effect after the Transition-In Cutover and continues through the Transition-Out Cutover.</w:t>
            </w:r>
          </w:p>
        </w:tc>
      </w:tr>
      <w:tr w:rsidR="0001751C" w:rsidRPr="002C7415" w14:paraId="02EF06E7"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75649D1" w14:textId="77777777" w:rsidR="0001751C" w:rsidRPr="002C7415" w:rsidRDefault="0001751C" w:rsidP="00DB06F0">
            <w:pPr>
              <w:rPr>
                <w:rFonts w:cs="Arial"/>
                <w:szCs w:val="20"/>
              </w:rPr>
            </w:pPr>
            <w:r>
              <w:rPr>
                <w:rFonts w:cs="Arial"/>
                <w:szCs w:val="20"/>
              </w:rPr>
              <w:t>SLA Calculations</w:t>
            </w:r>
          </w:p>
        </w:tc>
        <w:tc>
          <w:tcPr>
            <w:tcW w:w="8900" w:type="dxa"/>
          </w:tcPr>
          <w:p w14:paraId="645A9ABC"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business day. For each business day, the Contractor records the report delivery timestamp against the 9:00 a.m. ET deadline. Any report not delivered by the deadline counts as one (1) late occurrence, with additional per-business-day occurrences accruing for any report not delivered by 9:00 a.m. ET on the next business day until daily reporting resumes.</w:t>
            </w:r>
          </w:p>
        </w:tc>
      </w:tr>
      <w:tr w:rsidR="0001751C" w:rsidRPr="002C7415" w14:paraId="12BDDA6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6E86EE9" w14:textId="77777777" w:rsidR="0001751C" w:rsidRPr="002C7415" w:rsidRDefault="0001751C" w:rsidP="00DB06F0">
            <w:pPr>
              <w:rPr>
                <w:rFonts w:cs="Arial"/>
                <w:b w:val="0"/>
                <w:bCs w:val="0"/>
                <w:szCs w:val="20"/>
              </w:rPr>
            </w:pPr>
            <w:r>
              <w:rPr>
                <w:rFonts w:cs="Arial"/>
                <w:szCs w:val="20"/>
              </w:rPr>
              <w:t>SLA Calculations Definitions</w:t>
            </w:r>
          </w:p>
        </w:tc>
        <w:tc>
          <w:tcPr>
            <w:tcW w:w="8900" w:type="dxa"/>
          </w:tcPr>
          <w:p w14:paraId="3DF3B3D1"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Operations Report: </w:t>
            </w:r>
            <w:r>
              <w:rPr>
                <w:rFonts w:cs="Arial"/>
                <w:szCs w:val="20"/>
              </w:rPr>
              <w:t>The daily report of operational metrics for the Converged E&amp;E System and AMS, in the content and format defined in the Department-approved M&amp;O Manual.</w:t>
            </w:r>
          </w:p>
          <w:p w14:paraId="49463B3B" w14:textId="77777777" w:rsidR="0001751C"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Business Day: </w:t>
            </w:r>
            <w:r>
              <w:rPr>
                <w:rFonts w:cs="Arial"/>
                <w:szCs w:val="20"/>
              </w:rPr>
              <w:t xml:space="preserve">A day on which the Department is in normal operation, excluding weekends and Department-observed holidays. </w:t>
            </w:r>
          </w:p>
          <w:p w14:paraId="265B2C43"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On-Time Delivery: </w:t>
            </w:r>
            <w:r>
              <w:rPr>
                <w:rFonts w:cs="Arial"/>
                <w:szCs w:val="20"/>
              </w:rPr>
              <w:t>Delivery of the report to the Department by 9:00 a.m. Eastern Time on the applicable business day.</w:t>
            </w:r>
          </w:p>
        </w:tc>
      </w:tr>
      <w:tr w:rsidR="0001751C" w:rsidRPr="002C7415" w14:paraId="6131409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870C058" w14:textId="77777777" w:rsidR="0001751C" w:rsidRPr="002C7415" w:rsidRDefault="0001751C" w:rsidP="00DB06F0">
            <w:pPr>
              <w:rPr>
                <w:rFonts w:cs="Arial"/>
                <w:b w:val="0"/>
                <w:bCs w:val="0"/>
                <w:szCs w:val="20"/>
              </w:rPr>
            </w:pPr>
            <w:r>
              <w:rPr>
                <w:rFonts w:cs="Arial"/>
                <w:szCs w:val="20"/>
              </w:rPr>
              <w:t>Exclusions</w:t>
            </w:r>
          </w:p>
        </w:tc>
        <w:tc>
          <w:tcPr>
            <w:tcW w:w="8900" w:type="dxa"/>
          </w:tcPr>
          <w:p w14:paraId="388FAD69"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following instances are not an SLA breach:</w:t>
            </w:r>
          </w:p>
          <w:p w14:paraId="7AFC6CE2"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The Department gives written instruction to delay or pause the report delivery</w:t>
            </w:r>
          </w:p>
          <w:p w14:paraId="40EA0ED7"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The Department’s email tool is down, preventing delivery</w:t>
            </w:r>
          </w:p>
          <w:p w14:paraId="6E4827F1"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An external communication system fails (e.g., total internet outage). The Contractor must provide system logs as evidence and must deliver the report immediately when the system is restored.</w:t>
            </w:r>
          </w:p>
        </w:tc>
      </w:tr>
      <w:tr w:rsidR="0001751C" w:rsidRPr="002C7415" w14:paraId="351C1D0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9879408" w14:textId="77777777" w:rsidR="0001751C" w:rsidRPr="002C7415" w:rsidRDefault="0001751C" w:rsidP="00DB06F0">
            <w:pPr>
              <w:rPr>
                <w:rFonts w:cs="Arial"/>
                <w:b w:val="0"/>
                <w:bCs w:val="0"/>
                <w:szCs w:val="20"/>
              </w:rPr>
            </w:pPr>
            <w:r>
              <w:rPr>
                <w:rFonts w:cs="Arial"/>
                <w:szCs w:val="20"/>
              </w:rPr>
              <w:t>Process to Compile and Report SLA</w:t>
            </w:r>
          </w:p>
        </w:tc>
        <w:tc>
          <w:tcPr>
            <w:tcW w:w="8900" w:type="dxa"/>
          </w:tcPr>
          <w:p w14:paraId="2146D312"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business day, the Contractor must capture and retain: the report itself; the delivery timestamp; the recipients within the Department; and, for any late or missed reports, the root cause. A monthly summary of report delivery compliance, including all late occurrences and accrued service credits, is provided to the Department within five (5) business days after the end of each calendar month.</w:t>
            </w:r>
          </w:p>
        </w:tc>
      </w:tr>
      <w:tr w:rsidR="0001751C" w:rsidRPr="002C7415" w14:paraId="0416DFC4"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2934874" w14:textId="77777777" w:rsidR="0001751C" w:rsidRPr="002C7415" w:rsidRDefault="0001751C" w:rsidP="00DB06F0">
            <w:pPr>
              <w:rPr>
                <w:rFonts w:cs="Arial"/>
                <w:b w:val="0"/>
                <w:bCs w:val="0"/>
                <w:szCs w:val="20"/>
              </w:rPr>
            </w:pPr>
            <w:r>
              <w:rPr>
                <w:rFonts w:cs="Arial"/>
                <w:szCs w:val="20"/>
              </w:rPr>
              <w:t>AMS Service Credit</w:t>
            </w:r>
          </w:p>
        </w:tc>
        <w:tc>
          <w:tcPr>
            <w:tcW w:w="8900" w:type="dxa"/>
          </w:tcPr>
          <w:p w14:paraId="374F3D9E"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Late Submission (Initial Service Credit):</w:t>
            </w:r>
            <w:r>
              <w:rPr>
                <w:rFonts w:cs="Arial"/>
                <w:szCs w:val="20"/>
              </w:rPr>
              <w:t xml:space="preserve"> Failure to comply with providing an Operations Report results in a service credit of one thousand dollars ($1,000) per late report. </w:t>
            </w:r>
          </w:p>
          <w:p w14:paraId="75FBA811"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Late Submission (Additional Service Credit)</w:t>
            </w:r>
            <w:r>
              <w:rPr>
                <w:rFonts w:cs="Arial"/>
                <w:szCs w:val="20"/>
              </w:rPr>
              <w:t xml:space="preserve">: Any report not delivered by 9:00 a.m. ET the next business day, or portion thereof, results in an additional one thousand dollars ($1,000) service credit. </w:t>
            </w:r>
          </w:p>
          <w:p w14:paraId="526B93ED"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Excessive Late Submission (Additional Service Credit):</w:t>
            </w:r>
            <w:r>
              <w:rPr>
                <w:rFonts w:cs="Arial"/>
                <w:szCs w:val="20"/>
              </w:rPr>
              <w:t xml:space="preserve"> A second additional service credit of one thousand dollars ($1,000) applies for each additional business day, or portion thereof, beyond two (2) business days until reporting resumes.</w:t>
            </w:r>
          </w:p>
        </w:tc>
      </w:tr>
      <w:tr w:rsidR="0001751C" w:rsidRPr="002C7415" w14:paraId="57788196"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C930E8F" w14:textId="77777777" w:rsidR="0001751C" w:rsidRPr="002C7415" w:rsidRDefault="0001751C" w:rsidP="00DB06F0">
            <w:pPr>
              <w:rPr>
                <w:rFonts w:cs="Arial"/>
                <w:b w:val="0"/>
                <w:bCs w:val="0"/>
                <w:szCs w:val="20"/>
              </w:rPr>
            </w:pPr>
            <w:r>
              <w:rPr>
                <w:rFonts w:cs="Arial"/>
                <w:szCs w:val="20"/>
              </w:rPr>
              <w:t>Converged E&amp;E System and AMS Service Credit</w:t>
            </w:r>
          </w:p>
        </w:tc>
        <w:tc>
          <w:tcPr>
            <w:tcW w:w="8900" w:type="dxa"/>
          </w:tcPr>
          <w:p w14:paraId="30A2722C" w14:textId="77777777" w:rsidR="0001751C"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Late Submission (Initial Service Credit):</w:t>
            </w:r>
            <w:r>
              <w:rPr>
                <w:rFonts w:cs="Arial"/>
                <w:szCs w:val="20"/>
              </w:rPr>
              <w:t xml:space="preserve"> Failure to comply with providing a daily Operations Report results in a service credit of one thousand dollars ($1,000) per late report.</w:t>
            </w:r>
          </w:p>
          <w:p w14:paraId="6302BCF3" w14:textId="77777777" w:rsidR="0001751C"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Extended Late Submission (Additional Service Credit)</w:t>
            </w:r>
            <w:r>
              <w:rPr>
                <w:rFonts w:cs="Arial"/>
                <w:szCs w:val="20"/>
              </w:rPr>
              <w:t>: Any report not delivered by 9:00 a.m. ET the next business day, or portion thereof, results in an additional one thousand dollars ($1,000) service credit.</w:t>
            </w:r>
          </w:p>
          <w:p w14:paraId="7B17B49A"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Excessive Late Submission (Additional Service Credit):</w:t>
            </w:r>
            <w:r>
              <w:rPr>
                <w:rFonts w:cs="Arial"/>
                <w:szCs w:val="20"/>
              </w:rPr>
              <w:t xml:space="preserve"> A second additional service credit of one thousand dollars ($1,000) applies for each additional business day, or portion thereof, beyond two (2) business days until reporting resumes.</w:t>
            </w:r>
          </w:p>
        </w:tc>
      </w:tr>
    </w:tbl>
    <w:p w14:paraId="7AF8F8C2" w14:textId="3040896A" w:rsidR="0001751C" w:rsidRPr="002C7415" w:rsidRDefault="0001751C" w:rsidP="0001751C">
      <w:pPr>
        <w:pStyle w:val="HeadingSLA"/>
      </w:pPr>
      <w:bookmarkStart w:id="160" w:name="_Toc230258258"/>
      <w:bookmarkStart w:id="161" w:name="_Toc233199198"/>
      <w:r>
        <w:t>Converged Eligibility and Enrollment System and Appeals Management System Disaster Recovery: Recovery Time Objective</w:t>
      </w:r>
      <w:bookmarkEnd w:id="160"/>
      <w:bookmarkEnd w:id="161"/>
    </w:p>
    <w:tbl>
      <w:tblPr>
        <w:tblStyle w:val="DOH-LeftHeader"/>
        <w:tblW w:w="4998" w:type="pct"/>
        <w:tblLayout w:type="fixed"/>
        <w:tblLook w:val="0480" w:firstRow="0" w:lastRow="0" w:firstColumn="1" w:lastColumn="0" w:noHBand="0" w:noVBand="1"/>
      </w:tblPr>
      <w:tblGrid>
        <w:gridCol w:w="1886"/>
        <w:gridCol w:w="8900"/>
      </w:tblGrid>
      <w:tr w:rsidR="0001751C" w:rsidRPr="002C7415" w14:paraId="54119B9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C6C32D9" w14:textId="77777777" w:rsidR="0001751C" w:rsidRPr="002C7415" w:rsidRDefault="0001751C" w:rsidP="00DB06F0">
            <w:pPr>
              <w:rPr>
                <w:rFonts w:cs="Arial"/>
                <w:b w:val="0"/>
                <w:bCs w:val="0"/>
                <w:szCs w:val="20"/>
              </w:rPr>
            </w:pPr>
            <w:r>
              <w:rPr>
                <w:rFonts w:cs="Arial"/>
                <w:szCs w:val="20"/>
              </w:rPr>
              <w:t>Purpose</w:t>
            </w:r>
          </w:p>
        </w:tc>
        <w:tc>
          <w:tcPr>
            <w:tcW w:w="8900" w:type="dxa"/>
          </w:tcPr>
          <w:p w14:paraId="1DE778CA"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the Department’s confidence that the Converged E&amp;E System and AMS can be restored within a known, contracted bound after a disaster. The Recovery Time Objective (RTO) is that bound. This SLA holds the Contractor accountable to a four (4) hour RTO.</w:t>
            </w:r>
          </w:p>
        </w:tc>
      </w:tr>
      <w:tr w:rsidR="0001751C" w:rsidRPr="002C7415" w14:paraId="40A5BCE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28A271A" w14:textId="77777777" w:rsidR="0001751C" w:rsidRPr="002C7415" w:rsidRDefault="0001751C" w:rsidP="00DB06F0">
            <w:pPr>
              <w:rPr>
                <w:rFonts w:cs="Arial"/>
                <w:b w:val="0"/>
                <w:bCs w:val="0"/>
                <w:szCs w:val="20"/>
              </w:rPr>
            </w:pPr>
            <w:r>
              <w:rPr>
                <w:rFonts w:cs="Arial"/>
                <w:szCs w:val="20"/>
              </w:rPr>
              <w:t>Specification</w:t>
            </w:r>
          </w:p>
        </w:tc>
        <w:tc>
          <w:tcPr>
            <w:tcW w:w="8900" w:type="dxa"/>
          </w:tcPr>
          <w:p w14:paraId="490ADBF9"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ensure that the Converged E&amp;E System and AMS has an RTO of four (4) hours maximum.</w:t>
            </w:r>
          </w:p>
        </w:tc>
      </w:tr>
      <w:tr w:rsidR="0001751C" w:rsidRPr="002C7415" w14:paraId="7A2043D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14C6413" w14:textId="77777777" w:rsidR="0001751C" w:rsidRPr="002C7415" w:rsidRDefault="0001751C" w:rsidP="00DB06F0">
            <w:pPr>
              <w:rPr>
                <w:rFonts w:cs="Arial"/>
                <w:b w:val="0"/>
                <w:bCs w:val="0"/>
                <w:szCs w:val="20"/>
              </w:rPr>
            </w:pPr>
            <w:r>
              <w:rPr>
                <w:rFonts w:cs="Arial"/>
                <w:szCs w:val="20"/>
              </w:rPr>
              <w:t>Service Level</w:t>
            </w:r>
          </w:p>
        </w:tc>
        <w:tc>
          <w:tcPr>
            <w:tcW w:w="8900" w:type="dxa"/>
          </w:tcPr>
          <w:p w14:paraId="5AA8004C"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Converged E&amp;E System and AMS must achieve an RTO of no more than four (4) hours.</w:t>
            </w:r>
          </w:p>
        </w:tc>
      </w:tr>
      <w:tr w:rsidR="0001751C" w:rsidRPr="002C7415" w14:paraId="0AF2C7F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2D68B75" w14:textId="77777777" w:rsidR="0001751C" w:rsidRPr="002C7415" w:rsidRDefault="0001751C" w:rsidP="00DB06F0">
            <w:pPr>
              <w:rPr>
                <w:rFonts w:cs="Arial"/>
                <w:b w:val="0"/>
                <w:bCs w:val="0"/>
                <w:szCs w:val="20"/>
              </w:rPr>
            </w:pPr>
            <w:r>
              <w:rPr>
                <w:rFonts w:cs="Arial"/>
                <w:szCs w:val="20"/>
              </w:rPr>
              <w:t>Notes</w:t>
            </w:r>
          </w:p>
        </w:tc>
        <w:tc>
          <w:tcPr>
            <w:tcW w:w="8900" w:type="dxa"/>
          </w:tcPr>
          <w:p w14:paraId="3BB0DBF3"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RTO compliance is demonstrated through Disaster Recovery testing results and through actual recovery events. Evidence must include the most recent Disaster Recovery testing results, including evidence that the required RTO was achieved or exceeded.</w:t>
            </w:r>
          </w:p>
        </w:tc>
      </w:tr>
      <w:tr w:rsidR="0001751C" w:rsidRPr="002C7415" w14:paraId="402A1CF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EEDAAD8" w14:textId="77777777" w:rsidR="0001751C" w:rsidRPr="002C7415" w:rsidRDefault="0001751C" w:rsidP="00DB06F0">
            <w:pPr>
              <w:rPr>
                <w:rFonts w:cs="Arial"/>
                <w:b w:val="0"/>
                <w:bCs w:val="0"/>
                <w:szCs w:val="20"/>
              </w:rPr>
            </w:pPr>
            <w:r>
              <w:rPr>
                <w:rFonts w:cs="Arial"/>
                <w:szCs w:val="20"/>
              </w:rPr>
              <w:t>Reporting Frequency</w:t>
            </w:r>
          </w:p>
        </w:tc>
        <w:tc>
          <w:tcPr>
            <w:tcW w:w="8900" w:type="dxa"/>
          </w:tcPr>
          <w:p w14:paraId="1EBFD3B9"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RTO performance is reported with each Disaster Recovery test and with each actual recovery event. A summary is included in the Monthly M&amp;O Status Report to the Department. This SLA is in effect after the Transition-In Cutover and continues through the Transition-Out Cutover.</w:t>
            </w:r>
          </w:p>
        </w:tc>
      </w:tr>
      <w:tr w:rsidR="0001751C" w:rsidRPr="002C7415" w14:paraId="7C942F28"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AA66236" w14:textId="77777777" w:rsidR="0001751C" w:rsidRPr="002C7415" w:rsidRDefault="0001751C" w:rsidP="00DB06F0">
            <w:pPr>
              <w:rPr>
                <w:rFonts w:cs="Arial"/>
                <w:szCs w:val="20"/>
              </w:rPr>
            </w:pPr>
            <w:r>
              <w:rPr>
                <w:rFonts w:cs="Arial"/>
                <w:szCs w:val="20"/>
              </w:rPr>
              <w:t>SLA Calculations</w:t>
            </w:r>
          </w:p>
        </w:tc>
        <w:tc>
          <w:tcPr>
            <w:tcW w:w="8900" w:type="dxa"/>
          </w:tcPr>
          <w:p w14:paraId="4C127EB8"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RTO is measured per recovery occurrence (whether a Disaster Recovery test or an actual recovery event). For each occurrence, the Contractor records the timestamps required to compute the RTO and compares the result to the four (4) hour target. Each RTO beyond the four (4) hour target triggers the initial service credit, plus additional per-hour credits for each hour, or portion thereof, beyond the four (4) hour target.</w:t>
            </w:r>
          </w:p>
        </w:tc>
      </w:tr>
      <w:tr w:rsidR="0001751C" w:rsidRPr="002C7415" w14:paraId="223F6CB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BE21B53" w14:textId="77777777" w:rsidR="0001751C" w:rsidRPr="002C7415" w:rsidRDefault="0001751C" w:rsidP="00DB06F0">
            <w:pPr>
              <w:rPr>
                <w:rFonts w:cs="Arial"/>
                <w:b w:val="0"/>
                <w:bCs w:val="0"/>
                <w:szCs w:val="20"/>
              </w:rPr>
            </w:pPr>
            <w:r>
              <w:rPr>
                <w:rFonts w:cs="Arial"/>
                <w:szCs w:val="20"/>
              </w:rPr>
              <w:t>SLA Calculations Definitions</w:t>
            </w:r>
          </w:p>
        </w:tc>
        <w:tc>
          <w:tcPr>
            <w:tcW w:w="8900" w:type="dxa"/>
          </w:tcPr>
          <w:p w14:paraId="0C3F1A7E"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RTO: </w:t>
            </w:r>
            <w:r>
              <w:rPr>
                <w:rFonts w:cs="Arial"/>
                <w:szCs w:val="20"/>
              </w:rPr>
              <w:t>The contracted maximum RTO for the Converged E&amp;E System and AMS, set at four (4) hours.</w:t>
            </w:r>
          </w:p>
          <w:p w14:paraId="6BE8175B"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Disaster Recovery Site: </w:t>
            </w:r>
            <w:r>
              <w:rPr>
                <w:rFonts w:cs="Arial"/>
                <w:szCs w:val="20"/>
              </w:rPr>
              <w:t>The Department-approved alternate site or environment configuration to which the Converged E&amp;E System and AMS are recovered following a disaster.</w:t>
            </w:r>
          </w:p>
          <w:p w14:paraId="41D4F81E"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Recovery Occurrence: </w:t>
            </w:r>
            <w:r>
              <w:rPr>
                <w:rFonts w:cs="Arial"/>
                <w:szCs w:val="20"/>
              </w:rPr>
              <w:t>Either a Disaster Recovery test or an actual recovery event in which the RTO is measured against the contracted target.</w:t>
            </w:r>
          </w:p>
        </w:tc>
      </w:tr>
      <w:tr w:rsidR="0001751C" w:rsidRPr="002C7415" w14:paraId="272C2C6B"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6399B50" w14:textId="77777777" w:rsidR="0001751C" w:rsidRPr="002C7415" w:rsidRDefault="0001751C" w:rsidP="00DB06F0">
            <w:pPr>
              <w:rPr>
                <w:rFonts w:cs="Arial"/>
                <w:b w:val="0"/>
                <w:bCs w:val="0"/>
                <w:szCs w:val="20"/>
              </w:rPr>
            </w:pPr>
            <w:r>
              <w:rPr>
                <w:rFonts w:cs="Arial"/>
                <w:szCs w:val="20"/>
              </w:rPr>
              <w:t>Exclusions</w:t>
            </w:r>
          </w:p>
        </w:tc>
        <w:tc>
          <w:tcPr>
            <w:tcW w:w="8900" w:type="dxa"/>
          </w:tcPr>
          <w:p w14:paraId="1B08442D"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responsible for demonstrating any claimed exclusion.</w:t>
            </w:r>
          </w:p>
        </w:tc>
      </w:tr>
      <w:tr w:rsidR="0001751C" w:rsidRPr="002C7415" w14:paraId="4ABB629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4B0D5F1" w14:textId="77777777" w:rsidR="0001751C" w:rsidRPr="002C7415" w:rsidRDefault="0001751C" w:rsidP="00DB06F0">
            <w:pPr>
              <w:rPr>
                <w:rFonts w:cs="Arial"/>
                <w:b w:val="0"/>
                <w:bCs w:val="0"/>
                <w:szCs w:val="20"/>
              </w:rPr>
            </w:pPr>
            <w:r>
              <w:rPr>
                <w:rFonts w:cs="Arial"/>
                <w:szCs w:val="20"/>
              </w:rPr>
              <w:t>Process to Compile and Report SLA</w:t>
            </w:r>
          </w:p>
        </w:tc>
        <w:tc>
          <w:tcPr>
            <w:tcW w:w="8900" w:type="dxa"/>
          </w:tcPr>
          <w:p w14:paraId="6F0C6CEB"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recovery occurrence, the Contractor must capture and retain: the timestamps required to compute the RTO; evidence of operational status of the disaster recovery site; the calculated RTO; and any deviation from the four (4) hour target. Required artifacts include evidence of the most recent Disaster Recovery testing results, including evidence that the required RTO was achieved or exceeded. All artifacts must be made available to the Department on request.</w:t>
            </w:r>
          </w:p>
        </w:tc>
      </w:tr>
      <w:tr w:rsidR="0001751C" w:rsidRPr="002C7415" w14:paraId="321ED5F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1C11D6F" w14:textId="77777777" w:rsidR="0001751C" w:rsidRPr="002C7415" w:rsidRDefault="0001751C" w:rsidP="00DB06F0">
            <w:pPr>
              <w:rPr>
                <w:rFonts w:cs="Arial"/>
                <w:b w:val="0"/>
                <w:bCs w:val="0"/>
                <w:szCs w:val="20"/>
              </w:rPr>
            </w:pPr>
            <w:r>
              <w:rPr>
                <w:rFonts w:cs="Arial"/>
                <w:szCs w:val="20"/>
              </w:rPr>
              <w:t>Converged E&amp;E System and AMS Service Credit</w:t>
            </w:r>
          </w:p>
        </w:tc>
        <w:tc>
          <w:tcPr>
            <w:tcW w:w="8900" w:type="dxa"/>
          </w:tcPr>
          <w:p w14:paraId="3892ED1D"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RTO Delay (Initial Service Credit):</w:t>
            </w:r>
            <w:r>
              <w:rPr>
                <w:rFonts w:cs="Arial"/>
                <w:szCs w:val="20"/>
              </w:rPr>
              <w:t xml:space="preserve"> Failure to comply results in a service credit of one hundred thousand dollars ($100,000) if the disaster recovery site is not operational within the RTO parameter and within four (4) hours.</w:t>
            </w:r>
          </w:p>
          <w:p w14:paraId="779F3771"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RTO Delay (Additional Service Credit)</w:t>
            </w:r>
            <w:r>
              <w:rPr>
                <w:rFonts w:cs="Arial"/>
                <w:szCs w:val="20"/>
              </w:rPr>
              <w:t>: An additional service credit of twenty-five thousand dollars ($25,000) applies for each additional hour, or portion thereof, past the original RTO.</w:t>
            </w:r>
          </w:p>
        </w:tc>
      </w:tr>
    </w:tbl>
    <w:p w14:paraId="44F2EB76" w14:textId="36E4633A" w:rsidR="0001751C" w:rsidRPr="002C7415" w:rsidRDefault="0001751C" w:rsidP="0001751C">
      <w:pPr>
        <w:pStyle w:val="HeadingSLA"/>
      </w:pPr>
      <w:bookmarkStart w:id="162" w:name="_Toc230258259"/>
      <w:bookmarkStart w:id="163" w:name="_Toc233199199"/>
      <w:r>
        <w:t>Converged Eligibility and Enrollment System and Appeals Management System Disaster Recovery: Recovery Point Objective</w:t>
      </w:r>
      <w:bookmarkEnd w:id="162"/>
      <w:bookmarkEnd w:id="163"/>
    </w:p>
    <w:tbl>
      <w:tblPr>
        <w:tblStyle w:val="DOH-LeftHeader"/>
        <w:tblW w:w="4998" w:type="pct"/>
        <w:tblLayout w:type="fixed"/>
        <w:tblLook w:val="0480" w:firstRow="0" w:lastRow="0" w:firstColumn="1" w:lastColumn="0" w:noHBand="0" w:noVBand="1"/>
      </w:tblPr>
      <w:tblGrid>
        <w:gridCol w:w="1886"/>
        <w:gridCol w:w="8900"/>
      </w:tblGrid>
      <w:tr w:rsidR="0001751C" w:rsidRPr="002C7415" w14:paraId="7F2A3494"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63FE95B" w14:textId="77777777" w:rsidR="0001751C" w:rsidRPr="002C7415" w:rsidRDefault="0001751C" w:rsidP="00DB06F0">
            <w:pPr>
              <w:rPr>
                <w:rFonts w:cs="Arial"/>
                <w:b w:val="0"/>
                <w:bCs w:val="0"/>
                <w:szCs w:val="20"/>
              </w:rPr>
            </w:pPr>
            <w:r>
              <w:rPr>
                <w:rFonts w:cs="Arial"/>
                <w:szCs w:val="20"/>
              </w:rPr>
              <w:t>Purpose</w:t>
            </w:r>
          </w:p>
        </w:tc>
        <w:tc>
          <w:tcPr>
            <w:tcW w:w="8900" w:type="dxa"/>
          </w:tcPr>
          <w:p w14:paraId="4CE81995"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the Department’s confidence that the Converged E&amp;E System and AMS can be restored within a known, contracted bound after a disaster. The RPO is that bound. This SLA holds the Contractor accountable to a two (2) hour RPO.</w:t>
            </w:r>
          </w:p>
        </w:tc>
      </w:tr>
      <w:tr w:rsidR="0001751C" w:rsidRPr="002C7415" w14:paraId="2F83E341"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1300E99" w14:textId="77777777" w:rsidR="0001751C" w:rsidRPr="002C7415" w:rsidRDefault="0001751C" w:rsidP="00DB06F0">
            <w:pPr>
              <w:rPr>
                <w:rFonts w:cs="Arial"/>
                <w:b w:val="0"/>
                <w:bCs w:val="0"/>
                <w:szCs w:val="20"/>
              </w:rPr>
            </w:pPr>
            <w:r>
              <w:rPr>
                <w:rFonts w:cs="Arial"/>
                <w:szCs w:val="20"/>
              </w:rPr>
              <w:t>Specification</w:t>
            </w:r>
          </w:p>
        </w:tc>
        <w:tc>
          <w:tcPr>
            <w:tcW w:w="8900" w:type="dxa"/>
          </w:tcPr>
          <w:p w14:paraId="7BACCEBB"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ensure that the Converged E&amp;E System and AMS have an RPO of two (2) hours maximum.</w:t>
            </w:r>
          </w:p>
        </w:tc>
      </w:tr>
      <w:tr w:rsidR="0001751C" w:rsidRPr="002C7415" w14:paraId="7273777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1B2103F" w14:textId="77777777" w:rsidR="0001751C" w:rsidRPr="002C7415" w:rsidRDefault="0001751C" w:rsidP="00DB06F0">
            <w:pPr>
              <w:rPr>
                <w:rFonts w:cs="Arial"/>
                <w:b w:val="0"/>
                <w:bCs w:val="0"/>
                <w:szCs w:val="20"/>
              </w:rPr>
            </w:pPr>
            <w:r>
              <w:rPr>
                <w:rFonts w:cs="Arial"/>
                <w:szCs w:val="20"/>
              </w:rPr>
              <w:t>Service Level</w:t>
            </w:r>
          </w:p>
        </w:tc>
        <w:tc>
          <w:tcPr>
            <w:tcW w:w="8900" w:type="dxa"/>
          </w:tcPr>
          <w:p w14:paraId="572646B5"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Converged E&amp;E System and AMS must achieve an RPO of no more than two (2) hours.</w:t>
            </w:r>
          </w:p>
        </w:tc>
      </w:tr>
      <w:tr w:rsidR="0001751C" w:rsidRPr="002C7415" w14:paraId="78DD2C4B"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2BB6879" w14:textId="77777777" w:rsidR="0001751C" w:rsidRPr="002C7415" w:rsidRDefault="0001751C" w:rsidP="00DB06F0">
            <w:pPr>
              <w:rPr>
                <w:rFonts w:cs="Arial"/>
                <w:b w:val="0"/>
                <w:bCs w:val="0"/>
                <w:szCs w:val="20"/>
              </w:rPr>
            </w:pPr>
            <w:r>
              <w:rPr>
                <w:rFonts w:cs="Arial"/>
                <w:szCs w:val="20"/>
              </w:rPr>
              <w:t>Notes</w:t>
            </w:r>
          </w:p>
        </w:tc>
        <w:tc>
          <w:tcPr>
            <w:tcW w:w="8900" w:type="dxa"/>
          </w:tcPr>
          <w:p w14:paraId="7AA3CC2F"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RPO compliance is demonstrated through Disaster Recovery testing results and through actual recovery events. Evidence must include the most recent Disaster Recovery testing results, including evidence that the required RPO was achieved or exceeded.</w:t>
            </w:r>
          </w:p>
        </w:tc>
      </w:tr>
      <w:tr w:rsidR="0001751C" w:rsidRPr="002C7415" w14:paraId="663C2939"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57F937F3" w14:textId="77777777" w:rsidR="0001751C" w:rsidRPr="002C7415" w:rsidRDefault="0001751C" w:rsidP="00DB06F0">
            <w:pPr>
              <w:rPr>
                <w:rFonts w:cs="Arial"/>
                <w:b w:val="0"/>
                <w:bCs w:val="0"/>
                <w:szCs w:val="20"/>
              </w:rPr>
            </w:pPr>
            <w:r>
              <w:rPr>
                <w:rFonts w:cs="Arial"/>
                <w:szCs w:val="20"/>
              </w:rPr>
              <w:t>Reporting Frequency</w:t>
            </w:r>
          </w:p>
        </w:tc>
        <w:tc>
          <w:tcPr>
            <w:tcW w:w="8900" w:type="dxa"/>
          </w:tcPr>
          <w:p w14:paraId="0EE4451D"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RPO performance is reported with each Disaster Recovery test and with each actual recovery event. A summary is included in the Monthly M&amp;O Status Report. This SLA is in effect after the Transition-In Cutover and continues through the Transition-Out Cutover.</w:t>
            </w:r>
          </w:p>
        </w:tc>
      </w:tr>
      <w:tr w:rsidR="0001751C" w:rsidRPr="002C7415" w14:paraId="731435B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D0658AF" w14:textId="77777777" w:rsidR="0001751C" w:rsidRPr="002C7415" w:rsidRDefault="0001751C" w:rsidP="00DB06F0">
            <w:pPr>
              <w:rPr>
                <w:rFonts w:cs="Arial"/>
                <w:szCs w:val="20"/>
              </w:rPr>
            </w:pPr>
            <w:r>
              <w:rPr>
                <w:rFonts w:cs="Arial"/>
                <w:szCs w:val="20"/>
              </w:rPr>
              <w:t>SLA Calculations</w:t>
            </w:r>
          </w:p>
        </w:tc>
        <w:tc>
          <w:tcPr>
            <w:tcW w:w="8900" w:type="dxa"/>
          </w:tcPr>
          <w:p w14:paraId="6784F768"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RPO is measured per recovery occurrence (whether a Disaster Recovery test or an actual recovery event). For each occurrence, the Contractor records the timestamps required to compute the RPO and compares the result to the two (2) hour target. Each RPO beyond the two (2) hour target triggers the initial service credit. An additional per-hour service credit for each hour, or portion thereof, is applied beyond the two (2) hour target.</w:t>
            </w:r>
          </w:p>
        </w:tc>
      </w:tr>
      <w:tr w:rsidR="0001751C" w:rsidRPr="002C7415" w14:paraId="6F1D7CC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95D544B" w14:textId="77777777" w:rsidR="0001751C" w:rsidRPr="002C7415" w:rsidRDefault="0001751C" w:rsidP="00DB06F0">
            <w:pPr>
              <w:rPr>
                <w:rFonts w:cs="Arial"/>
                <w:b w:val="0"/>
                <w:bCs w:val="0"/>
                <w:szCs w:val="20"/>
              </w:rPr>
            </w:pPr>
            <w:r>
              <w:rPr>
                <w:rFonts w:cs="Arial"/>
                <w:szCs w:val="20"/>
              </w:rPr>
              <w:t>SLA Calculations Definitions</w:t>
            </w:r>
          </w:p>
        </w:tc>
        <w:tc>
          <w:tcPr>
            <w:tcW w:w="8900" w:type="dxa"/>
          </w:tcPr>
          <w:p w14:paraId="3C779EAF"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RPO: </w:t>
            </w:r>
            <w:r>
              <w:rPr>
                <w:rFonts w:cs="Arial"/>
                <w:szCs w:val="20"/>
              </w:rPr>
              <w:t>The contracted maximum RPO for the Converged E&amp;E System and AMS, set at two (2) hours.</w:t>
            </w:r>
          </w:p>
          <w:p w14:paraId="540F6675"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Disaster Recovery Site: </w:t>
            </w:r>
            <w:r>
              <w:rPr>
                <w:rFonts w:cs="Arial"/>
                <w:szCs w:val="20"/>
              </w:rPr>
              <w:t>The Department-approved alternate site or environment configuration to which the Converged E&amp;E System and AMS are recovered following a disaster.</w:t>
            </w:r>
          </w:p>
          <w:p w14:paraId="6DDA69E6"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Recovery Occurrence: </w:t>
            </w:r>
            <w:r>
              <w:rPr>
                <w:rFonts w:cs="Arial"/>
                <w:szCs w:val="20"/>
              </w:rPr>
              <w:t>Either a Disaster Recovery test or an actual recovery event in which the RPO is measured against the contracted target.</w:t>
            </w:r>
          </w:p>
        </w:tc>
      </w:tr>
      <w:tr w:rsidR="0001751C" w:rsidRPr="002C7415" w14:paraId="6FD7F4AD"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948275F" w14:textId="77777777" w:rsidR="0001751C" w:rsidRPr="002C7415" w:rsidRDefault="0001751C" w:rsidP="00DB06F0">
            <w:pPr>
              <w:rPr>
                <w:rFonts w:cs="Arial"/>
                <w:b w:val="0"/>
                <w:bCs w:val="0"/>
                <w:szCs w:val="20"/>
              </w:rPr>
            </w:pPr>
            <w:r>
              <w:rPr>
                <w:rFonts w:cs="Arial"/>
                <w:szCs w:val="20"/>
              </w:rPr>
              <w:t>Exclusions</w:t>
            </w:r>
          </w:p>
        </w:tc>
        <w:tc>
          <w:tcPr>
            <w:tcW w:w="8900" w:type="dxa"/>
          </w:tcPr>
          <w:p w14:paraId="401B3BF5"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responsible for demonstrating any claimed exclusion.</w:t>
            </w:r>
          </w:p>
        </w:tc>
      </w:tr>
      <w:tr w:rsidR="0001751C" w:rsidRPr="002C7415" w14:paraId="58E62C7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4AD28669" w14:textId="77777777" w:rsidR="0001751C" w:rsidRPr="002C7415" w:rsidRDefault="0001751C" w:rsidP="00DB06F0">
            <w:pPr>
              <w:rPr>
                <w:rFonts w:cs="Arial"/>
                <w:b w:val="0"/>
                <w:bCs w:val="0"/>
                <w:szCs w:val="20"/>
              </w:rPr>
            </w:pPr>
            <w:r>
              <w:rPr>
                <w:rFonts w:cs="Arial"/>
                <w:szCs w:val="20"/>
              </w:rPr>
              <w:t>Process to Compile and Report SLA</w:t>
            </w:r>
          </w:p>
        </w:tc>
        <w:tc>
          <w:tcPr>
            <w:tcW w:w="8900" w:type="dxa"/>
          </w:tcPr>
          <w:p w14:paraId="097B43D6"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recovery occurrence, the Contractor must capture and retain: the timestamps required to compute the RPO; evidence of operational status of the disaster recovery site; the calculated RPO; and any deviation from the two (2) hour target. Required artifacts include evidence of the most recent Disaster Recovery testing results, including evidence that the required RPO was achieved or exceeded. All artifacts must be made available to the Department on request.</w:t>
            </w:r>
          </w:p>
        </w:tc>
      </w:tr>
      <w:tr w:rsidR="0001751C" w:rsidRPr="002C7415" w14:paraId="4AE26F7D"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14525F4" w14:textId="77777777" w:rsidR="0001751C" w:rsidRPr="002C7415" w:rsidRDefault="0001751C" w:rsidP="00DB06F0">
            <w:pPr>
              <w:rPr>
                <w:rFonts w:cs="Arial"/>
                <w:b w:val="0"/>
                <w:bCs w:val="0"/>
                <w:szCs w:val="20"/>
              </w:rPr>
            </w:pPr>
            <w:r>
              <w:rPr>
                <w:rFonts w:cs="Arial"/>
                <w:szCs w:val="20"/>
              </w:rPr>
              <w:t>Converged E&amp;E System and AMS Service Credit</w:t>
            </w:r>
          </w:p>
        </w:tc>
        <w:tc>
          <w:tcPr>
            <w:tcW w:w="8900" w:type="dxa"/>
          </w:tcPr>
          <w:p w14:paraId="24CDCF1E"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RPO (Initial Service Credit):</w:t>
            </w:r>
            <w:r>
              <w:rPr>
                <w:rFonts w:cs="Arial"/>
                <w:szCs w:val="20"/>
              </w:rPr>
              <w:t xml:space="preserve"> Failure to comply results in a service credit of one hundred thousand dollars ($100,000) per recovery occurrence if the disaster recovery site is not operational within the RPO parameter and within two (2) hours.</w:t>
            </w:r>
          </w:p>
          <w:p w14:paraId="068F84B3"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RPO Delay (Additional Service Credit):</w:t>
            </w:r>
            <w:r>
              <w:rPr>
                <w:rFonts w:cs="Arial"/>
                <w:szCs w:val="20"/>
              </w:rPr>
              <w:t xml:space="preserve"> An additional service credit of twenty-five thousand dollars ($25,000) applies for each additional hour, or portion thereof, past the original RPO.</w:t>
            </w:r>
          </w:p>
        </w:tc>
      </w:tr>
    </w:tbl>
    <w:p w14:paraId="4D579BCF" w14:textId="72BF78FD" w:rsidR="0001751C" w:rsidRPr="002C7415" w:rsidRDefault="0001751C" w:rsidP="0001751C">
      <w:pPr>
        <w:pStyle w:val="HeadingSLA"/>
      </w:pPr>
      <w:bookmarkStart w:id="164" w:name="_Toc230258272"/>
      <w:bookmarkStart w:id="165" w:name="_Toc233199200"/>
      <w:r>
        <w:t>Office Facility Maintenance: Cleaning</w:t>
      </w:r>
      <w:bookmarkEnd w:id="164"/>
      <w:bookmarkEnd w:id="165"/>
    </w:p>
    <w:tbl>
      <w:tblPr>
        <w:tblStyle w:val="DOH-LeftHeader"/>
        <w:tblW w:w="4998" w:type="pct"/>
        <w:tblLayout w:type="fixed"/>
        <w:tblLook w:val="0480" w:firstRow="0" w:lastRow="0" w:firstColumn="1" w:lastColumn="0" w:noHBand="0" w:noVBand="1"/>
      </w:tblPr>
      <w:tblGrid>
        <w:gridCol w:w="1886"/>
        <w:gridCol w:w="8900"/>
      </w:tblGrid>
      <w:tr w:rsidR="0001751C" w:rsidRPr="002C7415" w14:paraId="2CF537A2"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5012ECA" w14:textId="77777777" w:rsidR="0001751C" w:rsidRPr="002C7415" w:rsidRDefault="0001751C" w:rsidP="00DB06F0">
            <w:pPr>
              <w:rPr>
                <w:rFonts w:cs="Arial"/>
                <w:b w:val="0"/>
                <w:bCs w:val="0"/>
                <w:szCs w:val="20"/>
              </w:rPr>
            </w:pPr>
            <w:r>
              <w:rPr>
                <w:rFonts w:cs="Arial"/>
                <w:szCs w:val="20"/>
              </w:rPr>
              <w:t>Purpose</w:t>
            </w:r>
          </w:p>
        </w:tc>
        <w:tc>
          <w:tcPr>
            <w:tcW w:w="8900" w:type="dxa"/>
          </w:tcPr>
          <w:p w14:paraId="096CC604"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ensures the office is kept clean on a daily basis to support employee health, safety, and productivity. A clean environment minimizes hazards, reduces distractions, and maintains a professional image for the company.</w:t>
            </w:r>
          </w:p>
        </w:tc>
      </w:tr>
      <w:tr w:rsidR="0001751C" w:rsidRPr="002C7415" w14:paraId="42385C72"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66413D2" w14:textId="77777777" w:rsidR="0001751C" w:rsidRPr="002C7415" w:rsidRDefault="0001751C" w:rsidP="00DB06F0">
            <w:pPr>
              <w:rPr>
                <w:rFonts w:cs="Arial"/>
                <w:b w:val="0"/>
                <w:bCs w:val="0"/>
                <w:szCs w:val="20"/>
              </w:rPr>
            </w:pPr>
            <w:r>
              <w:rPr>
                <w:rFonts w:cs="Arial"/>
                <w:szCs w:val="20"/>
              </w:rPr>
              <w:t>Specification</w:t>
            </w:r>
          </w:p>
        </w:tc>
        <w:tc>
          <w:tcPr>
            <w:tcW w:w="8900" w:type="dxa"/>
          </w:tcPr>
          <w:p w14:paraId="5859548D"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perform daily cleaning services every business day. Daily cleaning must include, at a minimum:</w:t>
            </w:r>
          </w:p>
          <w:p w14:paraId="760D8953"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Emptying all trash and recycling receptacles</w:t>
            </w:r>
          </w:p>
          <w:p w14:paraId="005A28C5"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Vacuuming all carpeted areas and sweeping/mopping all hard-surface floors</w:t>
            </w:r>
          </w:p>
          <w:p w14:paraId="1DDACB89"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Wiping down and disinfecting all common area surfaces (e.g., countertops, tables, doorknobs)</w:t>
            </w:r>
          </w:p>
          <w:p w14:paraId="6DBF0290"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Cleaning and restocking all restrooms</w:t>
            </w:r>
          </w:p>
          <w:p w14:paraId="53D23497"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Cleaning and restocking kitchen/pantry areas</w:t>
            </w:r>
          </w:p>
        </w:tc>
      </w:tr>
      <w:tr w:rsidR="0001751C" w:rsidRPr="002C7415" w14:paraId="2D06BEFF"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73F6838" w14:textId="77777777" w:rsidR="0001751C" w:rsidRPr="002C7415" w:rsidRDefault="0001751C" w:rsidP="00DB06F0">
            <w:pPr>
              <w:rPr>
                <w:rFonts w:cs="Arial"/>
                <w:b w:val="0"/>
                <w:bCs w:val="0"/>
                <w:szCs w:val="20"/>
              </w:rPr>
            </w:pPr>
            <w:r>
              <w:rPr>
                <w:rFonts w:cs="Arial"/>
                <w:szCs w:val="20"/>
              </w:rPr>
              <w:t>Service Level</w:t>
            </w:r>
          </w:p>
        </w:tc>
        <w:tc>
          <w:tcPr>
            <w:tcW w:w="8900" w:type="dxa"/>
          </w:tcPr>
          <w:p w14:paraId="268DE7EA" w14:textId="77777777" w:rsidR="0001751C" w:rsidRPr="002C7415" w:rsidRDefault="0001751C"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Contractor must clean the office facility every business day.</w:t>
            </w:r>
          </w:p>
        </w:tc>
      </w:tr>
      <w:tr w:rsidR="0001751C" w:rsidRPr="002C7415" w14:paraId="0E5062F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6D9FEF2" w14:textId="77777777" w:rsidR="0001751C" w:rsidRPr="002C7415" w:rsidRDefault="0001751C" w:rsidP="00DB06F0">
            <w:pPr>
              <w:rPr>
                <w:rFonts w:cs="Arial"/>
                <w:b w:val="0"/>
                <w:bCs w:val="0"/>
                <w:szCs w:val="20"/>
              </w:rPr>
            </w:pPr>
            <w:r>
              <w:rPr>
                <w:rFonts w:cs="Arial"/>
                <w:szCs w:val="20"/>
              </w:rPr>
              <w:t>Notes</w:t>
            </w:r>
          </w:p>
        </w:tc>
        <w:tc>
          <w:tcPr>
            <w:tcW w:w="8900" w:type="dxa"/>
          </w:tcPr>
          <w:p w14:paraId="2416809A" w14:textId="77777777" w:rsidR="0001751C" w:rsidRPr="002C7415" w:rsidRDefault="0001751C"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facility must be maintained in a way that supports effective working relationships and improves operational efficiency. The Department reserves the right to inspect the facility at any time to evaluate compliance. </w:t>
            </w:r>
          </w:p>
        </w:tc>
      </w:tr>
      <w:tr w:rsidR="0001751C" w:rsidRPr="002C7415" w14:paraId="6750A9A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CF29C51" w14:textId="77777777" w:rsidR="0001751C" w:rsidRPr="002C7415" w:rsidRDefault="0001751C" w:rsidP="00DB06F0">
            <w:pPr>
              <w:rPr>
                <w:rFonts w:cs="Arial"/>
                <w:b w:val="0"/>
                <w:bCs w:val="0"/>
                <w:szCs w:val="20"/>
              </w:rPr>
            </w:pPr>
            <w:r>
              <w:rPr>
                <w:rFonts w:cs="Arial"/>
                <w:szCs w:val="20"/>
              </w:rPr>
              <w:t>Reporting Frequency</w:t>
            </w:r>
          </w:p>
        </w:tc>
        <w:tc>
          <w:tcPr>
            <w:tcW w:w="8900" w:type="dxa"/>
          </w:tcPr>
          <w:p w14:paraId="4263946F"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w:t>
            </w:r>
          </w:p>
          <w:p w14:paraId="01424B55"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tracked daily once the facility is operational. The Contractor must report the total number of any missed cleaning days and the total service credits for the month in the Monthly Status Report.</w:t>
            </w:r>
          </w:p>
        </w:tc>
      </w:tr>
      <w:tr w:rsidR="0001751C" w:rsidRPr="002C7415" w14:paraId="5B6CC3DA"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C899190" w14:textId="77777777" w:rsidR="0001751C" w:rsidRPr="002C7415" w:rsidRDefault="0001751C" w:rsidP="00DB06F0">
            <w:pPr>
              <w:rPr>
                <w:rFonts w:cs="Arial"/>
                <w:szCs w:val="20"/>
              </w:rPr>
            </w:pPr>
            <w:r>
              <w:rPr>
                <w:rFonts w:cs="Arial"/>
                <w:szCs w:val="20"/>
              </w:rPr>
              <w:t>SLA Calculations</w:t>
            </w:r>
          </w:p>
        </w:tc>
        <w:tc>
          <w:tcPr>
            <w:tcW w:w="8900" w:type="dxa"/>
          </w:tcPr>
          <w:p w14:paraId="64A20618"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SLA compliance is evaluated monthly as follows:</w:t>
            </w:r>
          </w:p>
          <w:p w14:paraId="36D0BD2E"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Review Contractor Documentation</w:t>
            </w:r>
            <w:r>
              <w:rPr>
                <w:rFonts w:cs="Arial"/>
                <w:szCs w:val="20"/>
              </w:rPr>
              <w:t>: Determine if the Contactor’s Cleaning Log or similar documentation confirms the required cleaning was completed on each business day during the month.</w:t>
            </w:r>
          </w:p>
          <w:p w14:paraId="00F66E39"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Evaluate Compliance</w:t>
            </w:r>
            <w:r>
              <w:rPr>
                <w:rFonts w:cs="Arial"/>
                <w:szCs w:val="20"/>
              </w:rPr>
              <w:t>: The SLA is breached for each business day during the month when cleaning was not performed.</w:t>
            </w:r>
          </w:p>
          <w:p w14:paraId="08EF3263"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Calculate the Service Credit</w:t>
            </w:r>
            <w:r>
              <w:rPr>
                <w:rFonts w:cs="Arial"/>
                <w:szCs w:val="20"/>
              </w:rPr>
              <w:t>: Add the number of business days during the month when cleaning was not completed. Multiply the total business days x the one thousand dollars ($1,000) service credit per day to determine the service credit amount.</w:t>
            </w:r>
          </w:p>
        </w:tc>
      </w:tr>
      <w:tr w:rsidR="0001751C" w:rsidRPr="002C7415" w14:paraId="5BE2CED5"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76A256E6" w14:textId="77777777" w:rsidR="0001751C" w:rsidRPr="002C7415" w:rsidRDefault="0001751C" w:rsidP="00DB06F0">
            <w:pPr>
              <w:rPr>
                <w:rFonts w:cs="Arial"/>
                <w:b w:val="0"/>
                <w:bCs w:val="0"/>
                <w:szCs w:val="20"/>
              </w:rPr>
            </w:pPr>
            <w:r>
              <w:rPr>
                <w:rFonts w:cs="Arial"/>
                <w:szCs w:val="20"/>
              </w:rPr>
              <w:t>SLA Calculations Definitions</w:t>
            </w:r>
          </w:p>
        </w:tc>
        <w:tc>
          <w:tcPr>
            <w:tcW w:w="8900" w:type="dxa"/>
          </w:tcPr>
          <w:p w14:paraId="4CECAFD6"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the purposes of SLA assessment, time units are defined as follows:</w:t>
            </w:r>
          </w:p>
          <w:p w14:paraId="2F228F5E" w14:textId="77777777" w:rsidR="0001751C" w:rsidRPr="002C7415" w:rsidRDefault="0001751C" w:rsidP="00DB06F0">
            <w:pPr>
              <w:pStyle w:val="TableBullet"/>
              <w:cnfStyle w:val="000000000000" w:firstRow="0" w:lastRow="0" w:firstColumn="0" w:lastColumn="0" w:oddVBand="0" w:evenVBand="0" w:oddHBand="0" w:evenHBand="0" w:firstRowFirstColumn="0" w:firstRowLastColumn="0" w:lastRowFirstColumn="0" w:lastRowLastColumn="0"/>
            </w:pPr>
            <w:r>
              <w:rPr>
                <w:b/>
                <w:bCs/>
              </w:rPr>
              <w:t>Business Day</w:t>
            </w:r>
            <w:r>
              <w:t xml:space="preserve"> – Any day from Monday through Friday, excluding State and federal holidays</w:t>
            </w:r>
          </w:p>
        </w:tc>
      </w:tr>
      <w:tr w:rsidR="0001751C" w:rsidRPr="002C7415" w14:paraId="5E480BFF"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725985F" w14:textId="77777777" w:rsidR="0001751C" w:rsidRPr="002C7415" w:rsidRDefault="0001751C" w:rsidP="00DB06F0">
            <w:pPr>
              <w:rPr>
                <w:rFonts w:cs="Arial"/>
                <w:b w:val="0"/>
                <w:bCs w:val="0"/>
                <w:szCs w:val="20"/>
              </w:rPr>
            </w:pPr>
            <w:r>
              <w:rPr>
                <w:rFonts w:cs="Arial"/>
                <w:szCs w:val="20"/>
              </w:rPr>
              <w:t>Exclusions</w:t>
            </w:r>
          </w:p>
        </w:tc>
        <w:tc>
          <w:tcPr>
            <w:tcW w:w="8900" w:type="dxa"/>
          </w:tcPr>
          <w:p w14:paraId="685349EE"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 business day is not considered missed if the Department provides a written waiver in advance to skip the cleaning for that specific business day. The Contractor must provide this written waiver document to claim the exclusion.</w:t>
            </w:r>
          </w:p>
        </w:tc>
      </w:tr>
      <w:tr w:rsidR="0001751C" w:rsidRPr="002C7415" w14:paraId="320BD96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D011BFE" w14:textId="77777777" w:rsidR="0001751C" w:rsidRPr="002C7415" w:rsidRDefault="0001751C" w:rsidP="00DB06F0">
            <w:pPr>
              <w:rPr>
                <w:rFonts w:cs="Arial"/>
                <w:b w:val="0"/>
                <w:bCs w:val="0"/>
                <w:szCs w:val="20"/>
              </w:rPr>
            </w:pPr>
            <w:r>
              <w:rPr>
                <w:rFonts w:cs="Arial"/>
                <w:szCs w:val="20"/>
              </w:rPr>
              <w:t>Process to Compile and Report SLA</w:t>
            </w:r>
          </w:p>
        </w:tc>
        <w:tc>
          <w:tcPr>
            <w:tcW w:w="8900" w:type="dxa"/>
          </w:tcPr>
          <w:p w14:paraId="7E9B9764"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maintain a daily cleaning log, which must be signed and dated by the janitorial staff each day when their work is finished. The Contractor must report any missed days and the total accrued service credits in the Monthly Status Report.</w:t>
            </w:r>
          </w:p>
        </w:tc>
      </w:tr>
      <w:tr w:rsidR="0001751C" w:rsidRPr="002C7415" w14:paraId="6856865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BA02AD9" w14:textId="77777777" w:rsidR="0001751C" w:rsidRPr="002C7415" w:rsidRDefault="0001751C" w:rsidP="00DB06F0">
            <w:pPr>
              <w:rPr>
                <w:rFonts w:cs="Arial"/>
                <w:b w:val="0"/>
                <w:bCs w:val="0"/>
                <w:szCs w:val="20"/>
              </w:rPr>
            </w:pPr>
            <w:r>
              <w:rPr>
                <w:rFonts w:cs="Arial"/>
                <w:szCs w:val="20"/>
              </w:rPr>
              <w:t>Converged E&amp;E System and AMS Service Credit</w:t>
            </w:r>
          </w:p>
        </w:tc>
        <w:tc>
          <w:tcPr>
            <w:tcW w:w="8900" w:type="dxa"/>
          </w:tcPr>
          <w:p w14:paraId="1A9885ED"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 service credit of one thousand dollars ($1,000) will apply for each business day that the required daily cleaning was not performed. Service credits will be accumulated over the course of a month starting with the first business day of the month.</w:t>
            </w:r>
          </w:p>
        </w:tc>
      </w:tr>
    </w:tbl>
    <w:p w14:paraId="13176BFE" w14:textId="369188B5" w:rsidR="0001751C" w:rsidRPr="002C7415" w:rsidRDefault="0001751C" w:rsidP="0001751C">
      <w:pPr>
        <w:pStyle w:val="HeadingSLA"/>
      </w:pPr>
      <w:bookmarkStart w:id="166" w:name="_Toc230258273"/>
      <w:bookmarkStart w:id="167" w:name="_Toc233199201"/>
      <w:r>
        <w:t>Office Facility Maintenance: Snow Removal</w:t>
      </w:r>
      <w:bookmarkEnd w:id="166"/>
      <w:bookmarkEnd w:id="167"/>
    </w:p>
    <w:tbl>
      <w:tblPr>
        <w:tblStyle w:val="DOH-LeftHeader"/>
        <w:tblW w:w="4998" w:type="pct"/>
        <w:tblLayout w:type="fixed"/>
        <w:tblLook w:val="0480" w:firstRow="0" w:lastRow="0" w:firstColumn="1" w:lastColumn="0" w:noHBand="0" w:noVBand="1"/>
      </w:tblPr>
      <w:tblGrid>
        <w:gridCol w:w="1886"/>
        <w:gridCol w:w="8900"/>
      </w:tblGrid>
      <w:tr w:rsidR="0001751C" w:rsidRPr="002C7415" w14:paraId="39532383"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496BA21" w14:textId="77777777" w:rsidR="0001751C" w:rsidRPr="002C7415" w:rsidRDefault="0001751C" w:rsidP="00DB06F0">
            <w:pPr>
              <w:rPr>
                <w:rFonts w:cs="Arial"/>
                <w:b w:val="0"/>
                <w:bCs w:val="0"/>
                <w:szCs w:val="20"/>
              </w:rPr>
            </w:pPr>
            <w:r>
              <w:rPr>
                <w:rFonts w:cs="Arial"/>
                <w:szCs w:val="20"/>
              </w:rPr>
              <w:t>Purpose</w:t>
            </w:r>
          </w:p>
        </w:tc>
        <w:tc>
          <w:tcPr>
            <w:tcW w:w="8900" w:type="dxa"/>
          </w:tcPr>
          <w:p w14:paraId="256F4913"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 xml:space="preserve">This SLA specifies the timeframe and frequency for mandatory snow removal to ensure staff safety. The threshold of zero point five inches (0.5 “) of snow accumulation triggers important safety and maintenance actions. Removing snow early reduces the risk of slips, falling ice, and structural stress. </w:t>
            </w:r>
          </w:p>
        </w:tc>
      </w:tr>
      <w:tr w:rsidR="0001751C" w:rsidRPr="002C7415" w14:paraId="57772B90"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586289D" w14:textId="77777777" w:rsidR="0001751C" w:rsidRPr="002C7415" w:rsidRDefault="0001751C" w:rsidP="00DB06F0">
            <w:pPr>
              <w:rPr>
                <w:rFonts w:cs="Arial"/>
                <w:b w:val="0"/>
                <w:bCs w:val="0"/>
                <w:szCs w:val="20"/>
              </w:rPr>
            </w:pPr>
            <w:r>
              <w:rPr>
                <w:rFonts w:cs="Arial"/>
                <w:szCs w:val="20"/>
              </w:rPr>
              <w:t>Specification</w:t>
            </w:r>
          </w:p>
        </w:tc>
        <w:tc>
          <w:tcPr>
            <w:tcW w:w="8900" w:type="dxa"/>
          </w:tcPr>
          <w:p w14:paraId="46D0E893"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provide snow removal services for the parking lot and walkways whenever snowfall exceeds zero point five inches (0.5 “). This ensures the safety of all staff throughout the term of the Contract.</w:t>
            </w:r>
          </w:p>
        </w:tc>
      </w:tr>
      <w:tr w:rsidR="0001751C" w:rsidRPr="002C7415" w14:paraId="70113018"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11CF1D30" w14:textId="77777777" w:rsidR="0001751C" w:rsidRPr="002C7415" w:rsidRDefault="0001751C" w:rsidP="00DB06F0">
            <w:pPr>
              <w:rPr>
                <w:rFonts w:cs="Arial"/>
                <w:b w:val="0"/>
                <w:bCs w:val="0"/>
                <w:szCs w:val="20"/>
              </w:rPr>
            </w:pPr>
            <w:r>
              <w:rPr>
                <w:rFonts w:cs="Arial"/>
                <w:szCs w:val="20"/>
              </w:rPr>
              <w:t>Service Level</w:t>
            </w:r>
          </w:p>
        </w:tc>
        <w:tc>
          <w:tcPr>
            <w:tcW w:w="8900" w:type="dxa"/>
          </w:tcPr>
          <w:p w14:paraId="519F872A"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eastAsia="Calibri" w:cs="Arial"/>
                <w:szCs w:val="20"/>
              </w:rPr>
            </w:pPr>
            <w:r>
              <w:rPr>
                <w:rFonts w:eastAsia="Calibri" w:cs="Arial"/>
                <w:szCs w:val="20"/>
              </w:rPr>
              <w:t>The Contractor must remove the snow within twelve (12) hours of the accumulation exceeding zero point five inches (0.5 “). During lengthy periods of continuous snow, the Contractor must clear the snow at least every twelve (12) hours.</w:t>
            </w:r>
          </w:p>
        </w:tc>
      </w:tr>
      <w:tr w:rsidR="0001751C" w:rsidRPr="002C7415" w14:paraId="4D2E788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E6F00C1" w14:textId="77777777" w:rsidR="0001751C" w:rsidRPr="002C7415" w:rsidRDefault="0001751C" w:rsidP="00DB06F0">
            <w:pPr>
              <w:rPr>
                <w:rFonts w:cs="Arial"/>
                <w:b w:val="0"/>
                <w:bCs w:val="0"/>
                <w:szCs w:val="20"/>
              </w:rPr>
            </w:pPr>
            <w:r>
              <w:rPr>
                <w:rFonts w:cs="Arial"/>
                <w:szCs w:val="20"/>
              </w:rPr>
              <w:t>Notes</w:t>
            </w:r>
          </w:p>
        </w:tc>
        <w:tc>
          <w:tcPr>
            <w:tcW w:w="8900" w:type="dxa"/>
          </w:tcPr>
          <w:p w14:paraId="637CC5A7"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“Snowfall” includes new snow and ice (ice pellets, sleet, graupel, and snow pellets) accumulated since the last observation, before any melting or settling occurs.</w:t>
            </w:r>
          </w:p>
          <w:p w14:paraId="44B773D4"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Snowfall must be measured to the nearest zero point one inch (0.1”).</w:t>
            </w:r>
          </w:p>
          <w:p w14:paraId="4CE375E4"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t>The measurement must be made as soon as possible after the snow ends to capture the true accumulation (following National Weather Service guidelines).</w:t>
            </w:r>
          </w:p>
        </w:tc>
      </w:tr>
      <w:tr w:rsidR="0001751C" w:rsidRPr="002C7415" w14:paraId="660402C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AD3B96E" w14:textId="77777777" w:rsidR="0001751C" w:rsidRPr="002C7415" w:rsidRDefault="0001751C" w:rsidP="00DB06F0">
            <w:pPr>
              <w:rPr>
                <w:rFonts w:cs="Arial"/>
                <w:b w:val="0"/>
                <w:bCs w:val="0"/>
                <w:szCs w:val="20"/>
              </w:rPr>
            </w:pPr>
            <w:r>
              <w:rPr>
                <w:rFonts w:cs="Arial"/>
                <w:szCs w:val="20"/>
              </w:rPr>
              <w:t>Reporting Frequency</w:t>
            </w:r>
          </w:p>
        </w:tc>
        <w:tc>
          <w:tcPr>
            <w:tcW w:w="8900" w:type="dxa"/>
          </w:tcPr>
          <w:p w14:paraId="777D5C44" w14:textId="77777777" w:rsidR="0001751C" w:rsidRPr="002C7415" w:rsidRDefault="0001751C"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w:t>
            </w:r>
          </w:p>
          <w:p w14:paraId="1F499C75" w14:textId="77777777" w:rsidR="0001751C" w:rsidRPr="002C7415" w:rsidRDefault="0001751C" w:rsidP="00DB06F0">
            <w:pPr>
              <w:overflowPunct w:val="0"/>
              <w:autoSpaceDE w:val="0"/>
              <w:autoSpaceDN w:val="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measured for every day in the calendar month when there is a snow event. Total compliance is accumulated and reported monthly.</w:t>
            </w:r>
          </w:p>
        </w:tc>
      </w:tr>
      <w:tr w:rsidR="0001751C" w:rsidRPr="002C7415" w14:paraId="3F11BA96"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2EC6B8F" w14:textId="77777777" w:rsidR="0001751C" w:rsidRPr="002C7415" w:rsidRDefault="0001751C" w:rsidP="00DB06F0">
            <w:pPr>
              <w:rPr>
                <w:rFonts w:cs="Arial"/>
                <w:szCs w:val="20"/>
              </w:rPr>
            </w:pPr>
            <w:r>
              <w:rPr>
                <w:rFonts w:cs="Arial"/>
                <w:szCs w:val="20"/>
              </w:rPr>
              <w:t>SLA Calculations</w:t>
            </w:r>
          </w:p>
        </w:tc>
        <w:tc>
          <w:tcPr>
            <w:tcW w:w="8900" w:type="dxa"/>
          </w:tcPr>
          <w:p w14:paraId="02E714CF"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Here is how this SLA is evaluated for every snow event:</w:t>
            </w:r>
          </w:p>
          <w:p w14:paraId="76160417" w14:textId="77777777" w:rsidR="0001751C" w:rsidRPr="002C7415" w:rsidRDefault="0001751C"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Track Snow Accumulation:</w:t>
            </w:r>
            <w:r>
              <w:rPr>
                <w:rFonts w:cs="Arial"/>
                <w:szCs w:val="20"/>
              </w:rPr>
              <w:t xml:space="preserve"> Monitor regional weather service data by zip code to identify when snowfall exceeds zero point five inches (0.5”).</w:t>
            </w:r>
          </w:p>
          <w:p w14:paraId="45A7DDB8" w14:textId="77777777" w:rsidR="0001751C" w:rsidRPr="002C7415" w:rsidRDefault="0001751C"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Start the Snow Removal Clock</w:t>
            </w:r>
            <w:r>
              <w:rPr>
                <w:rFonts w:cs="Arial"/>
                <w:szCs w:val="20"/>
              </w:rPr>
              <w:t>: The twelve (12)-hour clock begins the moment the accumulation exceeds zero point five inches (0.5”). (For continuous storms, the clock restarts immediately after each snow removal).</w:t>
            </w:r>
          </w:p>
          <w:p w14:paraId="53F1B3E2" w14:textId="77777777" w:rsidR="0001751C" w:rsidRPr="002C7415" w:rsidRDefault="0001751C"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Check for a Breach</w:t>
            </w:r>
            <w:r>
              <w:rPr>
                <w:rFonts w:cs="Arial"/>
                <w:szCs w:val="20"/>
              </w:rPr>
              <w:t>: If the snow in the parking lot and walkways is not removed within twelve (12) hours from the snow event, the SLA is breached.</w:t>
            </w:r>
          </w:p>
          <w:p w14:paraId="7A8ECF59" w14:textId="77777777" w:rsidR="0001751C" w:rsidRPr="002C7415" w:rsidRDefault="0001751C" w:rsidP="00DB06F0">
            <w:pPr>
              <w:overflowPunct w:val="0"/>
              <w:autoSpaceDE w:val="0"/>
              <w:autoSpaceDN w:val="0"/>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t>Calculate the Service Credits:</w:t>
            </w:r>
          </w:p>
          <w:p w14:paraId="53B578E6"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rPr>
                <w:b/>
                <w:bCs/>
              </w:rPr>
              <w:t>Evaluate for Delayed Removal</w:t>
            </w:r>
            <w:r>
              <w:t>: Determine the number of business days during the month when snow accumulation above zero point five inches (0.5”) was not removed within twelve (12) hours. The service credit of five thousand dollars ($5,000) is accrued for each business day.</w:t>
            </w:r>
          </w:p>
          <w:p w14:paraId="73EBFB39" w14:textId="77777777" w:rsidR="0001751C" w:rsidRPr="002C7415" w:rsidRDefault="0001751C" w:rsidP="00DB06F0">
            <w:pPr>
              <w:pStyle w:val="TableBullet"/>
              <w:cnfStyle w:val="000000010000" w:firstRow="0" w:lastRow="0" w:firstColumn="0" w:lastColumn="0" w:oddVBand="0" w:evenVBand="0" w:oddHBand="0" w:evenHBand="1" w:firstRowFirstColumn="0" w:firstRowLastColumn="0" w:lastRowFirstColumn="0" w:lastRowLastColumn="0"/>
            </w:pPr>
            <w:r>
              <w:rPr>
                <w:b/>
                <w:bCs/>
              </w:rPr>
              <w:t>Evaluate for Extended Delay</w:t>
            </w:r>
            <w:r>
              <w:t>: Calculate the number of hours delay in excess of twelve (12) hours until the snow is removed. An additional service credit of one thousand dollars ($1,000) per hour is applied. Additional service credit is applied to each delay hour above twelve (12) hours until the snow is removed.</w:t>
            </w:r>
          </w:p>
        </w:tc>
      </w:tr>
      <w:tr w:rsidR="0001751C" w:rsidRPr="002C7415" w14:paraId="2F7DB6F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62FD028" w14:textId="77777777" w:rsidR="0001751C" w:rsidRPr="002C7415" w:rsidRDefault="0001751C" w:rsidP="00DB06F0">
            <w:pPr>
              <w:rPr>
                <w:rFonts w:cs="Arial"/>
                <w:b w:val="0"/>
                <w:bCs w:val="0"/>
                <w:szCs w:val="20"/>
              </w:rPr>
            </w:pPr>
            <w:r>
              <w:rPr>
                <w:rFonts w:cs="Arial"/>
                <w:szCs w:val="20"/>
              </w:rPr>
              <w:t>SLA Calculations Definitions</w:t>
            </w:r>
          </w:p>
        </w:tc>
        <w:tc>
          <w:tcPr>
            <w:tcW w:w="8900" w:type="dxa"/>
          </w:tcPr>
          <w:p w14:paraId="135142D6"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Snowfall</w:t>
            </w:r>
            <w:r>
              <w:rPr>
                <w:rFonts w:cs="Arial"/>
                <w:szCs w:val="20"/>
              </w:rPr>
              <w:t>: the amount of snow that falls in a single snow event or in a given period.</w:t>
            </w:r>
          </w:p>
        </w:tc>
      </w:tr>
      <w:tr w:rsidR="0001751C" w:rsidRPr="002C7415" w14:paraId="51634164"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4E1673F" w14:textId="77777777" w:rsidR="0001751C" w:rsidRPr="002C7415" w:rsidRDefault="0001751C" w:rsidP="00DB06F0">
            <w:pPr>
              <w:rPr>
                <w:rFonts w:cs="Arial"/>
                <w:b w:val="0"/>
                <w:bCs w:val="0"/>
                <w:szCs w:val="20"/>
              </w:rPr>
            </w:pPr>
            <w:r>
              <w:rPr>
                <w:rFonts w:cs="Arial"/>
                <w:szCs w:val="20"/>
              </w:rPr>
              <w:t>Exclusions</w:t>
            </w:r>
          </w:p>
        </w:tc>
        <w:tc>
          <w:tcPr>
            <w:tcW w:w="8900" w:type="dxa"/>
          </w:tcPr>
          <w:p w14:paraId="564287DE"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A delay does not count as a breach if the Department provides a written waiver extending the time allowed for a specific snow event. The Contractor must provide this official written waiver document to claim the exclusion.</w:t>
            </w:r>
          </w:p>
        </w:tc>
      </w:tr>
      <w:tr w:rsidR="0001751C" w:rsidRPr="002C7415" w14:paraId="0FA5A3B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7D068D3" w14:textId="77777777" w:rsidR="0001751C" w:rsidRPr="002C7415" w:rsidRDefault="0001751C" w:rsidP="00DB06F0">
            <w:pPr>
              <w:rPr>
                <w:rFonts w:cs="Arial"/>
                <w:b w:val="0"/>
                <w:bCs w:val="0"/>
                <w:szCs w:val="20"/>
              </w:rPr>
            </w:pPr>
            <w:r>
              <w:rPr>
                <w:rFonts w:cs="Arial"/>
                <w:szCs w:val="20"/>
              </w:rPr>
              <w:t>Process to Compile and Report SLA</w:t>
            </w:r>
          </w:p>
        </w:tc>
        <w:tc>
          <w:tcPr>
            <w:tcW w:w="8900" w:type="dxa"/>
          </w:tcPr>
          <w:p w14:paraId="41525C24" w14:textId="77777777" w:rsidR="0001751C" w:rsidRPr="002C7415" w:rsidRDefault="0001751C"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keep a facility log tracking the exact date and time of snow removal for every event over zero point five inches (0.5”). The Contractor must also retain records from a regional weather service (showing snowfall date, time, and amount by zip code) to verify the snow accumulation. Any instances of non-compliance must be reported in the Weekly and Monthly Status Reports.</w:t>
            </w:r>
          </w:p>
        </w:tc>
      </w:tr>
      <w:tr w:rsidR="0001751C" w:rsidRPr="002C7415" w14:paraId="362E9A85"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086D775" w14:textId="77777777" w:rsidR="0001751C" w:rsidRPr="002C7415" w:rsidRDefault="0001751C" w:rsidP="00DB06F0">
            <w:pPr>
              <w:rPr>
                <w:rFonts w:cs="Arial"/>
                <w:b w:val="0"/>
                <w:bCs w:val="0"/>
                <w:szCs w:val="20"/>
              </w:rPr>
            </w:pPr>
            <w:r>
              <w:rPr>
                <w:rFonts w:cs="Arial"/>
                <w:szCs w:val="20"/>
              </w:rPr>
              <w:t>Converged E&amp;E System and AMS Service Credit</w:t>
            </w:r>
          </w:p>
        </w:tc>
        <w:tc>
          <w:tcPr>
            <w:tcW w:w="8900" w:type="dxa"/>
          </w:tcPr>
          <w:p w14:paraId="300488E2"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Delayed Removal (Initial Service Credit): </w:t>
            </w:r>
            <w:r>
              <w:rPr>
                <w:rFonts w:cs="Arial"/>
                <w:szCs w:val="20"/>
              </w:rPr>
              <w:t>A service credit of five thousand dollars ($5,000) per business day, or any portion of a business day, applies if snow is not removed within twelve (12) hours from the time approximately zero point five inches (0.5”) of snow has accumulated.</w:t>
            </w:r>
          </w:p>
          <w:p w14:paraId="390416BA" w14:textId="77777777" w:rsidR="0001751C"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Extended Delayed Removal (Additional Service Credit): </w:t>
            </w:r>
            <w:r>
              <w:rPr>
                <w:rFonts w:cs="Arial"/>
                <w:szCs w:val="20"/>
              </w:rPr>
              <w:t>Additional service credit of one thousand dollars ($1,000) per hour, or any portion of an hour, applies for every hour of snow removal delay above twelve (12) hours until the snow is removed.</w:t>
            </w:r>
          </w:p>
          <w:p w14:paraId="6CE8A221"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b/>
                <w:bCs/>
                <w:szCs w:val="20"/>
              </w:rPr>
            </w:pPr>
            <w:r>
              <w:rPr>
                <w:rFonts w:cs="Arial"/>
                <w:b/>
                <w:bCs/>
                <w:szCs w:val="20"/>
              </w:rPr>
              <w:t>Snowfall for Lengthy Periods of Time</w:t>
            </w:r>
          </w:p>
          <w:p w14:paraId="33A0AD8C" w14:textId="77777777" w:rsidR="0001751C" w:rsidRPr="002C7415" w:rsidRDefault="0001751C"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In the event that snowfall persists for lengthy periods of time (e.g., multi-day snow event), snow removal must be performed no less than every twelve (12) hours. The twelve (12)-hour SLA clock restarts immediately after each completed removal.</w:t>
            </w:r>
          </w:p>
        </w:tc>
      </w:tr>
    </w:tbl>
    <w:p w14:paraId="28F179BA" w14:textId="7E9C9B66" w:rsidR="00C23715" w:rsidRDefault="00C23715" w:rsidP="00C23715">
      <w:pPr>
        <w:pStyle w:val="Heading2"/>
      </w:pPr>
      <w:bookmarkStart w:id="168" w:name="_Toc233199202"/>
      <w:bookmarkStart w:id="169" w:name="_Toc230258253"/>
      <w:r>
        <w:t>Data Quality</w:t>
      </w:r>
      <w:bookmarkEnd w:id="168"/>
    </w:p>
    <w:p w14:paraId="5AD075B7" w14:textId="7C009A12" w:rsidR="00D64EE2" w:rsidRPr="002C7415" w:rsidRDefault="00D64EE2" w:rsidP="00D64EE2">
      <w:pPr>
        <w:pStyle w:val="HeadingSLA"/>
      </w:pPr>
      <w:bookmarkStart w:id="170" w:name="_Toc233199203"/>
      <w:r>
        <w:t>Converged Eligibility and Enrollment System and Appeals Management System Production Reporting Environment: Data Sync</w:t>
      </w:r>
      <w:bookmarkEnd w:id="169"/>
      <w:bookmarkEnd w:id="170"/>
    </w:p>
    <w:tbl>
      <w:tblPr>
        <w:tblStyle w:val="DOH-LeftHeader"/>
        <w:tblW w:w="4998" w:type="pct"/>
        <w:tblLayout w:type="fixed"/>
        <w:tblLook w:val="0480" w:firstRow="0" w:lastRow="0" w:firstColumn="1" w:lastColumn="0" w:noHBand="0" w:noVBand="1"/>
      </w:tblPr>
      <w:tblGrid>
        <w:gridCol w:w="1886"/>
        <w:gridCol w:w="8900"/>
      </w:tblGrid>
      <w:tr w:rsidR="00D64EE2" w:rsidRPr="002C7415" w14:paraId="3746735A"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0A40C693" w14:textId="77777777" w:rsidR="00D64EE2" w:rsidRPr="002C7415" w:rsidRDefault="00D64EE2" w:rsidP="00DB06F0">
            <w:pPr>
              <w:rPr>
                <w:rFonts w:cs="Arial"/>
                <w:b w:val="0"/>
                <w:bCs w:val="0"/>
                <w:szCs w:val="20"/>
              </w:rPr>
            </w:pPr>
            <w:r>
              <w:rPr>
                <w:rFonts w:cs="Arial"/>
                <w:szCs w:val="20"/>
              </w:rPr>
              <w:t>Purpose</w:t>
            </w:r>
          </w:p>
        </w:tc>
        <w:tc>
          <w:tcPr>
            <w:tcW w:w="8900" w:type="dxa"/>
          </w:tcPr>
          <w:p w14:paraId="720EA7C0" w14:textId="77777777" w:rsidR="00D64EE2" w:rsidRPr="002C7415" w:rsidRDefault="00D64EE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reporting based on data that accurately reflects production. The Reporting Environment is the Source of Truth for analytical, regulatory, and operational reports; if it falls out of sync with production transactional data, every report drawn from it is wrong by the same gap. This SLA caps that gap at four (4) hours.</w:t>
            </w:r>
          </w:p>
        </w:tc>
      </w:tr>
      <w:tr w:rsidR="00D64EE2" w:rsidRPr="002C7415" w14:paraId="53B880BE"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4C40E40" w14:textId="77777777" w:rsidR="00D64EE2" w:rsidRPr="002C7415" w:rsidRDefault="00D64EE2" w:rsidP="00DB06F0">
            <w:pPr>
              <w:rPr>
                <w:rFonts w:cs="Arial"/>
                <w:b w:val="0"/>
                <w:bCs w:val="0"/>
                <w:szCs w:val="20"/>
              </w:rPr>
            </w:pPr>
            <w:r>
              <w:rPr>
                <w:rFonts w:cs="Arial"/>
                <w:szCs w:val="20"/>
              </w:rPr>
              <w:t>Specification</w:t>
            </w:r>
          </w:p>
        </w:tc>
        <w:tc>
          <w:tcPr>
            <w:tcW w:w="8900" w:type="dxa"/>
          </w:tcPr>
          <w:p w14:paraId="10637CD4" w14:textId="77777777" w:rsidR="00D64EE2" w:rsidRPr="002C7415" w:rsidRDefault="00D64EE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maintain active data synchronization between the Converged E&amp;E System and AMS production transactional database and the Reporting Environment. Data in the Reporting Environment must never lag behind production transactional data by more than four (4) hours. This requirement applies during the defined Hours of Operations (documented in the Converged E&amp;E System and AMS M&amp;O Manual) and outside of scheduled Reporting Environment maintenance windows.</w:t>
            </w:r>
          </w:p>
        </w:tc>
      </w:tr>
      <w:tr w:rsidR="00D64EE2" w:rsidRPr="002C7415" w14:paraId="173C97E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82FEDE9" w14:textId="77777777" w:rsidR="00D64EE2" w:rsidRPr="002C7415" w:rsidRDefault="00D64EE2" w:rsidP="00DB06F0">
            <w:pPr>
              <w:rPr>
                <w:rFonts w:cs="Arial"/>
                <w:b w:val="0"/>
                <w:bCs w:val="0"/>
                <w:szCs w:val="20"/>
              </w:rPr>
            </w:pPr>
            <w:r>
              <w:rPr>
                <w:rFonts w:cs="Arial"/>
                <w:szCs w:val="20"/>
              </w:rPr>
              <w:t>Service Level</w:t>
            </w:r>
          </w:p>
        </w:tc>
        <w:tc>
          <w:tcPr>
            <w:tcW w:w="8900" w:type="dxa"/>
          </w:tcPr>
          <w:p w14:paraId="11C6EB46" w14:textId="77777777" w:rsidR="00D64EE2" w:rsidRPr="002C7415" w:rsidRDefault="00D64EE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Reporting Environment must remain synchronized with the production transactional database to within four (4) hours during the hours of operations documented in the M&amp;O Manual.</w:t>
            </w:r>
          </w:p>
        </w:tc>
      </w:tr>
      <w:tr w:rsidR="00D64EE2" w:rsidRPr="002C7415" w14:paraId="77E6D0D3"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A9D1B1E" w14:textId="77777777" w:rsidR="00D64EE2" w:rsidRPr="002C7415" w:rsidRDefault="00D64EE2" w:rsidP="00DB06F0">
            <w:pPr>
              <w:rPr>
                <w:rFonts w:cs="Arial"/>
                <w:b w:val="0"/>
                <w:bCs w:val="0"/>
                <w:szCs w:val="20"/>
              </w:rPr>
            </w:pPr>
            <w:r>
              <w:rPr>
                <w:rFonts w:cs="Arial"/>
                <w:szCs w:val="20"/>
              </w:rPr>
              <w:t>Notes</w:t>
            </w:r>
          </w:p>
        </w:tc>
        <w:tc>
          <w:tcPr>
            <w:tcW w:w="8900" w:type="dxa"/>
          </w:tcPr>
          <w:p w14:paraId="48261455" w14:textId="77777777" w:rsidR="00D64EE2" w:rsidRPr="002C7415" w:rsidRDefault="00D64EE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continuously monitor replication lag and provide the Department with read-only access to the relevant dashboards.</w:t>
            </w:r>
          </w:p>
        </w:tc>
      </w:tr>
      <w:tr w:rsidR="00D64EE2" w:rsidRPr="002C7415" w14:paraId="3AE3A63F"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6CE62796" w14:textId="77777777" w:rsidR="00D64EE2" w:rsidRPr="002C7415" w:rsidRDefault="00D64EE2" w:rsidP="00DB06F0">
            <w:pPr>
              <w:rPr>
                <w:rFonts w:cs="Arial"/>
                <w:b w:val="0"/>
                <w:bCs w:val="0"/>
                <w:szCs w:val="20"/>
              </w:rPr>
            </w:pPr>
            <w:r>
              <w:rPr>
                <w:rFonts w:cs="Arial"/>
                <w:szCs w:val="20"/>
              </w:rPr>
              <w:t>Reporting Frequency</w:t>
            </w:r>
          </w:p>
        </w:tc>
        <w:tc>
          <w:tcPr>
            <w:tcW w:w="8900" w:type="dxa"/>
          </w:tcPr>
          <w:p w14:paraId="548985ED" w14:textId="77777777" w:rsidR="00D64EE2" w:rsidRPr="002C7415" w:rsidRDefault="00D64EE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Monthly. Replication lag is measured continuously. A monthly Operation Report is delivered to the Department within five (5) business days after the end of each calendar month. This SLA is in effect after the Transition-In Cutover and continues through the Transition-Out Cutover.</w:t>
            </w:r>
          </w:p>
        </w:tc>
      </w:tr>
      <w:tr w:rsidR="00D64EE2" w:rsidRPr="002C7415" w14:paraId="4E86CEC4"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A6D8DDC" w14:textId="77777777" w:rsidR="00D64EE2" w:rsidRPr="002C7415" w:rsidRDefault="00D64EE2" w:rsidP="00DB06F0">
            <w:pPr>
              <w:rPr>
                <w:rFonts w:cs="Arial"/>
                <w:szCs w:val="20"/>
              </w:rPr>
            </w:pPr>
            <w:r>
              <w:rPr>
                <w:rFonts w:cs="Arial"/>
                <w:szCs w:val="20"/>
              </w:rPr>
              <w:t>SLA Calculations</w:t>
            </w:r>
          </w:p>
        </w:tc>
        <w:tc>
          <w:tcPr>
            <w:tcW w:w="8900" w:type="dxa"/>
          </w:tcPr>
          <w:p w14:paraId="67E81BFE" w14:textId="77777777" w:rsidR="00D64EE2" w:rsidRPr="002C7415" w:rsidRDefault="00D64EE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hour. For each hour during the documented Hours of Operations in which the Reporting Environment is not under maintenance, the Contractor records the replication lag against the production transactional database. Each hour interval, or portion thereof, in which the Reporting Environment falls more than four (4) hours behind the production database counts as one occurrence.</w:t>
            </w:r>
          </w:p>
        </w:tc>
      </w:tr>
      <w:tr w:rsidR="00D64EE2" w:rsidRPr="002C7415" w14:paraId="6A2E28D0"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24B719D5" w14:textId="77777777" w:rsidR="00D64EE2" w:rsidRPr="002C7415" w:rsidRDefault="00D64EE2" w:rsidP="00DB06F0">
            <w:pPr>
              <w:rPr>
                <w:rFonts w:cs="Arial"/>
                <w:b w:val="0"/>
                <w:bCs w:val="0"/>
                <w:szCs w:val="20"/>
              </w:rPr>
            </w:pPr>
            <w:r>
              <w:rPr>
                <w:rFonts w:cs="Arial"/>
                <w:szCs w:val="20"/>
              </w:rPr>
              <w:t>SLA Calculations Definitions</w:t>
            </w:r>
          </w:p>
        </w:tc>
        <w:tc>
          <w:tcPr>
            <w:tcW w:w="8900" w:type="dxa"/>
          </w:tcPr>
          <w:p w14:paraId="1F66D80C" w14:textId="77777777" w:rsidR="00D64EE2" w:rsidRPr="002C7415" w:rsidRDefault="00D64EE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Reporting Environment: </w:t>
            </w:r>
            <w:r>
              <w:rPr>
                <w:rFonts w:cs="Arial"/>
                <w:szCs w:val="20"/>
              </w:rPr>
              <w:t>The Department-approved environment that hosts the replicated production data used for analytical, regulatory, and operational reporting.</w:t>
            </w:r>
          </w:p>
          <w:p w14:paraId="477B0BC4" w14:textId="77777777" w:rsidR="00D64EE2" w:rsidRPr="002C7415" w:rsidRDefault="00D64EE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Replication Lag: </w:t>
            </w:r>
            <w:r>
              <w:rPr>
                <w:rFonts w:cs="Arial"/>
                <w:szCs w:val="20"/>
              </w:rPr>
              <w:t>The elapsed time between a transaction being committed in the production transactional database and that transaction becoming visible in the Reporting Environment.</w:t>
            </w:r>
          </w:p>
          <w:p w14:paraId="567F3C03" w14:textId="77777777" w:rsidR="00D64EE2" w:rsidRPr="002C7415" w:rsidRDefault="00D64EE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Hours of Operations: </w:t>
            </w:r>
            <w:r>
              <w:rPr>
                <w:rFonts w:cs="Arial"/>
                <w:szCs w:val="20"/>
              </w:rPr>
              <w:t>The hours documented in the M&amp;O Manual, Hours of Operations section.</w:t>
            </w:r>
          </w:p>
        </w:tc>
      </w:tr>
      <w:tr w:rsidR="00D64EE2" w:rsidRPr="002C7415" w14:paraId="5BEA133C"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7E098B8" w14:textId="77777777" w:rsidR="00D64EE2" w:rsidRPr="002C7415" w:rsidRDefault="00D64EE2" w:rsidP="00DB06F0">
            <w:pPr>
              <w:rPr>
                <w:rFonts w:cs="Arial"/>
                <w:b w:val="0"/>
                <w:bCs w:val="0"/>
                <w:szCs w:val="20"/>
              </w:rPr>
            </w:pPr>
            <w:r>
              <w:rPr>
                <w:rFonts w:cs="Arial"/>
                <w:szCs w:val="20"/>
              </w:rPr>
              <w:t>Exclusions</w:t>
            </w:r>
          </w:p>
        </w:tc>
        <w:tc>
          <w:tcPr>
            <w:tcW w:w="8900" w:type="dxa"/>
          </w:tcPr>
          <w:p w14:paraId="4E4F8690" w14:textId="77777777" w:rsidR="00D64EE2" w:rsidRPr="002C7415" w:rsidRDefault="00D64EE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Periods during which the Reporting Environment is under Department-approved maintenance are excluded. The Contractor is responsible for demonstrating any claimed exclusion.</w:t>
            </w:r>
          </w:p>
        </w:tc>
      </w:tr>
      <w:tr w:rsidR="00D64EE2" w:rsidRPr="002C7415" w14:paraId="0769F83D" w14:textId="77777777" w:rsidTr="00DB06F0">
        <w:tc>
          <w:tcPr>
            <w:cnfStyle w:val="001000000000" w:firstRow="0" w:lastRow="0" w:firstColumn="1" w:lastColumn="0" w:oddVBand="0" w:evenVBand="0" w:oddHBand="0" w:evenHBand="0" w:firstRowFirstColumn="0" w:firstRowLastColumn="0" w:lastRowFirstColumn="0" w:lastRowLastColumn="0"/>
            <w:tcW w:w="1886" w:type="dxa"/>
          </w:tcPr>
          <w:p w14:paraId="3DF0C53B" w14:textId="77777777" w:rsidR="00D64EE2" w:rsidRPr="002C7415" w:rsidRDefault="00D64EE2" w:rsidP="00DB06F0">
            <w:pPr>
              <w:rPr>
                <w:rFonts w:cs="Arial"/>
                <w:b w:val="0"/>
                <w:bCs w:val="0"/>
                <w:szCs w:val="20"/>
              </w:rPr>
            </w:pPr>
            <w:r>
              <w:rPr>
                <w:rFonts w:cs="Arial"/>
                <w:szCs w:val="20"/>
              </w:rPr>
              <w:t>Process to Compile and Report SLA</w:t>
            </w:r>
          </w:p>
        </w:tc>
        <w:tc>
          <w:tcPr>
            <w:tcW w:w="8900" w:type="dxa"/>
          </w:tcPr>
          <w:p w14:paraId="58CB3981" w14:textId="77777777" w:rsidR="00D64EE2" w:rsidRPr="002C7415" w:rsidRDefault="00D64EE2" w:rsidP="00DB06F0">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The Contractor must continuously capture replication lag telemetry and provide the Department with read-only access. The monthly Operations Report must list each hour interval where lag exceeded four (4) hours, with start time, end time, peak lag, and root cause, and total service credits accrued. Supporting raw telemetry must be made accessible to the Department on request.</w:t>
            </w:r>
          </w:p>
        </w:tc>
      </w:tr>
      <w:tr w:rsidR="00D64EE2" w:rsidRPr="002C7415" w14:paraId="5A2D25AC" w14:textId="77777777" w:rsidTr="00DB06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764DEA2" w14:textId="77777777" w:rsidR="00D64EE2" w:rsidRPr="002C7415" w:rsidRDefault="00D64EE2" w:rsidP="00DB06F0">
            <w:pPr>
              <w:rPr>
                <w:rFonts w:cs="Arial"/>
                <w:b w:val="0"/>
                <w:bCs w:val="0"/>
                <w:szCs w:val="20"/>
              </w:rPr>
            </w:pPr>
            <w:r>
              <w:rPr>
                <w:rFonts w:cs="Arial"/>
                <w:szCs w:val="20"/>
              </w:rPr>
              <w:t>Converged E&amp;E System and AMS Service Credit</w:t>
            </w:r>
          </w:p>
        </w:tc>
        <w:tc>
          <w:tcPr>
            <w:tcW w:w="8900" w:type="dxa"/>
          </w:tcPr>
          <w:p w14:paraId="43BD8F3E" w14:textId="77777777" w:rsidR="00D64EE2" w:rsidRPr="002C7415" w:rsidRDefault="00D64EE2" w:rsidP="00DB06F0">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comply results in a service credit of five thousand dollars ($5,000) per hour interval, or portion thereof, in which the Reporting Environment target database replication falls more than four (4) hours behind the Converged E&amp;E System and AMS production database.</w:t>
            </w:r>
          </w:p>
        </w:tc>
      </w:tr>
    </w:tbl>
    <w:p w14:paraId="0FA30EE4" w14:textId="3D43E8A5" w:rsidR="00C23715" w:rsidRDefault="00C23715" w:rsidP="00C23715">
      <w:pPr>
        <w:pStyle w:val="Heading2"/>
      </w:pPr>
      <w:bookmarkStart w:id="171" w:name="_Toc233199204"/>
      <w:r>
        <w:t>Security and Privacy</w:t>
      </w:r>
      <w:bookmarkEnd w:id="171"/>
    </w:p>
    <w:p w14:paraId="0157186E" w14:textId="4DEA4D3F" w:rsidR="005562EB" w:rsidRPr="002C7415" w:rsidRDefault="005562EB" w:rsidP="00CB1E19">
      <w:pPr>
        <w:pStyle w:val="HeadingSLA"/>
      </w:pPr>
      <w:bookmarkStart w:id="172" w:name="_Toc233199205"/>
      <w:r>
        <w:t>Privacy Incident Reporting</w:t>
      </w:r>
      <w:bookmarkEnd w:id="147"/>
      <w:bookmarkEnd w:id="172"/>
    </w:p>
    <w:tbl>
      <w:tblPr>
        <w:tblStyle w:val="DOH-LeftHeader"/>
        <w:tblW w:w="4998" w:type="pct"/>
        <w:tblLayout w:type="fixed"/>
        <w:tblLook w:val="0480" w:firstRow="0" w:lastRow="0" w:firstColumn="1" w:lastColumn="0" w:noHBand="0" w:noVBand="1"/>
      </w:tblPr>
      <w:tblGrid>
        <w:gridCol w:w="1886"/>
        <w:gridCol w:w="8900"/>
      </w:tblGrid>
      <w:tr w:rsidR="005562EB" w:rsidRPr="002C7415" w14:paraId="489EA763"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7CD26258" w14:textId="77777777" w:rsidR="005562EB" w:rsidRPr="002C7415" w:rsidRDefault="005562EB" w:rsidP="002413AA">
            <w:pPr>
              <w:rPr>
                <w:rFonts w:cs="Arial"/>
                <w:b w:val="0"/>
                <w:bCs w:val="0"/>
                <w:szCs w:val="20"/>
              </w:rPr>
            </w:pPr>
            <w:r>
              <w:rPr>
                <w:rFonts w:cs="Arial"/>
                <w:szCs w:val="20"/>
              </w:rPr>
              <w:t>Purpose</w:t>
            </w:r>
          </w:p>
        </w:tc>
        <w:tc>
          <w:tcPr>
            <w:tcW w:w="8900" w:type="dxa"/>
          </w:tcPr>
          <w:p w14:paraId="2E13CCA5" w14:textId="756055DF" w:rsidR="005562EB" w:rsidRPr="002C7415" w:rsidRDefault="006959C8"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to ensure the Department receives immediate, written notification when sensitive information may have been exposed. Privacy incidents have legal, regulatory, and member-trust consequences that compound rapidly, requiring the Department to begin its own response without delay. This SLA enforces a strict one (1) hour reporting timeframe.</w:t>
            </w:r>
          </w:p>
        </w:tc>
      </w:tr>
      <w:tr w:rsidR="005562EB" w:rsidRPr="002C7415" w14:paraId="0B0FD3CD"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9886BD1" w14:textId="77777777" w:rsidR="005562EB" w:rsidRPr="002C7415" w:rsidRDefault="005562EB" w:rsidP="002413AA">
            <w:pPr>
              <w:rPr>
                <w:rFonts w:cs="Arial"/>
                <w:b w:val="0"/>
                <w:bCs w:val="0"/>
                <w:szCs w:val="20"/>
              </w:rPr>
            </w:pPr>
            <w:r>
              <w:rPr>
                <w:rFonts w:cs="Arial"/>
                <w:szCs w:val="20"/>
              </w:rPr>
              <w:t>Specification</w:t>
            </w:r>
          </w:p>
        </w:tc>
        <w:tc>
          <w:tcPr>
            <w:tcW w:w="8900" w:type="dxa"/>
          </w:tcPr>
          <w:p w14:paraId="519CE526" w14:textId="5AA87638"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report to the Department on all privacy incidents involving sensitive data in accordance with New York State and Department privacy and security protocols for incident response. The written report must be submitted within one (1) hour after the Contractor becomes aware of the incident or of any exposure of information that may have compromised the secure delivery of data, and the Contractor must directly report all security incidents affecting or potentially affecting the Converged E&amp;E System and AMS to Department personnel or Department-approved designees. Reporting must align with the National Institute of Standards and Technology (NIST) Special Publication (SP) 800-86, Guide to Integrating Forensic Techniques into Incident Response. Refer to the OHIP Security, Privacy, and Compliance Domain Document, Security and Privacy Compliance Standard for additional details. For purposes of this SLA, a Privacy Incident includes, but is not limited to, any loss of control, compromise, unauthorized disclosure, unauthorized acquisition, unauthorized access, or similar event in which persons other than authorized users (and for an unauthorized purpose) have access or potential access to Personally Identifiable Information (PII), Protected Health Information (PHI), or Federal Tax Information (FTI), in usable form, whether physical or electronic.</w:t>
            </w:r>
          </w:p>
        </w:tc>
      </w:tr>
      <w:tr w:rsidR="005562EB" w:rsidRPr="002C7415" w14:paraId="0BF8A1A2"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793D0FA6" w14:textId="77777777" w:rsidR="005562EB" w:rsidRPr="002C7415" w:rsidRDefault="005562EB" w:rsidP="002413AA">
            <w:pPr>
              <w:rPr>
                <w:rFonts w:cs="Arial"/>
                <w:b w:val="0"/>
                <w:bCs w:val="0"/>
                <w:szCs w:val="20"/>
              </w:rPr>
            </w:pPr>
            <w:r>
              <w:rPr>
                <w:rFonts w:cs="Arial"/>
                <w:szCs w:val="20"/>
              </w:rPr>
              <w:t>Service Level</w:t>
            </w:r>
          </w:p>
        </w:tc>
        <w:tc>
          <w:tcPr>
            <w:tcW w:w="8900" w:type="dxa"/>
          </w:tcPr>
          <w:p w14:paraId="368E4BA4"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Privacy Incidents must be reported in writing to the Department within one (1) hour of the Contractor becoming aware of the incident.</w:t>
            </w:r>
          </w:p>
        </w:tc>
      </w:tr>
      <w:tr w:rsidR="005562EB" w:rsidRPr="002C7415" w14:paraId="1E00147E"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5C5D692A" w14:textId="77777777" w:rsidR="005562EB" w:rsidRPr="002C7415" w:rsidRDefault="005562EB" w:rsidP="002413AA">
            <w:pPr>
              <w:rPr>
                <w:rFonts w:cs="Arial"/>
                <w:b w:val="0"/>
                <w:bCs w:val="0"/>
                <w:szCs w:val="20"/>
              </w:rPr>
            </w:pPr>
            <w:r>
              <w:rPr>
                <w:rFonts w:cs="Arial"/>
                <w:szCs w:val="20"/>
              </w:rPr>
              <w:t>Notes</w:t>
            </w:r>
          </w:p>
        </w:tc>
        <w:tc>
          <w:tcPr>
            <w:tcW w:w="8900" w:type="dxa"/>
          </w:tcPr>
          <w:p w14:paraId="06985BA2" w14:textId="31F6AC39"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must maintain documented procedures for privacy incident detection, escalation, and reporting that comply with New York State, Department, and NIST SP 800-86 guidance. Awareness timestamps must be evidenced by tamper-evident records that the Department can independently validate.</w:t>
            </w:r>
          </w:p>
        </w:tc>
      </w:tr>
      <w:tr w:rsidR="005562EB" w:rsidRPr="002C7415" w14:paraId="7F1DB873"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041EF9EC"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33668589" w14:textId="53CE3B12"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Each privacy incident is reported within one (1) hour of awareness. The daily Production Status Report summarizes all incidents and reporting timelines for the period. This SLA is in effect after the Transition-In Cutover and continues through the Transition-Out Cutover.</w:t>
            </w:r>
          </w:p>
        </w:tc>
      </w:tr>
      <w:tr w:rsidR="005562EB" w:rsidRPr="002C7415" w14:paraId="0D200877"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23A1242" w14:textId="77777777" w:rsidR="005562EB" w:rsidRPr="002C7415" w:rsidRDefault="005562EB" w:rsidP="002413AA">
            <w:pPr>
              <w:rPr>
                <w:rFonts w:cs="Arial"/>
                <w:szCs w:val="20"/>
              </w:rPr>
            </w:pPr>
            <w:r>
              <w:rPr>
                <w:rFonts w:cs="Arial"/>
                <w:szCs w:val="20"/>
              </w:rPr>
              <w:t>SLA Calculations</w:t>
            </w:r>
          </w:p>
        </w:tc>
        <w:tc>
          <w:tcPr>
            <w:tcW w:w="8900" w:type="dxa"/>
          </w:tcPr>
          <w:p w14:paraId="78DB38D4" w14:textId="49D79C5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privacy incident. For each incident, the Contractor records the awareness timestamp and the timestamp the written report is delivered to the Department. Each incident reported more than one (1) hour after awareness counts as one (1) occurrence, with additional per-hour occurrences accruing until the report is received.</w:t>
            </w:r>
          </w:p>
        </w:tc>
      </w:tr>
      <w:tr w:rsidR="005562EB" w:rsidRPr="002C7415" w14:paraId="643A4B5F"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20F182FE"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6C3B01DE"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Privacy Incident: </w:t>
            </w:r>
            <w:r>
              <w:rPr>
                <w:rFonts w:cs="Arial"/>
                <w:szCs w:val="20"/>
              </w:rPr>
              <w:t>Any loss of control, compromise, unauthorized disclosure, unauthorized acquisition, unauthorized access, or similar event in which persons other than authorized users, and for an unauthorized purpose, have access or potential access to PII, PHI, or FTI in usable form, whether physical or electronic.</w:t>
            </w:r>
          </w:p>
          <w:p w14:paraId="2EC3994F" w14:textId="5D29A132"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Awareness: </w:t>
            </w:r>
            <w:r>
              <w:rPr>
                <w:rFonts w:cs="Arial"/>
                <w:szCs w:val="20"/>
              </w:rPr>
              <w:t>The point in time, evidenced by tamper-evident records, at which the Contractor first becomes aware of a Privacy Incident or of an exposure that may have compromised the secure delivery of data.</w:t>
            </w:r>
          </w:p>
          <w:p w14:paraId="20DD48B0" w14:textId="6398FE98"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Written Report: </w:t>
            </w:r>
            <w:r>
              <w:rPr>
                <w:rFonts w:cs="Arial"/>
                <w:szCs w:val="20"/>
              </w:rPr>
              <w:t>The Security Incident Report submitted to Department personnel or Department-approved designees in alignment with New York State, Department, and NIST SP 800-86 guidance.</w:t>
            </w:r>
          </w:p>
        </w:tc>
      </w:tr>
      <w:tr w:rsidR="005562EB" w:rsidRPr="002C7415" w14:paraId="7897EFDB"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B6A67A3" w14:textId="77777777" w:rsidR="005562EB" w:rsidRPr="002C7415" w:rsidRDefault="005562EB" w:rsidP="002413AA">
            <w:pPr>
              <w:rPr>
                <w:rFonts w:cs="Arial"/>
                <w:b w:val="0"/>
                <w:bCs w:val="0"/>
                <w:szCs w:val="20"/>
              </w:rPr>
            </w:pPr>
            <w:r>
              <w:rPr>
                <w:rFonts w:cs="Arial"/>
                <w:szCs w:val="20"/>
              </w:rPr>
              <w:t>Exclusions</w:t>
            </w:r>
          </w:p>
        </w:tc>
        <w:tc>
          <w:tcPr>
            <w:tcW w:w="8900" w:type="dxa"/>
          </w:tcPr>
          <w:p w14:paraId="2C168FD0" w14:textId="0E3DEE14"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In the event of a total failure of all available communication systems (e.g., email, phone, portal) that prevents the Contractor from delivering the report, the one-hour Reporting Clock is paused. The Contractor must deliver the report via the first available channel once any communication path is restored and is responsible for proving the systemic communication failure with verifiable third-party records.</w:t>
            </w:r>
          </w:p>
        </w:tc>
      </w:tr>
      <w:tr w:rsidR="005562EB" w:rsidRPr="002C7415" w14:paraId="041ED693"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77D9A7D4"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74087935"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privacy incident, the Contractor must capture and retain: the awareness timestamp; the report submission timestamp; the recipients within the Department; the report content; and any subsequent updates. The daily Production Status Report aggregates these records, identifies any reports delivered late, totals service credits accrued, and is made available to the Department on request.</w:t>
            </w:r>
          </w:p>
        </w:tc>
      </w:tr>
      <w:tr w:rsidR="005562EB" w:rsidRPr="002C7415" w14:paraId="305622CA"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E1A83AB" w14:textId="77777777" w:rsidR="005562EB" w:rsidRPr="002C7415" w:rsidRDefault="005562EB" w:rsidP="002413AA">
            <w:pPr>
              <w:rPr>
                <w:rFonts w:cs="Arial"/>
                <w:b w:val="0"/>
                <w:bCs w:val="0"/>
                <w:szCs w:val="20"/>
              </w:rPr>
            </w:pPr>
            <w:r>
              <w:rPr>
                <w:rFonts w:cs="Arial"/>
                <w:szCs w:val="20"/>
              </w:rPr>
              <w:t>AMS Service Credit</w:t>
            </w:r>
          </w:p>
        </w:tc>
        <w:tc>
          <w:tcPr>
            <w:tcW w:w="8900" w:type="dxa"/>
          </w:tcPr>
          <w:p w14:paraId="4A3A0EC9" w14:textId="777777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Failure to deliver a written report within one (1) hour of Privacy Incident awareness results in a service credit of five hundred dollars ($500), plus an additional five hundred dollars ($500) for each consecutive hour, or portion thereof, until the report is received by the Department.</w:t>
            </w:r>
          </w:p>
        </w:tc>
      </w:tr>
      <w:tr w:rsidR="005562EB" w:rsidRPr="002C7415" w14:paraId="0016BBE9"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73817D31" w14:textId="1A5D7786"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180E25EF" w14:textId="5327CD56" w:rsidR="00BF2ED7" w:rsidRDefault="00BF2ED7"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Delayed Report (Initial Service Credit):</w:t>
            </w:r>
            <w:r>
              <w:rPr>
                <w:rFonts w:cs="Arial"/>
                <w:szCs w:val="20"/>
              </w:rPr>
              <w:t xml:space="preserve"> Failure to deliver a written report within one (1) hour of Privacy Incident awareness results in a service credit of twenty-five thousand dollars ($25,000).</w:t>
            </w:r>
          </w:p>
          <w:p w14:paraId="49ACAA86" w14:textId="60C450BB" w:rsidR="005562EB" w:rsidRPr="002C7415" w:rsidRDefault="00BF2ED7"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Extended Report Delay (Additional Service Credit):</w:t>
            </w:r>
            <w:r>
              <w:rPr>
                <w:rFonts w:cs="Arial"/>
                <w:szCs w:val="20"/>
              </w:rPr>
              <w:t xml:space="preserve"> If the written report remains unsubmitted after one (1) hour of Privacy Incident awareness, an additional ten thousand dollars ($10,000) is applied for each additional consecutive hour, or portion thereof, until the report is received by the Department.</w:t>
            </w:r>
          </w:p>
        </w:tc>
      </w:tr>
    </w:tbl>
    <w:p w14:paraId="03339C56" w14:textId="3640B4AD" w:rsidR="005562EB" w:rsidRPr="002C7415" w:rsidRDefault="005562EB" w:rsidP="00CB1E19">
      <w:pPr>
        <w:pStyle w:val="HeadingSLA"/>
      </w:pPr>
      <w:bookmarkStart w:id="173" w:name="_Toc230258243"/>
      <w:bookmarkStart w:id="174" w:name="_Toc233199206"/>
      <w:r>
        <w:t>Incident Response: Severity 1</w:t>
      </w:r>
      <w:bookmarkEnd w:id="173"/>
      <w:bookmarkEnd w:id="174"/>
    </w:p>
    <w:tbl>
      <w:tblPr>
        <w:tblStyle w:val="DOH-LeftHeader"/>
        <w:tblW w:w="4998" w:type="pct"/>
        <w:tblLayout w:type="fixed"/>
        <w:tblLook w:val="0480" w:firstRow="0" w:lastRow="0" w:firstColumn="1" w:lastColumn="0" w:noHBand="0" w:noVBand="1"/>
      </w:tblPr>
      <w:tblGrid>
        <w:gridCol w:w="1886"/>
        <w:gridCol w:w="8900"/>
      </w:tblGrid>
      <w:tr w:rsidR="005562EB" w:rsidRPr="002C7415" w14:paraId="442D34AC" w14:textId="77777777" w:rsidTr="00A04C21">
        <w:tc>
          <w:tcPr>
            <w:cnfStyle w:val="001000000000" w:firstRow="0" w:lastRow="0" w:firstColumn="1" w:lastColumn="0" w:oddVBand="0" w:evenVBand="0" w:oddHBand="0" w:evenHBand="0" w:firstRowFirstColumn="0" w:firstRowLastColumn="0" w:lastRowFirstColumn="0" w:lastRowLastColumn="0"/>
            <w:tcW w:w="1886" w:type="dxa"/>
          </w:tcPr>
          <w:p w14:paraId="216B3491" w14:textId="77777777" w:rsidR="005562EB" w:rsidRPr="002C7415" w:rsidRDefault="005562EB" w:rsidP="002413AA">
            <w:pPr>
              <w:rPr>
                <w:rFonts w:cs="Arial"/>
                <w:b w:val="0"/>
                <w:bCs w:val="0"/>
                <w:szCs w:val="20"/>
              </w:rPr>
            </w:pPr>
            <w:r>
              <w:rPr>
                <w:rFonts w:cs="Arial"/>
                <w:szCs w:val="20"/>
              </w:rPr>
              <w:t>Purpose</w:t>
            </w:r>
          </w:p>
        </w:tc>
        <w:tc>
          <w:tcPr>
            <w:tcW w:w="8900" w:type="dxa"/>
          </w:tcPr>
          <w:p w14:paraId="28CC6436" w14:textId="0B2EEEF5"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designed to return the production environment to a healthy state following a Severity 1 incident within a timeframe that matches its business impact. The longer these incidents remain unresolved, the greater the compounding cost to worker productivity and the member experience. Therefore, this SLA holds the Contractor accountable to the Department-defined resolution timeframe and applies an escalating hourly penalty for any delays.</w:t>
            </w:r>
          </w:p>
        </w:tc>
      </w:tr>
      <w:tr w:rsidR="005562EB" w:rsidRPr="002C7415" w14:paraId="61FBD177" w14:textId="77777777" w:rsidTr="00A04C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54A8826" w14:textId="77777777" w:rsidR="005562EB" w:rsidRPr="002C7415" w:rsidRDefault="005562EB" w:rsidP="002413AA">
            <w:pPr>
              <w:rPr>
                <w:rFonts w:cs="Arial"/>
                <w:b w:val="0"/>
                <w:bCs w:val="0"/>
                <w:szCs w:val="20"/>
              </w:rPr>
            </w:pPr>
            <w:r>
              <w:rPr>
                <w:rFonts w:cs="Arial"/>
                <w:szCs w:val="20"/>
              </w:rPr>
              <w:t>Specification</w:t>
            </w:r>
          </w:p>
        </w:tc>
        <w:tc>
          <w:tcPr>
            <w:tcW w:w="8900" w:type="dxa"/>
          </w:tcPr>
          <w:p w14:paraId="6755CF3A" w14:textId="432AF6FF"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must ensure that all incidents introduced into the production environment, including Severity 1 incidents, are resolved within the resolution timeframe defined for their severity level. Refer to the “Instructions” tab, </w:t>
            </w:r>
            <w:r>
              <w:rPr>
                <w:rFonts w:cs="Arial"/>
                <w:szCs w:val="20"/>
              </w:rPr>
              <w:fldChar w:fldCharType="begin"/>
            </w:r>
            <w:r>
              <w:rPr>
                <w:rFonts w:cs="Arial"/>
                <w:szCs w:val="20"/>
              </w:rPr>
              <w:instrText xml:space="preserve"> REF _Ref233191373 \h  \* MERGEFORMAT </w:instrText>
            </w:r>
            <w:r>
              <w:rPr>
                <w:rFonts w:cs="Arial"/>
                <w:szCs w:val="20"/>
              </w:rPr>
            </w:r>
            <w:r>
              <w:rPr>
                <w:rFonts w:cs="Arial"/>
                <w:szCs w:val="20"/>
              </w:rPr>
              <w:fldChar w:fldCharType="separate"/>
            </w:r>
            <w:r>
              <w:rPr>
                <w:b/>
                <w:bCs/>
              </w:rPr>
              <w:t xml:space="preserve">Table </w:t>
            </w:r>
            <w:r>
              <w:rPr>
                <w:b/>
                <w:bCs/>
                <w:noProof/>
              </w:rPr>
              <w:t>1</w:t>
            </w:r>
            <w:r>
              <w:rPr>
                <w:b/>
                <w:bCs/>
              </w:rPr>
              <w:t xml:space="preserve"> – Converged E&amp;E System and AMS Security, Privacy, and Systems Incident Severity Levels</w:t>
            </w:r>
            <w:r>
              <w:rPr>
                <w:rFonts w:cs="Arial"/>
                <w:szCs w:val="20"/>
              </w:rPr>
              <w:fldChar w:fldCharType="end"/>
            </w:r>
            <w:r>
              <w:rPr>
                <w:rFonts w:cs="Arial"/>
                <w:szCs w:val="20"/>
              </w:rPr>
              <w:t>, for the full severity matrix. The Severity 1 resolution timeframe is four (4) hours.</w:t>
            </w:r>
          </w:p>
        </w:tc>
      </w:tr>
      <w:tr w:rsidR="005562EB" w:rsidRPr="002C7415" w14:paraId="3C4EBE13" w14:textId="77777777" w:rsidTr="00A04C21">
        <w:tc>
          <w:tcPr>
            <w:cnfStyle w:val="001000000000" w:firstRow="0" w:lastRow="0" w:firstColumn="1" w:lastColumn="0" w:oddVBand="0" w:evenVBand="0" w:oddHBand="0" w:evenHBand="0" w:firstRowFirstColumn="0" w:firstRowLastColumn="0" w:lastRowFirstColumn="0" w:lastRowLastColumn="0"/>
            <w:tcW w:w="1886" w:type="dxa"/>
          </w:tcPr>
          <w:p w14:paraId="149FA391" w14:textId="77777777" w:rsidR="005562EB" w:rsidRPr="002C7415" w:rsidRDefault="005562EB" w:rsidP="002413AA">
            <w:pPr>
              <w:rPr>
                <w:rFonts w:cs="Arial"/>
                <w:b w:val="0"/>
                <w:bCs w:val="0"/>
                <w:szCs w:val="20"/>
              </w:rPr>
            </w:pPr>
            <w:r>
              <w:rPr>
                <w:rFonts w:cs="Arial"/>
                <w:szCs w:val="20"/>
              </w:rPr>
              <w:t>Service Level</w:t>
            </w:r>
          </w:p>
        </w:tc>
        <w:tc>
          <w:tcPr>
            <w:tcW w:w="8900" w:type="dxa"/>
          </w:tcPr>
          <w:p w14:paraId="4B52A347"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Severity 1 incidents must be resolved within four (4) hours of incident creation.</w:t>
            </w:r>
          </w:p>
        </w:tc>
      </w:tr>
      <w:tr w:rsidR="005562EB" w:rsidRPr="002C7415" w14:paraId="19EACC51" w14:textId="77777777" w:rsidTr="00A04C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3DEAC3B" w14:textId="77777777" w:rsidR="005562EB" w:rsidRPr="002C7415" w:rsidRDefault="005562EB" w:rsidP="002413AA">
            <w:pPr>
              <w:rPr>
                <w:rFonts w:cs="Arial"/>
                <w:b w:val="0"/>
                <w:bCs w:val="0"/>
                <w:szCs w:val="20"/>
              </w:rPr>
            </w:pPr>
            <w:r>
              <w:rPr>
                <w:rFonts w:cs="Arial"/>
                <w:szCs w:val="20"/>
              </w:rPr>
              <w:t>Notes</w:t>
            </w:r>
          </w:p>
        </w:tc>
        <w:tc>
          <w:tcPr>
            <w:tcW w:w="8900" w:type="dxa"/>
          </w:tcPr>
          <w:p w14:paraId="0082184C" w14:textId="63885DBC"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Severity levels are defined in </w:t>
            </w:r>
            <w:r>
              <w:rPr>
                <w:rFonts w:cs="Arial"/>
                <w:b/>
                <w:bCs/>
                <w:szCs w:val="20"/>
              </w:rPr>
              <w:fldChar w:fldCharType="begin"/>
            </w:r>
            <w:r>
              <w:rPr>
                <w:rFonts w:cs="Arial"/>
                <w:b/>
                <w:bCs/>
                <w:szCs w:val="20"/>
              </w:rPr>
              <w:instrText xml:space="preserve"> REF _Ref233191373 \h  \* MERGEFORMAT </w:instrText>
            </w:r>
            <w:r>
              <w:rPr>
                <w:rFonts w:cs="Arial"/>
                <w:b/>
                <w:bCs/>
                <w:szCs w:val="20"/>
              </w:rPr>
            </w:r>
            <w:r>
              <w:rPr>
                <w:rFonts w:cs="Arial"/>
                <w:b/>
                <w:bCs/>
                <w:szCs w:val="20"/>
              </w:rPr>
              <w:fldChar w:fldCharType="separate"/>
            </w:r>
            <w:r>
              <w:rPr>
                <w:b/>
                <w:bCs/>
              </w:rPr>
              <w:t xml:space="preserve">Table </w:t>
            </w:r>
            <w:r>
              <w:rPr>
                <w:b/>
                <w:bCs/>
                <w:noProof/>
              </w:rPr>
              <w:t>1</w:t>
            </w:r>
            <w:r>
              <w:rPr>
                <w:b/>
                <w:bCs/>
              </w:rPr>
              <w:t xml:space="preserve"> – Converged E&amp;E System and AMS Security, Privacy, and Systems Incident Severity Levels</w:t>
            </w:r>
            <w:r>
              <w:rPr>
                <w:rFonts w:cs="Arial"/>
                <w:b/>
                <w:bCs/>
                <w:szCs w:val="20"/>
              </w:rPr>
              <w:fldChar w:fldCharType="end"/>
            </w:r>
            <w:r>
              <w:rPr>
                <w:rFonts w:cs="Arial"/>
                <w:szCs w:val="20"/>
              </w:rPr>
              <w:t>. The Contractor must maintain incident records in the Department-approved ticketing system with timestamps the Department can independently validate.</w:t>
            </w:r>
          </w:p>
        </w:tc>
      </w:tr>
      <w:tr w:rsidR="005562EB" w:rsidRPr="002C7415" w14:paraId="08601BA4" w14:textId="77777777" w:rsidTr="00A04C21">
        <w:tc>
          <w:tcPr>
            <w:cnfStyle w:val="001000000000" w:firstRow="0" w:lastRow="0" w:firstColumn="1" w:lastColumn="0" w:oddVBand="0" w:evenVBand="0" w:oddHBand="0" w:evenHBand="0" w:firstRowFirstColumn="0" w:firstRowLastColumn="0" w:lastRowFirstColumn="0" w:lastRowLastColumn="0"/>
            <w:tcW w:w="1886" w:type="dxa"/>
          </w:tcPr>
          <w:p w14:paraId="5FACF573"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095120B3" w14:textId="035E949A"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evaluated per incident. Incident response compliance is reported to the Department in the Daily Production Status Report. This SLA is in effect after the Transition-In Cutover and continues through the Transition-Out Cutover.</w:t>
            </w:r>
          </w:p>
        </w:tc>
      </w:tr>
      <w:tr w:rsidR="005562EB" w:rsidRPr="002C7415" w14:paraId="083C56B9" w14:textId="77777777" w:rsidTr="00A04C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A112749" w14:textId="77777777" w:rsidR="005562EB" w:rsidRPr="002C7415" w:rsidRDefault="005562EB" w:rsidP="002413AA">
            <w:pPr>
              <w:rPr>
                <w:rFonts w:cs="Arial"/>
                <w:szCs w:val="20"/>
              </w:rPr>
            </w:pPr>
            <w:r>
              <w:rPr>
                <w:rFonts w:cs="Arial"/>
                <w:szCs w:val="20"/>
              </w:rPr>
              <w:t>SLA Calculations</w:t>
            </w:r>
          </w:p>
        </w:tc>
        <w:tc>
          <w:tcPr>
            <w:tcW w:w="8900" w:type="dxa"/>
          </w:tcPr>
          <w:p w14:paraId="2F1D0B04" w14:textId="60D9637F"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Severity 1 incident. For each Severity 1 incident, the Contractor records the incident creation timestamp and the resolution timestamp. Each Severity 1 incident not resolved within four (4) hours counts as one (1) occurrence, with additional per-hour occurrences accruing for every hour, or portion thereof, beyond the original resolution timeframe.</w:t>
            </w:r>
          </w:p>
        </w:tc>
      </w:tr>
      <w:tr w:rsidR="005562EB" w:rsidRPr="002C7415" w14:paraId="083AAADF" w14:textId="77777777" w:rsidTr="00A04C21">
        <w:tc>
          <w:tcPr>
            <w:cnfStyle w:val="001000000000" w:firstRow="0" w:lastRow="0" w:firstColumn="1" w:lastColumn="0" w:oddVBand="0" w:evenVBand="0" w:oddHBand="0" w:evenHBand="0" w:firstRowFirstColumn="0" w:firstRowLastColumn="0" w:lastRowFirstColumn="0" w:lastRowLastColumn="0"/>
            <w:tcW w:w="1886" w:type="dxa"/>
          </w:tcPr>
          <w:p w14:paraId="0DD7A883"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25687100" w14:textId="66DDC8F4"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Severity 1 Incident: </w:t>
            </w:r>
            <w:r>
              <w:rPr>
                <w:rFonts w:cs="Arial"/>
                <w:szCs w:val="20"/>
              </w:rPr>
              <w:t xml:space="preserve">An incident classified at the corresponding severity level per </w:t>
            </w:r>
            <w:r>
              <w:rPr>
                <w:rFonts w:cs="Arial"/>
                <w:b/>
                <w:bCs/>
                <w:szCs w:val="20"/>
              </w:rPr>
              <w:fldChar w:fldCharType="begin"/>
            </w:r>
            <w:r>
              <w:rPr>
                <w:rFonts w:cs="Arial"/>
                <w:b/>
                <w:bCs/>
                <w:szCs w:val="20"/>
              </w:rPr>
              <w:instrText xml:space="preserve"> REF _Ref233191373 \h  \* MERGEFORMAT </w:instrText>
            </w:r>
            <w:r>
              <w:rPr>
                <w:rFonts w:cs="Arial"/>
                <w:b/>
                <w:bCs/>
                <w:szCs w:val="20"/>
              </w:rPr>
            </w:r>
            <w:r>
              <w:rPr>
                <w:rFonts w:cs="Arial"/>
                <w:b/>
                <w:bCs/>
                <w:szCs w:val="20"/>
              </w:rPr>
              <w:fldChar w:fldCharType="separate"/>
            </w:r>
            <w:r>
              <w:rPr>
                <w:b/>
                <w:bCs/>
              </w:rPr>
              <w:t xml:space="preserve">Table </w:t>
            </w:r>
            <w:r>
              <w:rPr>
                <w:b/>
                <w:bCs/>
                <w:noProof/>
              </w:rPr>
              <w:t>1</w:t>
            </w:r>
            <w:r>
              <w:rPr>
                <w:b/>
                <w:bCs/>
              </w:rPr>
              <w:t xml:space="preserve"> – Converged E&amp;E System and AMS Security, Privacy, and Systems Incident Severity Levels</w:t>
            </w:r>
            <w:r>
              <w:rPr>
                <w:rFonts w:cs="Arial"/>
                <w:b/>
                <w:bCs/>
                <w:szCs w:val="20"/>
              </w:rPr>
              <w:fldChar w:fldCharType="end"/>
            </w:r>
            <w:r>
              <w:rPr>
                <w:rFonts w:cs="Arial"/>
                <w:szCs w:val="20"/>
              </w:rPr>
              <w:t>.</w:t>
            </w:r>
          </w:p>
          <w:p w14:paraId="32C3C473"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Resolution Timeframe (Severity 1): </w:t>
            </w:r>
            <w:r>
              <w:rPr>
                <w:rFonts w:cs="Arial"/>
                <w:szCs w:val="20"/>
              </w:rPr>
              <w:t>four (4) hours from incident creation, as defined in the severity matrix.</w:t>
            </w:r>
          </w:p>
          <w:p w14:paraId="1B543324"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Resolution: </w:t>
            </w:r>
            <w:r>
              <w:rPr>
                <w:rFonts w:cs="Arial"/>
                <w:szCs w:val="20"/>
              </w:rPr>
              <w:t>The point at which the incident is restored to operational status and confirmed in the ticketing system, with supporting evidence available to the Department.</w:t>
            </w:r>
          </w:p>
        </w:tc>
      </w:tr>
      <w:tr w:rsidR="005562EB" w:rsidRPr="002C7415" w14:paraId="680697FD" w14:textId="77777777" w:rsidTr="00A04C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DB9E8BB" w14:textId="77777777" w:rsidR="005562EB" w:rsidRPr="002C7415" w:rsidRDefault="005562EB" w:rsidP="002413AA">
            <w:pPr>
              <w:rPr>
                <w:rFonts w:cs="Arial"/>
                <w:b w:val="0"/>
                <w:bCs w:val="0"/>
                <w:szCs w:val="20"/>
              </w:rPr>
            </w:pPr>
            <w:r>
              <w:rPr>
                <w:rFonts w:cs="Arial"/>
                <w:szCs w:val="20"/>
              </w:rPr>
              <w:t>Exclusions</w:t>
            </w:r>
          </w:p>
        </w:tc>
        <w:tc>
          <w:tcPr>
            <w:tcW w:w="8900" w:type="dxa"/>
          </w:tcPr>
          <w:p w14:paraId="70221EDB" w14:textId="78E321C5"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incident resolution delays caused by Department-directed pauses in resolution activity; or (b) failures of third-party systems outside the Contractor’s managed boundary, where the Contractor demonstrates with system records that the failure originated outside that boundary. The Contractor is responsible for demonstrating any claimed exclusion.</w:t>
            </w:r>
          </w:p>
        </w:tc>
      </w:tr>
      <w:tr w:rsidR="005562EB" w:rsidRPr="002C7415" w14:paraId="2F79BE54" w14:textId="77777777" w:rsidTr="00A04C21">
        <w:tc>
          <w:tcPr>
            <w:cnfStyle w:val="001000000000" w:firstRow="0" w:lastRow="0" w:firstColumn="1" w:lastColumn="0" w:oddVBand="0" w:evenVBand="0" w:oddHBand="0" w:evenHBand="0" w:firstRowFirstColumn="0" w:firstRowLastColumn="0" w:lastRowFirstColumn="0" w:lastRowLastColumn="0"/>
            <w:tcW w:w="1886" w:type="dxa"/>
          </w:tcPr>
          <w:p w14:paraId="6001BC6B"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3DA64A36"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Severity 1 incident, the Contractor must capture and retain: the incident creation timestamp; the assigned severity; the resolution timestamp; the root cause; and the corrective action. These records are aggregated in the Daily Production Status Report, which identifies any incidents resolved beyond the resolution timeframe, totals service credits accrued, and is made available to the Department on request.</w:t>
            </w:r>
          </w:p>
        </w:tc>
      </w:tr>
      <w:tr w:rsidR="005562EB" w:rsidRPr="002C7415" w14:paraId="14206BC8" w14:textId="77777777" w:rsidTr="00A04C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C8765A5" w14:textId="77777777" w:rsidR="005562EB" w:rsidRPr="002C7415" w:rsidRDefault="005562EB" w:rsidP="002413AA">
            <w:pPr>
              <w:rPr>
                <w:rFonts w:cs="Arial"/>
                <w:b w:val="0"/>
                <w:bCs w:val="0"/>
                <w:szCs w:val="20"/>
              </w:rPr>
            </w:pPr>
            <w:r>
              <w:rPr>
                <w:rFonts w:cs="Arial"/>
                <w:szCs w:val="20"/>
              </w:rPr>
              <w:t>AMS Service Credit</w:t>
            </w:r>
          </w:p>
        </w:tc>
        <w:tc>
          <w:tcPr>
            <w:tcW w:w="8900" w:type="dxa"/>
          </w:tcPr>
          <w:p w14:paraId="34343373" w14:textId="77777777" w:rsidR="00A04C21" w:rsidRDefault="00A04C21"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Response (Initial Service Credit):</w:t>
            </w:r>
            <w:r>
              <w:rPr>
                <w:rFonts w:cs="Arial"/>
                <w:szCs w:val="20"/>
              </w:rPr>
              <w:t>Failure to comply with the Incident Response timeframe for Severity 1 results in a service credit of two hundred fifty dollars ($250) per Severity 1 incident not resolved within the resolution timeframe of four (4) hours.</w:t>
            </w:r>
          </w:p>
          <w:p w14:paraId="21534F93" w14:textId="078A9E29" w:rsidR="005562EB" w:rsidRPr="002C7415" w:rsidRDefault="00A04C21"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Response Delay (Additional Service Credit):</w:t>
            </w:r>
            <w:r>
              <w:rPr>
                <w:rFonts w:cs="Arial"/>
                <w:szCs w:val="20"/>
              </w:rPr>
              <w:t xml:space="preserve">  If the incident remains unresolved after four (4 hours, an additional one hundred dollars ($100) is applied for each hour, or portion thereof, past the original resolution timeframe.</w:t>
            </w:r>
          </w:p>
        </w:tc>
      </w:tr>
      <w:tr w:rsidR="005562EB" w:rsidRPr="002C7415" w14:paraId="50C16351" w14:textId="77777777" w:rsidTr="00A04C21">
        <w:tc>
          <w:tcPr>
            <w:cnfStyle w:val="001000000000" w:firstRow="0" w:lastRow="0" w:firstColumn="1" w:lastColumn="0" w:oddVBand="0" w:evenVBand="0" w:oddHBand="0" w:evenHBand="0" w:firstRowFirstColumn="0" w:firstRowLastColumn="0" w:lastRowFirstColumn="0" w:lastRowLastColumn="0"/>
            <w:tcW w:w="1886" w:type="dxa"/>
          </w:tcPr>
          <w:p w14:paraId="3AD3A608" w14:textId="38FD496A"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2313F352" w14:textId="6B333C27" w:rsidR="00515B85" w:rsidRDefault="00515B85"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Delayed Response (Initial Service Credit):</w:t>
            </w:r>
            <w:r>
              <w:rPr>
                <w:rFonts w:cs="Arial"/>
                <w:szCs w:val="20"/>
              </w:rPr>
              <w:t xml:space="preserve"> Failure to comply with the Incident Response timeframe for Severity 1 results in a service credit of ten thousand dollars ($10,000) per Severity 1 incident not resolved within the resolution timeframe of four (4) hours.</w:t>
            </w:r>
          </w:p>
          <w:p w14:paraId="64955A98" w14:textId="21D9A00D" w:rsidR="005562EB" w:rsidRPr="002C7415" w:rsidRDefault="00515B85"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Extended Response Delay (Additional Service Credit):</w:t>
            </w:r>
            <w:r>
              <w:rPr>
                <w:rFonts w:cs="Arial"/>
                <w:szCs w:val="20"/>
              </w:rPr>
              <w:t xml:space="preserve"> If the incident remains unresolved after four (4) hours, an additional five thousand dollars ($5,000) is applied for each hour, or portion thereof, past the original resolution timeframe.</w:t>
            </w:r>
          </w:p>
        </w:tc>
      </w:tr>
    </w:tbl>
    <w:p w14:paraId="260BFC0F" w14:textId="7BBDEB6D" w:rsidR="005562EB" w:rsidRPr="002C7415" w:rsidRDefault="005562EB" w:rsidP="00CB1E19">
      <w:pPr>
        <w:pStyle w:val="HeadingSLA"/>
      </w:pPr>
      <w:bookmarkStart w:id="175" w:name="_Toc230258244"/>
      <w:bookmarkStart w:id="176" w:name="_Toc233199207"/>
      <w:r>
        <w:t>Incident Response: Severity 2</w:t>
      </w:r>
      <w:bookmarkEnd w:id="175"/>
      <w:bookmarkEnd w:id="176"/>
    </w:p>
    <w:tbl>
      <w:tblPr>
        <w:tblStyle w:val="DOH-LeftHeader"/>
        <w:tblW w:w="4998" w:type="pct"/>
        <w:tblLayout w:type="fixed"/>
        <w:tblLook w:val="0480" w:firstRow="0" w:lastRow="0" w:firstColumn="1" w:lastColumn="0" w:noHBand="0" w:noVBand="1"/>
      </w:tblPr>
      <w:tblGrid>
        <w:gridCol w:w="1886"/>
        <w:gridCol w:w="8900"/>
      </w:tblGrid>
      <w:tr w:rsidR="005562EB" w:rsidRPr="002C7415" w14:paraId="42340B52" w14:textId="77777777" w:rsidTr="00D3150C">
        <w:tc>
          <w:tcPr>
            <w:cnfStyle w:val="001000000000" w:firstRow="0" w:lastRow="0" w:firstColumn="1" w:lastColumn="0" w:oddVBand="0" w:evenVBand="0" w:oddHBand="0" w:evenHBand="0" w:firstRowFirstColumn="0" w:firstRowLastColumn="0" w:lastRowFirstColumn="0" w:lastRowLastColumn="0"/>
            <w:tcW w:w="1886" w:type="dxa"/>
          </w:tcPr>
          <w:p w14:paraId="2DAA72FD" w14:textId="77777777" w:rsidR="005562EB" w:rsidRPr="002C7415" w:rsidRDefault="005562EB" w:rsidP="002413AA">
            <w:pPr>
              <w:rPr>
                <w:rFonts w:cs="Arial"/>
                <w:b w:val="0"/>
                <w:bCs w:val="0"/>
                <w:szCs w:val="20"/>
              </w:rPr>
            </w:pPr>
            <w:r>
              <w:rPr>
                <w:rFonts w:cs="Arial"/>
                <w:szCs w:val="20"/>
              </w:rPr>
              <w:t>Purpose</w:t>
            </w:r>
          </w:p>
        </w:tc>
        <w:tc>
          <w:tcPr>
            <w:tcW w:w="8900" w:type="dxa"/>
          </w:tcPr>
          <w:p w14:paraId="7F0A1E29" w14:textId="4618831C"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designed to return the production environment to a healthy state following a Severity 2 incident within a timeframe that matches its business impact. The longer these incidents remain unresolved, the greater the compounding cost to worker productivity and the member experience. Therefore, this SLA holds the Contractor accountable to the Department-defined resolution timeframe and applies an escalating hourly penalty for any delays.</w:t>
            </w:r>
          </w:p>
        </w:tc>
      </w:tr>
      <w:tr w:rsidR="005562EB" w:rsidRPr="002C7415" w14:paraId="01E9BF7B" w14:textId="77777777" w:rsidTr="00D315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1A32F84" w14:textId="77777777" w:rsidR="005562EB" w:rsidRPr="002C7415" w:rsidRDefault="005562EB" w:rsidP="002413AA">
            <w:pPr>
              <w:rPr>
                <w:rFonts w:cs="Arial"/>
                <w:b w:val="0"/>
                <w:bCs w:val="0"/>
                <w:szCs w:val="20"/>
              </w:rPr>
            </w:pPr>
            <w:r>
              <w:rPr>
                <w:rFonts w:cs="Arial"/>
                <w:szCs w:val="20"/>
              </w:rPr>
              <w:t>Specification</w:t>
            </w:r>
          </w:p>
        </w:tc>
        <w:tc>
          <w:tcPr>
            <w:tcW w:w="8900" w:type="dxa"/>
          </w:tcPr>
          <w:p w14:paraId="4C62B5EA" w14:textId="34B1DBE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must ensure that all incidents occurring in the production environment, including Severity 2 incidents, are resolved within the resolution timeframe defined for their severity level. Refer to the “Instructions” tab, </w:t>
            </w:r>
            <w:r>
              <w:rPr>
                <w:rFonts w:cs="Arial"/>
                <w:szCs w:val="20"/>
              </w:rPr>
              <w:fldChar w:fldCharType="begin"/>
            </w:r>
            <w:r>
              <w:rPr>
                <w:rFonts w:cs="Arial"/>
                <w:szCs w:val="20"/>
              </w:rPr>
              <w:instrText xml:space="preserve"> REF _Ref233191373 \h  \* MERGEFORMAT </w:instrText>
            </w:r>
            <w:r>
              <w:rPr>
                <w:rFonts w:cs="Arial"/>
                <w:szCs w:val="20"/>
              </w:rPr>
            </w:r>
            <w:r>
              <w:rPr>
                <w:rFonts w:cs="Arial"/>
                <w:szCs w:val="20"/>
              </w:rPr>
              <w:fldChar w:fldCharType="separate"/>
            </w:r>
            <w:r>
              <w:rPr>
                <w:b/>
                <w:bCs/>
              </w:rPr>
              <w:t xml:space="preserve">Table </w:t>
            </w:r>
            <w:r>
              <w:rPr>
                <w:b/>
                <w:bCs/>
                <w:noProof/>
              </w:rPr>
              <w:t>1</w:t>
            </w:r>
            <w:r>
              <w:rPr>
                <w:b/>
                <w:bCs/>
              </w:rPr>
              <w:t xml:space="preserve"> – Converged E&amp;E System and AMS Security, Privacy, and Systems Incident Severity Level</w:t>
            </w:r>
            <w:r>
              <w:t>s</w:t>
            </w:r>
            <w:r>
              <w:rPr>
                <w:rFonts w:cs="Arial"/>
                <w:szCs w:val="20"/>
              </w:rPr>
              <w:fldChar w:fldCharType="end"/>
            </w:r>
            <w:r>
              <w:rPr>
                <w:rFonts w:cs="Arial"/>
                <w:szCs w:val="20"/>
              </w:rPr>
              <w:t>, for the full severity matrix. The Severity 2 resolution timeframe is eight (8) hours.</w:t>
            </w:r>
          </w:p>
        </w:tc>
      </w:tr>
      <w:tr w:rsidR="005562EB" w:rsidRPr="002C7415" w14:paraId="1DF44AF8" w14:textId="77777777" w:rsidTr="00D3150C">
        <w:tc>
          <w:tcPr>
            <w:cnfStyle w:val="001000000000" w:firstRow="0" w:lastRow="0" w:firstColumn="1" w:lastColumn="0" w:oddVBand="0" w:evenVBand="0" w:oddHBand="0" w:evenHBand="0" w:firstRowFirstColumn="0" w:firstRowLastColumn="0" w:lastRowFirstColumn="0" w:lastRowLastColumn="0"/>
            <w:tcW w:w="1886" w:type="dxa"/>
          </w:tcPr>
          <w:p w14:paraId="7F63939E" w14:textId="77777777" w:rsidR="005562EB" w:rsidRPr="002C7415" w:rsidRDefault="005562EB" w:rsidP="002413AA">
            <w:pPr>
              <w:rPr>
                <w:rFonts w:cs="Arial"/>
                <w:b w:val="0"/>
                <w:bCs w:val="0"/>
                <w:szCs w:val="20"/>
              </w:rPr>
            </w:pPr>
            <w:r>
              <w:rPr>
                <w:rFonts w:cs="Arial"/>
                <w:szCs w:val="20"/>
              </w:rPr>
              <w:t>Service Level</w:t>
            </w:r>
          </w:p>
        </w:tc>
        <w:tc>
          <w:tcPr>
            <w:tcW w:w="8900" w:type="dxa"/>
          </w:tcPr>
          <w:p w14:paraId="2A230E9C"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Severity 2 incidents must be resolved within eight (8) hours of incident creation.</w:t>
            </w:r>
          </w:p>
        </w:tc>
      </w:tr>
      <w:tr w:rsidR="005562EB" w:rsidRPr="002C7415" w14:paraId="56C2F727" w14:textId="77777777" w:rsidTr="00D315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3FECCCD5" w14:textId="77777777" w:rsidR="005562EB" w:rsidRPr="002C7415" w:rsidRDefault="005562EB" w:rsidP="002413AA">
            <w:pPr>
              <w:rPr>
                <w:rFonts w:cs="Arial"/>
                <w:b w:val="0"/>
                <w:bCs w:val="0"/>
                <w:szCs w:val="20"/>
              </w:rPr>
            </w:pPr>
            <w:r>
              <w:rPr>
                <w:rFonts w:cs="Arial"/>
                <w:szCs w:val="20"/>
              </w:rPr>
              <w:t>Notes</w:t>
            </w:r>
          </w:p>
        </w:tc>
        <w:tc>
          <w:tcPr>
            <w:tcW w:w="8900" w:type="dxa"/>
          </w:tcPr>
          <w:p w14:paraId="7A7ADED1" w14:textId="4FFFAD89"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Severity levels are defined in </w:t>
            </w:r>
            <w:r>
              <w:rPr>
                <w:rFonts w:cs="Arial"/>
                <w:b/>
                <w:bCs/>
                <w:szCs w:val="20"/>
              </w:rPr>
              <w:fldChar w:fldCharType="begin"/>
            </w:r>
            <w:r>
              <w:rPr>
                <w:rFonts w:cs="Arial"/>
                <w:b/>
                <w:bCs/>
                <w:szCs w:val="20"/>
              </w:rPr>
              <w:instrText xml:space="preserve"> REF _Ref233191373 \h  \* MERGEFORMAT </w:instrText>
            </w:r>
            <w:r>
              <w:rPr>
                <w:rFonts w:cs="Arial"/>
                <w:b/>
                <w:bCs/>
                <w:szCs w:val="20"/>
              </w:rPr>
            </w:r>
            <w:r>
              <w:rPr>
                <w:rFonts w:cs="Arial"/>
                <w:b/>
                <w:bCs/>
                <w:szCs w:val="20"/>
              </w:rPr>
              <w:fldChar w:fldCharType="separate"/>
            </w:r>
            <w:r>
              <w:rPr>
                <w:b/>
                <w:bCs/>
              </w:rPr>
              <w:t xml:space="preserve">Table </w:t>
            </w:r>
            <w:r>
              <w:rPr>
                <w:b/>
                <w:bCs/>
                <w:noProof/>
              </w:rPr>
              <w:t>1</w:t>
            </w:r>
            <w:r>
              <w:rPr>
                <w:b/>
                <w:bCs/>
              </w:rPr>
              <w:t xml:space="preserve"> – Converged E&amp;E System and AMS Security, Privacy, and Systems Incident Severity Levels</w:t>
            </w:r>
            <w:r>
              <w:rPr>
                <w:rFonts w:cs="Arial"/>
                <w:b/>
                <w:bCs/>
                <w:szCs w:val="20"/>
              </w:rPr>
              <w:fldChar w:fldCharType="end"/>
            </w:r>
            <w:r>
              <w:rPr>
                <w:rFonts w:cs="Arial"/>
                <w:szCs w:val="20"/>
              </w:rPr>
              <w:t>. The Contractor must maintain incident records in the Department-approved ticketing system with timestamps the Department can independently validate.</w:t>
            </w:r>
          </w:p>
        </w:tc>
      </w:tr>
      <w:tr w:rsidR="005562EB" w:rsidRPr="002C7415" w14:paraId="1AB59D65" w14:textId="77777777" w:rsidTr="00D3150C">
        <w:tc>
          <w:tcPr>
            <w:cnfStyle w:val="001000000000" w:firstRow="0" w:lastRow="0" w:firstColumn="1" w:lastColumn="0" w:oddVBand="0" w:evenVBand="0" w:oddHBand="0" w:evenHBand="0" w:firstRowFirstColumn="0" w:firstRowLastColumn="0" w:lastRowFirstColumn="0" w:lastRowLastColumn="0"/>
            <w:tcW w:w="1886" w:type="dxa"/>
          </w:tcPr>
          <w:p w14:paraId="10907D7F"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122B1AF3" w14:textId="301CD51B"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evaluated per incident. A monthly Incident Response Compliance Report is delivered to the Department within five (5) business days after the end of each calendar month. This SLA is in effect after the Transition-In Cutover and continues through the Transition-Out Cutover.</w:t>
            </w:r>
          </w:p>
        </w:tc>
      </w:tr>
      <w:tr w:rsidR="005562EB" w:rsidRPr="002C7415" w14:paraId="145BD747" w14:textId="77777777" w:rsidTr="00D315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463D93F" w14:textId="77777777" w:rsidR="005562EB" w:rsidRPr="002C7415" w:rsidRDefault="005562EB" w:rsidP="002413AA">
            <w:pPr>
              <w:rPr>
                <w:rFonts w:cs="Arial"/>
                <w:szCs w:val="20"/>
              </w:rPr>
            </w:pPr>
            <w:r>
              <w:rPr>
                <w:rFonts w:cs="Arial"/>
                <w:szCs w:val="20"/>
              </w:rPr>
              <w:t>SLA Calculations</w:t>
            </w:r>
          </w:p>
        </w:tc>
        <w:tc>
          <w:tcPr>
            <w:tcW w:w="8900" w:type="dxa"/>
          </w:tcPr>
          <w:p w14:paraId="45923082" w14:textId="6D05C1A8"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Severity 2 incident. For each Severity 2 incident, the Contractor records the incident creation timestamp and the resolution timestamp. Each Severity 2 incident not resolved within eight (8) hours counts as one occurrence, with additional per-hour occurrences accruing for every hour, or portion thereof, beyond the original resolution timeframe.</w:t>
            </w:r>
          </w:p>
        </w:tc>
      </w:tr>
      <w:tr w:rsidR="005562EB" w:rsidRPr="002C7415" w14:paraId="16A96403" w14:textId="77777777" w:rsidTr="00D3150C">
        <w:tc>
          <w:tcPr>
            <w:cnfStyle w:val="001000000000" w:firstRow="0" w:lastRow="0" w:firstColumn="1" w:lastColumn="0" w:oddVBand="0" w:evenVBand="0" w:oddHBand="0" w:evenHBand="0" w:firstRowFirstColumn="0" w:firstRowLastColumn="0" w:lastRowFirstColumn="0" w:lastRowLastColumn="0"/>
            <w:tcW w:w="1886" w:type="dxa"/>
          </w:tcPr>
          <w:p w14:paraId="225E6F6C"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1BE557A8" w14:textId="615A301B"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Severity 2 Incident: </w:t>
            </w:r>
            <w:r>
              <w:rPr>
                <w:rFonts w:cs="Arial"/>
                <w:szCs w:val="20"/>
              </w:rPr>
              <w:t xml:space="preserve">An incident classified at the corresponding severity level </w:t>
            </w:r>
            <w:r>
              <w:rPr>
                <w:rFonts w:cs="Arial"/>
                <w:b/>
                <w:bCs/>
                <w:szCs w:val="20"/>
              </w:rPr>
              <w:fldChar w:fldCharType="begin"/>
            </w:r>
            <w:r>
              <w:rPr>
                <w:rFonts w:cs="Arial"/>
                <w:b/>
                <w:bCs/>
                <w:szCs w:val="20"/>
              </w:rPr>
              <w:instrText xml:space="preserve"> REF _Ref233191373 \h  \* MERGEFORMAT </w:instrText>
            </w:r>
            <w:r>
              <w:rPr>
                <w:rFonts w:cs="Arial"/>
                <w:b/>
                <w:bCs/>
                <w:szCs w:val="20"/>
              </w:rPr>
            </w:r>
            <w:r>
              <w:rPr>
                <w:rFonts w:cs="Arial"/>
                <w:b/>
                <w:bCs/>
                <w:szCs w:val="20"/>
              </w:rPr>
              <w:fldChar w:fldCharType="separate"/>
            </w:r>
            <w:r>
              <w:rPr>
                <w:b/>
                <w:bCs/>
              </w:rPr>
              <w:t xml:space="preserve">Table </w:t>
            </w:r>
            <w:r>
              <w:rPr>
                <w:b/>
                <w:bCs/>
                <w:noProof/>
              </w:rPr>
              <w:t>1</w:t>
            </w:r>
            <w:r>
              <w:rPr>
                <w:b/>
                <w:bCs/>
              </w:rPr>
              <w:t xml:space="preserve"> – Converged E&amp;E System and AMS Security, Privacy, and Systems Incident Severity Levels</w:t>
            </w:r>
            <w:r>
              <w:rPr>
                <w:rFonts w:cs="Arial"/>
                <w:b/>
                <w:bCs/>
                <w:szCs w:val="20"/>
              </w:rPr>
              <w:fldChar w:fldCharType="end"/>
            </w:r>
            <w:r>
              <w:rPr>
                <w:rFonts w:cs="Arial"/>
                <w:szCs w:val="20"/>
              </w:rPr>
              <w:t>.</w:t>
            </w:r>
          </w:p>
          <w:p w14:paraId="48607E34"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Resolution Timeframe (Severity 2): </w:t>
            </w:r>
            <w:r>
              <w:rPr>
                <w:rFonts w:cs="Arial"/>
                <w:szCs w:val="20"/>
              </w:rPr>
              <w:t>eight (8) hours from incident creation, as defined in the severity matrix.</w:t>
            </w:r>
          </w:p>
          <w:p w14:paraId="38D6773E"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Resolution: </w:t>
            </w:r>
            <w:r>
              <w:rPr>
                <w:rFonts w:cs="Arial"/>
                <w:szCs w:val="20"/>
              </w:rPr>
              <w:t>The point at which the incident is restored to operational status and confirmed in the ticketing system, with supporting evidence available to the Department.</w:t>
            </w:r>
          </w:p>
        </w:tc>
      </w:tr>
      <w:tr w:rsidR="005562EB" w:rsidRPr="002C7415" w14:paraId="5C1F2D10" w14:textId="77777777" w:rsidTr="00D315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B6E7C6F" w14:textId="77777777" w:rsidR="005562EB" w:rsidRPr="002C7415" w:rsidRDefault="005562EB" w:rsidP="002413AA">
            <w:pPr>
              <w:rPr>
                <w:rFonts w:cs="Arial"/>
                <w:b w:val="0"/>
                <w:bCs w:val="0"/>
                <w:szCs w:val="20"/>
              </w:rPr>
            </w:pPr>
            <w:r>
              <w:rPr>
                <w:rFonts w:cs="Arial"/>
                <w:szCs w:val="20"/>
              </w:rPr>
              <w:t>Exclusions</w:t>
            </w:r>
          </w:p>
        </w:tc>
        <w:tc>
          <w:tcPr>
            <w:tcW w:w="8900" w:type="dxa"/>
          </w:tcPr>
          <w:p w14:paraId="58A8BB1D" w14:textId="3C937EB9"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incident resolution delays caused by: (a) Department-directed pauses in resolution activity; or (b) failures of third-party systems outside the Contractor’s managed boundary, where the Contractor demonstrates with system records that the failure originated outside that boundary. The Contractor is responsible for demonstrating any claimed exclusion.</w:t>
            </w:r>
          </w:p>
        </w:tc>
      </w:tr>
      <w:tr w:rsidR="005562EB" w:rsidRPr="002C7415" w14:paraId="797CC21B" w14:textId="77777777" w:rsidTr="00D3150C">
        <w:tc>
          <w:tcPr>
            <w:cnfStyle w:val="001000000000" w:firstRow="0" w:lastRow="0" w:firstColumn="1" w:lastColumn="0" w:oddVBand="0" w:evenVBand="0" w:oddHBand="0" w:evenHBand="0" w:firstRowFirstColumn="0" w:firstRowLastColumn="0" w:lastRowFirstColumn="0" w:lastRowLastColumn="0"/>
            <w:tcW w:w="1886" w:type="dxa"/>
          </w:tcPr>
          <w:p w14:paraId="33109D60"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1F722832"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Severity 2 incident, the Contractor must capture and retain: the incident creation timestamp; the assigned severity; the resolution timestamp; the root cause; and the corrective action. The Daily Production Status Report aggregates these records, identifies any incidents resolved beyond the resolution timeframe, totals service credits accrued, and is made available to the Department on request.</w:t>
            </w:r>
          </w:p>
        </w:tc>
      </w:tr>
      <w:tr w:rsidR="005562EB" w:rsidRPr="002C7415" w14:paraId="4D834296" w14:textId="77777777" w:rsidTr="00D315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422F6BA3" w14:textId="77777777" w:rsidR="005562EB" w:rsidRPr="002C7415" w:rsidRDefault="005562EB" w:rsidP="002413AA">
            <w:pPr>
              <w:rPr>
                <w:rFonts w:cs="Arial"/>
                <w:b w:val="0"/>
                <w:bCs w:val="0"/>
                <w:szCs w:val="20"/>
              </w:rPr>
            </w:pPr>
            <w:r>
              <w:rPr>
                <w:rFonts w:cs="Arial"/>
                <w:szCs w:val="20"/>
              </w:rPr>
              <w:t>AMS Service Credit</w:t>
            </w:r>
          </w:p>
        </w:tc>
        <w:tc>
          <w:tcPr>
            <w:tcW w:w="8900" w:type="dxa"/>
          </w:tcPr>
          <w:p w14:paraId="720FF881" w14:textId="79576367" w:rsidR="00A04C21" w:rsidRDefault="00A04C21"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 xml:space="preserve">Delayed Response (Initial Service Credit): </w:t>
            </w:r>
            <w:r>
              <w:rPr>
                <w:rFonts w:cs="Arial"/>
                <w:szCs w:val="20"/>
              </w:rPr>
              <w:t>Failure to comply with the Incident Response timeframe for Severity 2 results in a service credit of one hundred twenty-five dollars ($125) per Severity 2 incident not resolved within the resolution timeframe of eight (8) hours.</w:t>
            </w:r>
          </w:p>
          <w:p w14:paraId="3041205C" w14:textId="48EA16FC" w:rsidR="005562EB" w:rsidRPr="002C7415" w:rsidRDefault="00D3150C"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Response Delay (Additional Service Credit</w:t>
            </w:r>
            <w:r>
              <w:rPr>
                <w:rFonts w:cs="Arial"/>
                <w:szCs w:val="20"/>
              </w:rPr>
              <w:t>): If the incident remains unresolved after eight (8) hours, an additional one hundred twenty-five dollars ($125) is applied for each hour, or portion thereof, past the original resolution timeframe.</w:t>
            </w:r>
          </w:p>
        </w:tc>
      </w:tr>
      <w:tr w:rsidR="005562EB" w:rsidRPr="002C7415" w14:paraId="5CD41215" w14:textId="77777777" w:rsidTr="00D3150C">
        <w:tc>
          <w:tcPr>
            <w:cnfStyle w:val="001000000000" w:firstRow="0" w:lastRow="0" w:firstColumn="1" w:lastColumn="0" w:oddVBand="0" w:evenVBand="0" w:oddHBand="0" w:evenHBand="0" w:firstRowFirstColumn="0" w:firstRowLastColumn="0" w:lastRowFirstColumn="0" w:lastRowLastColumn="0"/>
            <w:tcW w:w="1886" w:type="dxa"/>
          </w:tcPr>
          <w:p w14:paraId="3F9E542D" w14:textId="34DDDC14"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0CCF4626" w14:textId="3B774B15" w:rsidR="00213330" w:rsidRDefault="00213330"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Delayed Response (Initial Service Credit):</w:t>
            </w:r>
            <w:r>
              <w:rPr>
                <w:rFonts w:cs="Arial"/>
                <w:szCs w:val="20"/>
              </w:rPr>
              <w:t xml:space="preserve"> Failure to comply with the Incident Response timeframe for Severity 2 results in a service credit of five thousand dollars ($5,000) per Severity 2 incident not resolved within the resolution timeframe of eight (8) hours.</w:t>
            </w:r>
          </w:p>
          <w:p w14:paraId="38101A77" w14:textId="02AC6A24" w:rsidR="005562EB" w:rsidRPr="002C7415" w:rsidRDefault="00213330"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Extended Response Delay (Additional Service Credit):</w:t>
            </w:r>
            <w:r>
              <w:rPr>
                <w:rFonts w:cs="Arial"/>
                <w:szCs w:val="20"/>
              </w:rPr>
              <w:t xml:space="preserve"> If the incident remains unresolved after eight (8) hours, an additional two thousand five hundred dollars ($2,500) is applied for each hour, or portion thereof, past the original resolution timeframe.</w:t>
            </w:r>
          </w:p>
        </w:tc>
      </w:tr>
    </w:tbl>
    <w:p w14:paraId="4EC69B13" w14:textId="79CA77C8" w:rsidR="005562EB" w:rsidRPr="002C7415" w:rsidRDefault="005562EB" w:rsidP="00CB1E19">
      <w:pPr>
        <w:pStyle w:val="HeadingSLA"/>
      </w:pPr>
      <w:bookmarkStart w:id="177" w:name="_Toc230258245"/>
      <w:bookmarkStart w:id="178" w:name="_Toc233199208"/>
      <w:r>
        <w:t>Incident Response: Severity 3</w:t>
      </w:r>
      <w:bookmarkEnd w:id="177"/>
      <w:bookmarkEnd w:id="178"/>
    </w:p>
    <w:tbl>
      <w:tblPr>
        <w:tblStyle w:val="DOH-LeftHeader"/>
        <w:tblW w:w="4998" w:type="pct"/>
        <w:tblLayout w:type="fixed"/>
        <w:tblLook w:val="0480" w:firstRow="0" w:lastRow="0" w:firstColumn="1" w:lastColumn="0" w:noHBand="0" w:noVBand="1"/>
      </w:tblPr>
      <w:tblGrid>
        <w:gridCol w:w="1886"/>
        <w:gridCol w:w="8900"/>
      </w:tblGrid>
      <w:tr w:rsidR="005562EB" w:rsidRPr="002C7415" w14:paraId="1569EA83" w14:textId="77777777" w:rsidTr="00100B40">
        <w:tc>
          <w:tcPr>
            <w:cnfStyle w:val="001000000000" w:firstRow="0" w:lastRow="0" w:firstColumn="1" w:lastColumn="0" w:oddVBand="0" w:evenVBand="0" w:oddHBand="0" w:evenHBand="0" w:firstRowFirstColumn="0" w:firstRowLastColumn="0" w:lastRowFirstColumn="0" w:lastRowLastColumn="0"/>
            <w:tcW w:w="1886" w:type="dxa"/>
          </w:tcPr>
          <w:p w14:paraId="4C960D1C" w14:textId="77777777" w:rsidR="005562EB" w:rsidRPr="002C7415" w:rsidRDefault="005562EB" w:rsidP="002413AA">
            <w:pPr>
              <w:rPr>
                <w:rFonts w:cs="Arial"/>
                <w:b w:val="0"/>
                <w:bCs w:val="0"/>
                <w:szCs w:val="20"/>
              </w:rPr>
            </w:pPr>
            <w:r>
              <w:rPr>
                <w:rFonts w:cs="Arial"/>
                <w:szCs w:val="20"/>
              </w:rPr>
              <w:t>Purpose</w:t>
            </w:r>
          </w:p>
        </w:tc>
        <w:tc>
          <w:tcPr>
            <w:tcW w:w="8900" w:type="dxa"/>
          </w:tcPr>
          <w:p w14:paraId="3381CB88" w14:textId="7178FA65"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designed to return the production environment to a healthy state following a Severity 3 incident within a timeframe that matches its business impact. The longer these incidents remain unresolved, the greater the compounding cost to worker productivity and the member experience. Therefore, this SLA holds the Contractor accountable to the Department-defined resolution timeframe and applies an escalating daily penalty for any delays.</w:t>
            </w:r>
          </w:p>
        </w:tc>
      </w:tr>
      <w:tr w:rsidR="005562EB" w:rsidRPr="002C7415" w14:paraId="0E138C41" w14:textId="77777777" w:rsidTr="00100B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B566FB8" w14:textId="77777777" w:rsidR="005562EB" w:rsidRPr="002C7415" w:rsidRDefault="005562EB" w:rsidP="002413AA">
            <w:pPr>
              <w:rPr>
                <w:rFonts w:cs="Arial"/>
                <w:b w:val="0"/>
                <w:bCs w:val="0"/>
                <w:szCs w:val="20"/>
              </w:rPr>
            </w:pPr>
            <w:r>
              <w:rPr>
                <w:rFonts w:cs="Arial"/>
                <w:szCs w:val="20"/>
              </w:rPr>
              <w:t>Specification</w:t>
            </w:r>
          </w:p>
        </w:tc>
        <w:tc>
          <w:tcPr>
            <w:tcW w:w="8900" w:type="dxa"/>
          </w:tcPr>
          <w:p w14:paraId="5E08AE4C" w14:textId="11395F1B"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must ensure that all incidents introduced into the production environment, including Severity 3 incidents, are resolved within the resolution timeframe defined for their severity level. Refer to the “Instructions” tab, </w:t>
            </w:r>
            <w:r>
              <w:rPr>
                <w:rFonts w:cs="Arial"/>
                <w:b/>
                <w:bCs/>
                <w:szCs w:val="20"/>
              </w:rPr>
              <w:fldChar w:fldCharType="begin"/>
            </w:r>
            <w:r>
              <w:rPr>
                <w:rFonts w:cs="Arial"/>
                <w:b/>
                <w:bCs/>
                <w:szCs w:val="20"/>
              </w:rPr>
              <w:instrText xml:space="preserve"> REF _Ref233191373 \h  \* MERGEFORMAT </w:instrText>
            </w:r>
            <w:r>
              <w:rPr>
                <w:rFonts w:cs="Arial"/>
                <w:b/>
                <w:bCs/>
                <w:szCs w:val="20"/>
              </w:rPr>
            </w:r>
            <w:r>
              <w:rPr>
                <w:rFonts w:cs="Arial"/>
                <w:b/>
                <w:bCs/>
                <w:szCs w:val="20"/>
              </w:rPr>
              <w:fldChar w:fldCharType="separate"/>
            </w:r>
            <w:r>
              <w:rPr>
                <w:b/>
                <w:bCs/>
              </w:rPr>
              <w:t xml:space="preserve">Table </w:t>
            </w:r>
            <w:r>
              <w:rPr>
                <w:b/>
                <w:bCs/>
                <w:noProof/>
              </w:rPr>
              <w:t>1</w:t>
            </w:r>
            <w:r>
              <w:rPr>
                <w:b/>
                <w:bCs/>
              </w:rPr>
              <w:t xml:space="preserve"> – Converged E&amp;E System and AMS Security, Privacy, and Systems Incident Severity Levels</w:t>
            </w:r>
            <w:r>
              <w:rPr>
                <w:rFonts w:cs="Arial"/>
                <w:b/>
                <w:bCs/>
                <w:szCs w:val="20"/>
              </w:rPr>
              <w:fldChar w:fldCharType="end"/>
            </w:r>
            <w:r>
              <w:rPr>
                <w:rFonts w:cs="Arial"/>
                <w:szCs w:val="20"/>
              </w:rPr>
              <w:t>, for the full severity matrix. The Severity 3 resolution timeframe is three (3) calendar days.</w:t>
            </w:r>
          </w:p>
        </w:tc>
      </w:tr>
      <w:tr w:rsidR="005562EB" w:rsidRPr="002C7415" w14:paraId="1E3507F7" w14:textId="77777777" w:rsidTr="00100B40">
        <w:tc>
          <w:tcPr>
            <w:cnfStyle w:val="001000000000" w:firstRow="0" w:lastRow="0" w:firstColumn="1" w:lastColumn="0" w:oddVBand="0" w:evenVBand="0" w:oddHBand="0" w:evenHBand="0" w:firstRowFirstColumn="0" w:firstRowLastColumn="0" w:lastRowFirstColumn="0" w:lastRowLastColumn="0"/>
            <w:tcW w:w="1886" w:type="dxa"/>
          </w:tcPr>
          <w:p w14:paraId="1EF849A5" w14:textId="77777777" w:rsidR="005562EB" w:rsidRPr="002C7415" w:rsidRDefault="005562EB" w:rsidP="002413AA">
            <w:pPr>
              <w:rPr>
                <w:rFonts w:cs="Arial"/>
                <w:b w:val="0"/>
                <w:bCs w:val="0"/>
                <w:szCs w:val="20"/>
              </w:rPr>
            </w:pPr>
            <w:r>
              <w:rPr>
                <w:rFonts w:cs="Arial"/>
                <w:szCs w:val="20"/>
              </w:rPr>
              <w:t>Service Level</w:t>
            </w:r>
          </w:p>
        </w:tc>
        <w:tc>
          <w:tcPr>
            <w:tcW w:w="8900" w:type="dxa"/>
          </w:tcPr>
          <w:p w14:paraId="362E02FA"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Severity 3 incidents must be resolved within three (3) calendar days of incident creation.</w:t>
            </w:r>
          </w:p>
        </w:tc>
      </w:tr>
      <w:tr w:rsidR="005562EB" w:rsidRPr="002C7415" w14:paraId="1C1A31AE" w14:textId="77777777" w:rsidTr="00100B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37F4BB8" w14:textId="77777777" w:rsidR="005562EB" w:rsidRPr="002C7415" w:rsidRDefault="005562EB" w:rsidP="002413AA">
            <w:pPr>
              <w:rPr>
                <w:rFonts w:cs="Arial"/>
                <w:b w:val="0"/>
                <w:bCs w:val="0"/>
                <w:szCs w:val="20"/>
              </w:rPr>
            </w:pPr>
            <w:r>
              <w:rPr>
                <w:rFonts w:cs="Arial"/>
                <w:szCs w:val="20"/>
              </w:rPr>
              <w:t>Notes</w:t>
            </w:r>
          </w:p>
        </w:tc>
        <w:tc>
          <w:tcPr>
            <w:tcW w:w="8900" w:type="dxa"/>
          </w:tcPr>
          <w:p w14:paraId="7588CC80" w14:textId="66F78D7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Severity levels are defined in </w:t>
            </w:r>
            <w:r>
              <w:rPr>
                <w:rFonts w:cs="Arial"/>
                <w:b/>
                <w:bCs/>
                <w:szCs w:val="20"/>
              </w:rPr>
              <w:fldChar w:fldCharType="begin"/>
            </w:r>
            <w:r>
              <w:rPr>
                <w:rFonts w:cs="Arial"/>
                <w:b/>
                <w:bCs/>
                <w:szCs w:val="20"/>
              </w:rPr>
              <w:instrText xml:space="preserve"> REF _Ref233191373 \h  \* MERGEFORMAT </w:instrText>
            </w:r>
            <w:r>
              <w:rPr>
                <w:rFonts w:cs="Arial"/>
                <w:b/>
                <w:bCs/>
                <w:szCs w:val="20"/>
              </w:rPr>
            </w:r>
            <w:r>
              <w:rPr>
                <w:rFonts w:cs="Arial"/>
                <w:b/>
                <w:bCs/>
                <w:szCs w:val="20"/>
              </w:rPr>
              <w:fldChar w:fldCharType="separate"/>
            </w:r>
            <w:r>
              <w:rPr>
                <w:b/>
                <w:bCs/>
              </w:rPr>
              <w:t xml:space="preserve">Table </w:t>
            </w:r>
            <w:r>
              <w:rPr>
                <w:b/>
                <w:bCs/>
                <w:noProof/>
              </w:rPr>
              <w:t>1</w:t>
            </w:r>
            <w:r>
              <w:rPr>
                <w:b/>
                <w:bCs/>
              </w:rPr>
              <w:t xml:space="preserve"> – Converged E&amp;E System and AMS Security, Privacy, and Systems Incident Severity Levels</w:t>
            </w:r>
            <w:r>
              <w:rPr>
                <w:rFonts w:cs="Arial"/>
                <w:b/>
                <w:bCs/>
                <w:szCs w:val="20"/>
              </w:rPr>
              <w:fldChar w:fldCharType="end"/>
            </w:r>
            <w:r>
              <w:rPr>
                <w:rFonts w:cs="Arial"/>
                <w:szCs w:val="20"/>
              </w:rPr>
              <w:t>. The Contractor must maintain incident records in the Department-approved ticketing system with timestamps the Department can independently validate.</w:t>
            </w:r>
          </w:p>
        </w:tc>
      </w:tr>
      <w:tr w:rsidR="005562EB" w:rsidRPr="002C7415" w14:paraId="101F1749" w14:textId="77777777" w:rsidTr="00100B40">
        <w:tc>
          <w:tcPr>
            <w:cnfStyle w:val="001000000000" w:firstRow="0" w:lastRow="0" w:firstColumn="1" w:lastColumn="0" w:oddVBand="0" w:evenVBand="0" w:oddHBand="0" w:evenHBand="0" w:firstRowFirstColumn="0" w:firstRowLastColumn="0" w:lastRowFirstColumn="0" w:lastRowLastColumn="0"/>
            <w:tcW w:w="1886" w:type="dxa"/>
          </w:tcPr>
          <w:p w14:paraId="33F09855"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3010D098" w14:textId="4D4801FE"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evaluated per incident. Incident response compliance is reported to the Department in the Daily Production Status Report. This SLA is in effect after the Transition-In Cutover and continues through the Transition-Out Cutover.</w:t>
            </w:r>
          </w:p>
        </w:tc>
      </w:tr>
      <w:tr w:rsidR="005562EB" w:rsidRPr="002C7415" w14:paraId="39EE2324" w14:textId="77777777" w:rsidTr="00100B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3CD0A9D" w14:textId="77777777" w:rsidR="005562EB" w:rsidRPr="002C7415" w:rsidRDefault="005562EB" w:rsidP="002413AA">
            <w:pPr>
              <w:rPr>
                <w:rFonts w:cs="Arial"/>
                <w:szCs w:val="20"/>
              </w:rPr>
            </w:pPr>
            <w:r>
              <w:rPr>
                <w:rFonts w:cs="Arial"/>
                <w:szCs w:val="20"/>
              </w:rPr>
              <w:t>SLA Calculations</w:t>
            </w:r>
          </w:p>
        </w:tc>
        <w:tc>
          <w:tcPr>
            <w:tcW w:w="8900" w:type="dxa"/>
          </w:tcPr>
          <w:p w14:paraId="3C1CDA43" w14:textId="4FFD461A"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Severity 3 incident. For each Severity 3 incident, the Contractor records the incident creation timestamp and the resolution timestamp. Each Severity 3 incident not resolved within three (3) calendar days counts as one (1) occurrence, with additional per-calendar day occurrences accruing for every calendar day, or portion thereof, beyond the original resolution timeframe.</w:t>
            </w:r>
          </w:p>
        </w:tc>
      </w:tr>
      <w:tr w:rsidR="005562EB" w:rsidRPr="002C7415" w14:paraId="61FC502F" w14:textId="77777777" w:rsidTr="00100B40">
        <w:tc>
          <w:tcPr>
            <w:cnfStyle w:val="001000000000" w:firstRow="0" w:lastRow="0" w:firstColumn="1" w:lastColumn="0" w:oddVBand="0" w:evenVBand="0" w:oddHBand="0" w:evenHBand="0" w:firstRowFirstColumn="0" w:firstRowLastColumn="0" w:lastRowFirstColumn="0" w:lastRowLastColumn="0"/>
            <w:tcW w:w="1886" w:type="dxa"/>
          </w:tcPr>
          <w:p w14:paraId="7FC6FE01"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100B7C14" w14:textId="2F780BC2"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Severity 3 Incident: </w:t>
            </w:r>
            <w:r>
              <w:rPr>
                <w:rFonts w:cs="Arial"/>
                <w:szCs w:val="20"/>
              </w:rPr>
              <w:t xml:space="preserve">An incident classified at the corresponding severity level per </w:t>
            </w:r>
            <w:r>
              <w:rPr>
                <w:rFonts w:cs="Arial"/>
                <w:b/>
                <w:bCs/>
                <w:szCs w:val="20"/>
              </w:rPr>
              <w:fldChar w:fldCharType="begin"/>
            </w:r>
            <w:r>
              <w:rPr>
                <w:rFonts w:cs="Arial"/>
                <w:b/>
                <w:bCs/>
                <w:szCs w:val="20"/>
              </w:rPr>
              <w:instrText xml:space="preserve"> REF _Ref233191373 \h  \* MERGEFORMAT </w:instrText>
            </w:r>
            <w:r>
              <w:rPr>
                <w:rFonts w:cs="Arial"/>
                <w:b/>
                <w:bCs/>
                <w:szCs w:val="20"/>
              </w:rPr>
            </w:r>
            <w:r>
              <w:rPr>
                <w:rFonts w:cs="Arial"/>
                <w:b/>
                <w:bCs/>
                <w:szCs w:val="20"/>
              </w:rPr>
              <w:fldChar w:fldCharType="separate"/>
            </w:r>
            <w:r>
              <w:rPr>
                <w:b/>
                <w:bCs/>
              </w:rPr>
              <w:t xml:space="preserve">Table </w:t>
            </w:r>
            <w:r>
              <w:rPr>
                <w:b/>
                <w:bCs/>
                <w:noProof/>
              </w:rPr>
              <w:t>1</w:t>
            </w:r>
            <w:r>
              <w:rPr>
                <w:b/>
                <w:bCs/>
              </w:rPr>
              <w:t xml:space="preserve"> – Converged E&amp;E System and AMS Security, Privacy, and Systems Incident Severity Levels</w:t>
            </w:r>
            <w:r>
              <w:rPr>
                <w:rFonts w:cs="Arial"/>
                <w:b/>
                <w:bCs/>
                <w:szCs w:val="20"/>
              </w:rPr>
              <w:fldChar w:fldCharType="end"/>
            </w:r>
            <w:r>
              <w:rPr>
                <w:rFonts w:cs="Arial"/>
                <w:szCs w:val="20"/>
              </w:rPr>
              <w:t>.</w:t>
            </w:r>
          </w:p>
          <w:p w14:paraId="23A3CDBB"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Resolution Timeframe (Severity 3): </w:t>
            </w:r>
            <w:r>
              <w:rPr>
                <w:rFonts w:cs="Arial"/>
                <w:szCs w:val="20"/>
              </w:rPr>
              <w:t>three (3) calendar days from incident creation, as defined in the severity matrix.</w:t>
            </w:r>
          </w:p>
          <w:p w14:paraId="5E1836D4"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Resolution: </w:t>
            </w:r>
            <w:r>
              <w:rPr>
                <w:rFonts w:cs="Arial"/>
                <w:szCs w:val="20"/>
              </w:rPr>
              <w:t>The point at which the incident is restored to operational status and confirmed in the ticketing system, with supporting evidence available to the Department.</w:t>
            </w:r>
          </w:p>
        </w:tc>
      </w:tr>
      <w:tr w:rsidR="005562EB" w:rsidRPr="002C7415" w14:paraId="0F0F5832" w14:textId="77777777" w:rsidTr="00100B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279D0DDE" w14:textId="77777777" w:rsidR="005562EB" w:rsidRPr="002C7415" w:rsidRDefault="005562EB" w:rsidP="002413AA">
            <w:pPr>
              <w:rPr>
                <w:rFonts w:cs="Arial"/>
                <w:b w:val="0"/>
                <w:bCs w:val="0"/>
                <w:szCs w:val="20"/>
              </w:rPr>
            </w:pPr>
            <w:r>
              <w:rPr>
                <w:rFonts w:cs="Arial"/>
                <w:szCs w:val="20"/>
              </w:rPr>
              <w:t>Exclusions</w:t>
            </w:r>
          </w:p>
        </w:tc>
        <w:tc>
          <w:tcPr>
            <w:tcW w:w="8900" w:type="dxa"/>
          </w:tcPr>
          <w:p w14:paraId="4F29BB9D" w14:textId="0171584D"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incident resolution delays caused by: (a) Department-directed pauses in resolution activity; or (b) failures of third-party systems outside the Contractor’s managed boundary, where the Contractor demonstrates with system records that the failure originated outside that boundary. The Contractor is responsible for demonstrating any claimed exclusion.</w:t>
            </w:r>
          </w:p>
        </w:tc>
      </w:tr>
      <w:tr w:rsidR="005562EB" w:rsidRPr="002C7415" w14:paraId="5B97917B" w14:textId="77777777" w:rsidTr="00100B40">
        <w:tc>
          <w:tcPr>
            <w:cnfStyle w:val="001000000000" w:firstRow="0" w:lastRow="0" w:firstColumn="1" w:lastColumn="0" w:oddVBand="0" w:evenVBand="0" w:oddHBand="0" w:evenHBand="0" w:firstRowFirstColumn="0" w:firstRowLastColumn="0" w:lastRowFirstColumn="0" w:lastRowLastColumn="0"/>
            <w:tcW w:w="1886" w:type="dxa"/>
          </w:tcPr>
          <w:p w14:paraId="5AB727B1"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3F7A8D9D"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Severity 3 incident, the Contractor must capture and retain: the incident creation timestamp; the assigned severity; the resolution timestamp; the root cause; and the corrective action. These records are aggregated in the Daily Production Status Report, which identifies any incidents resolved beyond the resolution timeframe, totals service credits accrued, and is made available to the Department on request.</w:t>
            </w:r>
          </w:p>
        </w:tc>
      </w:tr>
      <w:tr w:rsidR="005562EB" w:rsidRPr="002C7415" w14:paraId="72972643" w14:textId="77777777" w:rsidTr="00100B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60B50688" w14:textId="77777777" w:rsidR="005562EB" w:rsidRPr="002C7415" w:rsidRDefault="005562EB" w:rsidP="002413AA">
            <w:pPr>
              <w:rPr>
                <w:rFonts w:cs="Arial"/>
                <w:b w:val="0"/>
                <w:bCs w:val="0"/>
                <w:szCs w:val="20"/>
              </w:rPr>
            </w:pPr>
            <w:r>
              <w:rPr>
                <w:rFonts w:cs="Arial"/>
                <w:szCs w:val="20"/>
              </w:rPr>
              <w:t>AMS Service Credit</w:t>
            </w:r>
          </w:p>
        </w:tc>
        <w:tc>
          <w:tcPr>
            <w:tcW w:w="8900" w:type="dxa"/>
          </w:tcPr>
          <w:p w14:paraId="4246F92E" w14:textId="77777777" w:rsidR="00100B40" w:rsidRDefault="00100B40"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Response (Initial Service Credit):</w:t>
            </w:r>
            <w:r>
              <w:rPr>
                <w:rFonts w:cs="Arial"/>
                <w:szCs w:val="20"/>
              </w:rPr>
              <w:t xml:space="preserve"> Failure to comply with the Incident Response timeframe for Severity 3 results in a service credit of one hundred dollars ($100) per Severity 3 incident not resolved within the resolution timeframe of three (3) calendar days.</w:t>
            </w:r>
          </w:p>
          <w:p w14:paraId="1BC869FF" w14:textId="4EA2A5D9" w:rsidR="005562EB" w:rsidRPr="002C7415" w:rsidRDefault="00100B40"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Response Delay (Additional Service Credit):</w:t>
            </w:r>
            <w:r>
              <w:rPr>
                <w:rFonts w:cs="Arial"/>
                <w:szCs w:val="20"/>
              </w:rPr>
              <w:t xml:space="preserve"> If the incident remains unresolved after three (3) calendar days, an additional one hundred dollars ($100) is applied for each calendar day, or portion thereof, past the original resolution timeframe.</w:t>
            </w:r>
          </w:p>
        </w:tc>
      </w:tr>
      <w:tr w:rsidR="005562EB" w:rsidRPr="002C7415" w14:paraId="62F5DDB1" w14:textId="77777777" w:rsidTr="00100B40">
        <w:tc>
          <w:tcPr>
            <w:cnfStyle w:val="001000000000" w:firstRow="0" w:lastRow="0" w:firstColumn="1" w:lastColumn="0" w:oddVBand="0" w:evenVBand="0" w:oddHBand="0" w:evenHBand="0" w:firstRowFirstColumn="0" w:firstRowLastColumn="0" w:lastRowFirstColumn="0" w:lastRowLastColumn="0"/>
            <w:tcW w:w="1886" w:type="dxa"/>
          </w:tcPr>
          <w:p w14:paraId="2BA3D53F" w14:textId="2B708F77"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297B7735" w14:textId="68959B8C" w:rsidR="005E46BD" w:rsidRDefault="005E46BD"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Delayed Response (Initial Service Credit):</w:t>
            </w:r>
            <w:r>
              <w:rPr>
                <w:rFonts w:cs="Arial"/>
                <w:szCs w:val="20"/>
              </w:rPr>
              <w:t xml:space="preserve"> Failure to comply with the Incident Response timeframe for Severity 3 results in a service credit of one thousand dollars ($1,000) per Severity 3 incident not resolved within the resolution timeframe of three (3) calendar days.</w:t>
            </w:r>
          </w:p>
          <w:p w14:paraId="4738A3EF" w14:textId="70454EAD" w:rsidR="005562EB" w:rsidRPr="002C7415" w:rsidRDefault="005E46BD"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Extended Response Delay (Additional Service Credit):</w:t>
            </w:r>
            <w:r>
              <w:rPr>
                <w:rFonts w:cs="Arial"/>
                <w:szCs w:val="20"/>
              </w:rPr>
              <w:t xml:space="preserve"> If the incident remains unresolved after three (3) calendar days, an additional five hundred dollars ($500) is applied for each calendar day, or portion thereof, past the original resolution timeframe.</w:t>
            </w:r>
          </w:p>
        </w:tc>
      </w:tr>
    </w:tbl>
    <w:p w14:paraId="0D46AF4A" w14:textId="270170CB" w:rsidR="005562EB" w:rsidRPr="002C7415" w:rsidRDefault="005562EB" w:rsidP="00CB1E19">
      <w:pPr>
        <w:pStyle w:val="HeadingSLA"/>
      </w:pPr>
      <w:bookmarkStart w:id="179" w:name="_Toc230258246"/>
      <w:bookmarkStart w:id="180" w:name="_Toc233199209"/>
      <w:r>
        <w:t>Incident Response: Severity 4</w:t>
      </w:r>
      <w:bookmarkEnd w:id="179"/>
      <w:bookmarkEnd w:id="180"/>
    </w:p>
    <w:tbl>
      <w:tblPr>
        <w:tblStyle w:val="DOH-LeftHeader"/>
        <w:tblW w:w="4998" w:type="pct"/>
        <w:tblLayout w:type="fixed"/>
        <w:tblLook w:val="0480" w:firstRow="0" w:lastRow="0" w:firstColumn="1" w:lastColumn="0" w:noHBand="0" w:noVBand="1"/>
      </w:tblPr>
      <w:tblGrid>
        <w:gridCol w:w="1886"/>
        <w:gridCol w:w="8900"/>
      </w:tblGrid>
      <w:tr w:rsidR="005562EB" w:rsidRPr="002C7415" w14:paraId="46563922"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03213835" w14:textId="77777777" w:rsidR="005562EB" w:rsidRPr="002C7415" w:rsidRDefault="005562EB" w:rsidP="002413AA">
            <w:pPr>
              <w:rPr>
                <w:rFonts w:cs="Arial"/>
                <w:b w:val="0"/>
                <w:bCs w:val="0"/>
                <w:szCs w:val="20"/>
              </w:rPr>
            </w:pPr>
            <w:r>
              <w:rPr>
                <w:rFonts w:cs="Arial"/>
                <w:szCs w:val="20"/>
              </w:rPr>
              <w:t>Purpose</w:t>
            </w:r>
          </w:p>
        </w:tc>
        <w:tc>
          <w:tcPr>
            <w:tcW w:w="8900" w:type="dxa"/>
          </w:tcPr>
          <w:p w14:paraId="2C7602CD" w14:textId="50D96AA2"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This SLA is about getting production back to a healthy state after a Severity 4 incident, on a clock that matches the impact. The longer a Severity 4 incident sits unresolved, the larger the cost in worker productivity, member experience, or both. This SLA holds the Contractor accountable to the Department-defined resolution timeframe and adds a per-calendar day penalty for every overrun.</w:t>
            </w:r>
          </w:p>
        </w:tc>
      </w:tr>
      <w:tr w:rsidR="005562EB" w:rsidRPr="002C7415" w14:paraId="398C01B0"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4DAA2D8" w14:textId="77777777" w:rsidR="005562EB" w:rsidRPr="002C7415" w:rsidRDefault="005562EB" w:rsidP="002413AA">
            <w:pPr>
              <w:rPr>
                <w:rFonts w:cs="Arial"/>
                <w:b w:val="0"/>
                <w:bCs w:val="0"/>
                <w:szCs w:val="20"/>
              </w:rPr>
            </w:pPr>
            <w:r>
              <w:rPr>
                <w:rFonts w:cs="Arial"/>
                <w:szCs w:val="20"/>
              </w:rPr>
              <w:t>Specification</w:t>
            </w:r>
          </w:p>
        </w:tc>
        <w:tc>
          <w:tcPr>
            <w:tcW w:w="8900" w:type="dxa"/>
          </w:tcPr>
          <w:p w14:paraId="02A61BFA" w14:textId="10ADED5E"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The Contractor must ensure that all incidents introduced into the production environment, including Severity 4 incidents, are resolved within the resolution timeframe defined for their severity level. Refer to the “Instructions” tab, </w:t>
            </w:r>
            <w:r>
              <w:rPr>
                <w:rFonts w:cs="Arial"/>
                <w:b/>
                <w:bCs/>
                <w:szCs w:val="20"/>
              </w:rPr>
              <w:fldChar w:fldCharType="begin"/>
            </w:r>
            <w:r>
              <w:rPr>
                <w:rFonts w:cs="Arial"/>
                <w:b/>
                <w:bCs/>
                <w:szCs w:val="20"/>
              </w:rPr>
              <w:instrText xml:space="preserve"> REF _Ref233191373 \h  \* MERGEFORMAT </w:instrText>
            </w:r>
            <w:r>
              <w:rPr>
                <w:rFonts w:cs="Arial"/>
                <w:b/>
                <w:bCs/>
                <w:szCs w:val="20"/>
              </w:rPr>
            </w:r>
            <w:r>
              <w:rPr>
                <w:rFonts w:cs="Arial"/>
                <w:b/>
                <w:bCs/>
                <w:szCs w:val="20"/>
              </w:rPr>
              <w:fldChar w:fldCharType="separate"/>
            </w:r>
            <w:r>
              <w:rPr>
                <w:b/>
                <w:bCs/>
              </w:rPr>
              <w:t xml:space="preserve">Table </w:t>
            </w:r>
            <w:r>
              <w:rPr>
                <w:b/>
                <w:bCs/>
                <w:noProof/>
              </w:rPr>
              <w:t>1</w:t>
            </w:r>
            <w:r>
              <w:rPr>
                <w:b/>
                <w:bCs/>
              </w:rPr>
              <w:t xml:space="preserve"> – Converged E&amp;E System and AMS Security, Privacy, and Systems Incident Severity Levels</w:t>
            </w:r>
            <w:r>
              <w:rPr>
                <w:rFonts w:cs="Arial"/>
                <w:b/>
                <w:bCs/>
                <w:szCs w:val="20"/>
              </w:rPr>
              <w:fldChar w:fldCharType="end"/>
            </w:r>
            <w:r>
              <w:rPr>
                <w:rFonts w:cs="Arial"/>
                <w:szCs w:val="20"/>
              </w:rPr>
              <w:t>, for the full severity matrix. The Severity 4 resolution timeframe is six (6) calendar days.</w:t>
            </w:r>
          </w:p>
        </w:tc>
      </w:tr>
      <w:tr w:rsidR="005562EB" w:rsidRPr="002C7415" w14:paraId="4F260917"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4B299BCC" w14:textId="77777777" w:rsidR="005562EB" w:rsidRPr="002C7415" w:rsidRDefault="005562EB" w:rsidP="002413AA">
            <w:pPr>
              <w:rPr>
                <w:rFonts w:cs="Arial"/>
                <w:b w:val="0"/>
                <w:bCs w:val="0"/>
                <w:szCs w:val="20"/>
              </w:rPr>
            </w:pPr>
            <w:r>
              <w:rPr>
                <w:rFonts w:cs="Arial"/>
                <w:szCs w:val="20"/>
              </w:rPr>
              <w:t>Service Level</w:t>
            </w:r>
          </w:p>
        </w:tc>
        <w:tc>
          <w:tcPr>
            <w:tcW w:w="8900" w:type="dxa"/>
          </w:tcPr>
          <w:p w14:paraId="164AD04E"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One hundred percent (100%) of Severity 4 incidents must be resolved within six (6) calendar days of incident creation.</w:t>
            </w:r>
          </w:p>
        </w:tc>
      </w:tr>
      <w:tr w:rsidR="005562EB" w:rsidRPr="002C7415" w14:paraId="657E783F"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1379F83" w14:textId="77777777" w:rsidR="005562EB" w:rsidRPr="002C7415" w:rsidRDefault="005562EB" w:rsidP="002413AA">
            <w:pPr>
              <w:rPr>
                <w:rFonts w:cs="Arial"/>
                <w:b w:val="0"/>
                <w:bCs w:val="0"/>
                <w:szCs w:val="20"/>
              </w:rPr>
            </w:pPr>
            <w:r>
              <w:rPr>
                <w:rFonts w:cs="Arial"/>
                <w:szCs w:val="20"/>
              </w:rPr>
              <w:t>Notes</w:t>
            </w:r>
          </w:p>
        </w:tc>
        <w:tc>
          <w:tcPr>
            <w:tcW w:w="8900" w:type="dxa"/>
          </w:tcPr>
          <w:p w14:paraId="4DEF0422" w14:textId="17E8BC1C"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 xml:space="preserve">Severity levels are defined in </w:t>
            </w:r>
            <w:r>
              <w:rPr>
                <w:rFonts w:cs="Arial"/>
                <w:b/>
                <w:bCs/>
                <w:szCs w:val="20"/>
              </w:rPr>
              <w:fldChar w:fldCharType="begin"/>
            </w:r>
            <w:r>
              <w:rPr>
                <w:rFonts w:cs="Arial"/>
                <w:b/>
                <w:bCs/>
                <w:szCs w:val="20"/>
              </w:rPr>
              <w:instrText xml:space="preserve"> REF _Ref233191373 \h  \* MERGEFORMAT </w:instrText>
            </w:r>
            <w:r>
              <w:rPr>
                <w:rFonts w:cs="Arial"/>
                <w:b/>
                <w:bCs/>
                <w:szCs w:val="20"/>
              </w:rPr>
            </w:r>
            <w:r>
              <w:rPr>
                <w:rFonts w:cs="Arial"/>
                <w:b/>
                <w:bCs/>
                <w:szCs w:val="20"/>
              </w:rPr>
              <w:fldChar w:fldCharType="separate"/>
            </w:r>
            <w:r>
              <w:rPr>
                <w:b/>
                <w:bCs/>
              </w:rPr>
              <w:t xml:space="preserve">Table </w:t>
            </w:r>
            <w:r>
              <w:rPr>
                <w:b/>
                <w:bCs/>
                <w:noProof/>
              </w:rPr>
              <w:t>1</w:t>
            </w:r>
            <w:r>
              <w:rPr>
                <w:b/>
                <w:bCs/>
              </w:rPr>
              <w:t xml:space="preserve"> – Converged E&amp;E System and AMS Security, Privacy, and Systems Incident Severity Levels</w:t>
            </w:r>
            <w:r>
              <w:rPr>
                <w:rFonts w:cs="Arial"/>
                <w:b/>
                <w:bCs/>
                <w:szCs w:val="20"/>
              </w:rPr>
              <w:fldChar w:fldCharType="end"/>
            </w:r>
            <w:r>
              <w:rPr>
                <w:rFonts w:cs="Arial"/>
                <w:szCs w:val="20"/>
              </w:rPr>
              <w:t xml:space="preserve"> The Contractor must maintain incident records in the Department-approved ticketing system with timestamps the Department can independently validate.</w:t>
            </w:r>
          </w:p>
        </w:tc>
      </w:tr>
      <w:tr w:rsidR="005562EB" w:rsidRPr="002C7415" w14:paraId="1ACB4CB3"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3FD803C5" w14:textId="77777777" w:rsidR="005562EB" w:rsidRPr="002C7415" w:rsidRDefault="005562EB" w:rsidP="002413AA">
            <w:pPr>
              <w:rPr>
                <w:rFonts w:cs="Arial"/>
                <w:b w:val="0"/>
                <w:bCs w:val="0"/>
                <w:szCs w:val="20"/>
              </w:rPr>
            </w:pPr>
            <w:r>
              <w:rPr>
                <w:rFonts w:cs="Arial"/>
                <w:szCs w:val="20"/>
              </w:rPr>
              <w:t>Reporting Frequency</w:t>
            </w:r>
          </w:p>
        </w:tc>
        <w:tc>
          <w:tcPr>
            <w:tcW w:w="8900" w:type="dxa"/>
          </w:tcPr>
          <w:p w14:paraId="5D157235" w14:textId="3CFD85BE"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Compliance is evaluated per incident. Incident response compliance is reported to the Department in the Daily Production Status Report. This SLA is in effect after the Transition-In Cutover and continues through the Transition-Out Cutover.</w:t>
            </w:r>
          </w:p>
        </w:tc>
      </w:tr>
      <w:tr w:rsidR="005562EB" w:rsidRPr="002C7415" w14:paraId="0F4EB4F2"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044A22A8" w14:textId="77777777" w:rsidR="005562EB" w:rsidRPr="002C7415" w:rsidRDefault="005562EB" w:rsidP="002413AA">
            <w:pPr>
              <w:rPr>
                <w:rFonts w:cs="Arial"/>
                <w:szCs w:val="20"/>
              </w:rPr>
            </w:pPr>
            <w:r>
              <w:rPr>
                <w:rFonts w:cs="Arial"/>
                <w:szCs w:val="20"/>
              </w:rPr>
              <w:t>SLA Calculations</w:t>
            </w:r>
          </w:p>
        </w:tc>
        <w:tc>
          <w:tcPr>
            <w:tcW w:w="8900" w:type="dxa"/>
          </w:tcPr>
          <w:p w14:paraId="2B204047" w14:textId="55626B77"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Compliance is measured per Severity 4 incident. For each Severity 4 incident, the Contractor records the incident creation timestamp and the resolution timestamp. Each Severity 4 incident not resolved within six (6) calendar days counts as one (1) occurrence, with additional per-calendar day occurrences accruing for every calendar day, or portion thereof, beyond the original resolution timeframe.</w:t>
            </w:r>
          </w:p>
        </w:tc>
      </w:tr>
      <w:tr w:rsidR="005562EB" w:rsidRPr="002C7415" w14:paraId="144A2AD6"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59805086" w14:textId="77777777" w:rsidR="005562EB" w:rsidRPr="002C7415" w:rsidRDefault="005562EB" w:rsidP="002413AA">
            <w:pPr>
              <w:rPr>
                <w:rFonts w:cs="Arial"/>
                <w:b w:val="0"/>
                <w:bCs w:val="0"/>
                <w:szCs w:val="20"/>
              </w:rPr>
            </w:pPr>
            <w:r>
              <w:rPr>
                <w:rFonts w:cs="Arial"/>
                <w:szCs w:val="20"/>
              </w:rPr>
              <w:t>SLA Calculations Definitions</w:t>
            </w:r>
          </w:p>
        </w:tc>
        <w:tc>
          <w:tcPr>
            <w:tcW w:w="8900" w:type="dxa"/>
          </w:tcPr>
          <w:p w14:paraId="2A9E0FC1" w14:textId="7415D0EF"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Severity 4 Incident: </w:t>
            </w:r>
            <w:r>
              <w:rPr>
                <w:rFonts w:cs="Arial"/>
                <w:szCs w:val="20"/>
              </w:rPr>
              <w:t xml:space="preserve">An incident classified at the corresponding severity level per </w:t>
            </w:r>
            <w:r>
              <w:rPr>
                <w:rFonts w:cs="Arial"/>
                <w:b/>
                <w:bCs/>
                <w:szCs w:val="20"/>
              </w:rPr>
              <w:fldChar w:fldCharType="begin"/>
            </w:r>
            <w:r>
              <w:rPr>
                <w:rFonts w:cs="Arial"/>
                <w:b/>
                <w:bCs/>
                <w:szCs w:val="20"/>
              </w:rPr>
              <w:instrText xml:space="preserve"> REF _Ref233191373 \h  \* MERGEFORMAT </w:instrText>
            </w:r>
            <w:r>
              <w:rPr>
                <w:rFonts w:cs="Arial"/>
                <w:b/>
                <w:bCs/>
                <w:szCs w:val="20"/>
              </w:rPr>
            </w:r>
            <w:r>
              <w:rPr>
                <w:rFonts w:cs="Arial"/>
                <w:b/>
                <w:bCs/>
                <w:szCs w:val="20"/>
              </w:rPr>
              <w:fldChar w:fldCharType="separate"/>
            </w:r>
            <w:r>
              <w:rPr>
                <w:b/>
                <w:bCs/>
              </w:rPr>
              <w:t xml:space="preserve">Table </w:t>
            </w:r>
            <w:r>
              <w:rPr>
                <w:b/>
                <w:bCs/>
                <w:noProof/>
              </w:rPr>
              <w:t>1</w:t>
            </w:r>
            <w:r>
              <w:rPr>
                <w:b/>
                <w:bCs/>
              </w:rPr>
              <w:t xml:space="preserve"> – Converged E&amp;E System and AMS Security, Privacy, and Systems Incident Severity Levels</w:t>
            </w:r>
            <w:r>
              <w:rPr>
                <w:rFonts w:cs="Arial"/>
                <w:b/>
                <w:bCs/>
                <w:szCs w:val="20"/>
              </w:rPr>
              <w:fldChar w:fldCharType="end"/>
            </w:r>
            <w:r>
              <w:rPr>
                <w:rFonts w:cs="Arial"/>
                <w:szCs w:val="20"/>
              </w:rPr>
              <w:t>.</w:t>
            </w:r>
          </w:p>
          <w:p w14:paraId="0CCF283F" w14:textId="74553452"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Resolution Timeframe (Severity 4): </w:t>
            </w:r>
            <w:r>
              <w:rPr>
                <w:rFonts w:cs="Arial"/>
                <w:szCs w:val="20"/>
              </w:rPr>
              <w:t>Six (6) calendar days from incident creation, as defined in the severity matrix.</w:t>
            </w:r>
          </w:p>
          <w:p w14:paraId="0247B728"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 xml:space="preserve">Resolution: </w:t>
            </w:r>
            <w:r>
              <w:rPr>
                <w:rFonts w:cs="Arial"/>
                <w:szCs w:val="20"/>
              </w:rPr>
              <w:t>The point at which the incident is restored to operational status and confirmed in the ticketing system, with supporting evidence available to the Department.</w:t>
            </w:r>
          </w:p>
        </w:tc>
      </w:tr>
      <w:tr w:rsidR="005562EB" w:rsidRPr="002C7415" w14:paraId="033D0F23"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7C5A1B26" w14:textId="77777777" w:rsidR="005562EB" w:rsidRPr="002C7415" w:rsidRDefault="005562EB" w:rsidP="002413AA">
            <w:pPr>
              <w:rPr>
                <w:rFonts w:cs="Arial"/>
                <w:b w:val="0"/>
                <w:bCs w:val="0"/>
                <w:szCs w:val="20"/>
              </w:rPr>
            </w:pPr>
            <w:r>
              <w:rPr>
                <w:rFonts w:cs="Arial"/>
                <w:szCs w:val="20"/>
              </w:rPr>
              <w:t>Exclusions</w:t>
            </w:r>
          </w:p>
        </w:tc>
        <w:tc>
          <w:tcPr>
            <w:tcW w:w="8900" w:type="dxa"/>
          </w:tcPr>
          <w:p w14:paraId="27D0759F" w14:textId="0C460FA3" w:rsidR="005562EB" w:rsidRPr="002C7415" w:rsidRDefault="005562EB"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szCs w:val="20"/>
              </w:rPr>
              <w:t>The Contractor is not responsible for incident resolution delays caused by: (a) Department-directed pauses in resolution activity; or (b) failures of third-party systems outside the Contractor’s managed boundary, where the Contractor demonstrates with system records that the failure originated outside that boundary. The Contractor bears the burden of demonstrating any claimed exclusion.</w:t>
            </w:r>
          </w:p>
        </w:tc>
      </w:tr>
      <w:tr w:rsidR="005562EB" w:rsidRPr="002C7415" w14:paraId="6A81F672"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587A51EF" w14:textId="77777777" w:rsidR="005562EB" w:rsidRPr="002C7415" w:rsidRDefault="005562EB" w:rsidP="002413AA">
            <w:pPr>
              <w:rPr>
                <w:rFonts w:cs="Arial"/>
                <w:b w:val="0"/>
                <w:bCs w:val="0"/>
                <w:szCs w:val="20"/>
              </w:rPr>
            </w:pPr>
            <w:r>
              <w:rPr>
                <w:rFonts w:cs="Arial"/>
                <w:szCs w:val="20"/>
              </w:rPr>
              <w:t>Process to Compile and Report SLA</w:t>
            </w:r>
          </w:p>
        </w:tc>
        <w:tc>
          <w:tcPr>
            <w:tcW w:w="8900" w:type="dxa"/>
          </w:tcPr>
          <w:p w14:paraId="67A61BB6" w14:textId="77777777" w:rsidR="005562EB" w:rsidRPr="002C7415" w:rsidRDefault="005562EB"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For each Severity 4 incident, the Contractor must capture and retain: the incident creation timestamp; the assigned severity; the resolution timestamp; the root cause; and the corrective action. These records are aggregated in the Daily Production Status Report, which identifies any incidents resolved beyond the resolution timeframe, totals service credits accrued, and is made available to the Department on request.</w:t>
            </w:r>
          </w:p>
        </w:tc>
      </w:tr>
      <w:tr w:rsidR="005562EB" w:rsidRPr="002C7415" w14:paraId="2724A2AA" w14:textId="77777777" w:rsidTr="000B27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Pr>
          <w:p w14:paraId="16D871BF" w14:textId="77777777" w:rsidR="005562EB" w:rsidRPr="002C7415" w:rsidRDefault="005562EB" w:rsidP="002413AA">
            <w:pPr>
              <w:rPr>
                <w:rFonts w:cs="Arial"/>
                <w:b w:val="0"/>
                <w:bCs w:val="0"/>
                <w:szCs w:val="20"/>
              </w:rPr>
            </w:pPr>
            <w:r>
              <w:rPr>
                <w:rFonts w:cs="Arial"/>
                <w:szCs w:val="20"/>
              </w:rPr>
              <w:t>AMS Service Credit</w:t>
            </w:r>
          </w:p>
        </w:tc>
        <w:tc>
          <w:tcPr>
            <w:tcW w:w="8900" w:type="dxa"/>
          </w:tcPr>
          <w:p w14:paraId="08C4AA79" w14:textId="37A61873" w:rsidR="00100B40" w:rsidRDefault="00100B40"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Delayed Response (Initial Service Credit):</w:t>
            </w:r>
            <w:r>
              <w:rPr>
                <w:rFonts w:cs="Arial"/>
                <w:szCs w:val="20"/>
              </w:rPr>
              <w:t xml:space="preserve"> Failure to comply with the Incident Response timeframe for Severity 4 results in a service credit of one hundred dollars ($100) per Severity 4 incident not resolved within the resolution timeframe of six (6) calendar days.</w:t>
            </w:r>
          </w:p>
          <w:p w14:paraId="0890694F" w14:textId="260EAF89" w:rsidR="005562EB" w:rsidRPr="002C7415" w:rsidRDefault="00100B40" w:rsidP="002413AA">
            <w:pPr>
              <w:cnfStyle w:val="000000010000" w:firstRow="0" w:lastRow="0" w:firstColumn="0" w:lastColumn="0" w:oddVBand="0" w:evenVBand="0" w:oddHBand="0" w:evenHBand="1" w:firstRowFirstColumn="0" w:firstRowLastColumn="0" w:lastRowFirstColumn="0" w:lastRowLastColumn="0"/>
              <w:rPr>
                <w:rFonts w:cs="Arial"/>
                <w:szCs w:val="20"/>
              </w:rPr>
            </w:pPr>
            <w:r>
              <w:rPr>
                <w:rFonts w:cs="Arial"/>
                <w:b/>
                <w:bCs/>
                <w:szCs w:val="20"/>
              </w:rPr>
              <w:t>Extended Response Delay (Additional Service Credits):</w:t>
            </w:r>
            <w:r>
              <w:rPr>
                <w:rFonts w:cs="Arial"/>
                <w:szCs w:val="20"/>
              </w:rPr>
              <w:t xml:space="preserve"> If the incident remains unresolved after six (6) calendar days, an additional one hundred dollars ($100) is applied for each calendar day, or portion thereof, past the original resolution timeframe.</w:t>
            </w:r>
          </w:p>
        </w:tc>
      </w:tr>
      <w:tr w:rsidR="005562EB" w:rsidRPr="002C7415" w14:paraId="1A0E7D9F" w14:textId="77777777" w:rsidTr="000B27A4">
        <w:tc>
          <w:tcPr>
            <w:cnfStyle w:val="001000000000" w:firstRow="0" w:lastRow="0" w:firstColumn="1" w:lastColumn="0" w:oddVBand="0" w:evenVBand="0" w:oddHBand="0" w:evenHBand="0" w:firstRowFirstColumn="0" w:firstRowLastColumn="0" w:lastRowFirstColumn="0" w:lastRowLastColumn="0"/>
            <w:tcW w:w="1886" w:type="dxa"/>
          </w:tcPr>
          <w:p w14:paraId="4381189E" w14:textId="1C70F0B7" w:rsidR="005562EB" w:rsidRPr="002C7415" w:rsidRDefault="00567333" w:rsidP="002413AA">
            <w:pPr>
              <w:rPr>
                <w:rFonts w:cs="Arial"/>
                <w:b w:val="0"/>
                <w:bCs w:val="0"/>
                <w:szCs w:val="20"/>
              </w:rPr>
            </w:pPr>
            <w:r>
              <w:rPr>
                <w:rFonts w:cs="Arial"/>
                <w:szCs w:val="20"/>
              </w:rPr>
              <w:t>Converged E&amp;E System and AMS Service Credit</w:t>
            </w:r>
          </w:p>
        </w:tc>
        <w:tc>
          <w:tcPr>
            <w:tcW w:w="8900" w:type="dxa"/>
          </w:tcPr>
          <w:p w14:paraId="2C6D06F3" w14:textId="3532450B" w:rsidR="00FC7A88" w:rsidRDefault="00FC7A88"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Delayed Response (Initial Service Credit):</w:t>
            </w:r>
            <w:r>
              <w:rPr>
                <w:rFonts w:cs="Arial"/>
                <w:szCs w:val="20"/>
              </w:rPr>
              <w:t xml:space="preserve"> Failure to comply with the Incident Response timeframe for Severity 4 results in a service credit of five hundred dollars ($500) per Severity 4 incident not resolved within the resolution timeframe of six (6) calendar days.</w:t>
            </w:r>
          </w:p>
          <w:p w14:paraId="4A9A3C77" w14:textId="73CB06DE" w:rsidR="005562EB" w:rsidRPr="002C7415" w:rsidRDefault="00FC7A88" w:rsidP="002413AA">
            <w:pPr>
              <w:cnfStyle w:val="000000000000" w:firstRow="0" w:lastRow="0" w:firstColumn="0" w:lastColumn="0" w:oddVBand="0" w:evenVBand="0" w:oddHBand="0" w:evenHBand="0" w:firstRowFirstColumn="0" w:firstRowLastColumn="0" w:lastRowFirstColumn="0" w:lastRowLastColumn="0"/>
              <w:rPr>
                <w:rFonts w:cs="Arial"/>
                <w:szCs w:val="20"/>
              </w:rPr>
            </w:pPr>
            <w:r>
              <w:rPr>
                <w:rFonts w:cs="Arial"/>
                <w:b/>
                <w:bCs/>
                <w:szCs w:val="20"/>
              </w:rPr>
              <w:t>Extended Response Delay (Additional Service Credit):</w:t>
            </w:r>
            <w:r>
              <w:rPr>
                <w:rFonts w:cs="Arial"/>
                <w:szCs w:val="20"/>
              </w:rPr>
              <w:t xml:space="preserve"> If the incident remains unresolved after six (6) calendar days, an additional two hundred fifty dollars ($250) is applied for each calendar day, or portion thereof, past the original resolution timeframe.</w:t>
            </w:r>
          </w:p>
        </w:tc>
      </w:tr>
    </w:tbl>
    <w:p w14:paraId="4CCF0890" w14:textId="77777777" w:rsidR="002827F1" w:rsidRPr="005562EB" w:rsidRDefault="002827F1" w:rsidP="00D64EE2">
      <w:pPr>
        <w:pStyle w:val="HeadingSLA"/>
        <w:numPr>
          <w:ilvl w:val="0"/>
          <w:numId w:val="0"/>
        </w:numPr>
        <w:ind w:left="1152" w:hanging="1152"/>
      </w:pPr>
    </w:p>
    <w:sectPr w:rsidR="002827F1" w:rsidRPr="005562EB" w:rsidSect="00303048">
      <w:headerReference w:type="default" r:id="rId11"/>
      <w:footerReference w:type="default" r:id="rId12"/>
      <w:pgSz w:w="12240" w:h="15840"/>
      <w:pgMar w:top="720" w:right="720" w:bottom="720" w:left="72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C334EF" w14:textId="77777777" w:rsidR="00E332AD" w:rsidRDefault="00E332AD">
      <w:r>
        <w:separator/>
      </w:r>
    </w:p>
  </w:endnote>
  <w:endnote w:type="continuationSeparator" w:id="0">
    <w:p w14:paraId="2D5EF0F3" w14:textId="77777777" w:rsidR="00E332AD" w:rsidRDefault="00E332AD">
      <w:r>
        <w:continuationSeparator/>
      </w:r>
    </w:p>
  </w:endnote>
  <w:endnote w:type="continuationNotice" w:id="1">
    <w:p w14:paraId="12173C97" w14:textId="77777777" w:rsidR="00E332AD" w:rsidRDefault="00E332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Arial"/>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58750480"/>
      <w:docPartObj>
        <w:docPartGallery w:val="Page Numbers (Bottom of Page)"/>
        <w:docPartUnique/>
      </w:docPartObj>
    </w:sdtPr>
    <w:sdtEndPr>
      <w:rPr>
        <w:noProof/>
      </w:rPr>
    </w:sdtEndPr>
    <w:sdtContent>
      <w:p w14:paraId="3AB8A9E1" w14:textId="77777777" w:rsidR="00927ECA" w:rsidRDefault="00BE2CF7" w:rsidP="004839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C648C5" w14:textId="77777777" w:rsidR="00E332AD" w:rsidRDefault="00E332AD" w:rsidP="00BE4C61">
      <w:pPr>
        <w:pStyle w:val="NoSpacing"/>
      </w:pPr>
      <w:r>
        <w:separator/>
      </w:r>
    </w:p>
  </w:footnote>
  <w:footnote w:type="continuationSeparator" w:id="0">
    <w:p w14:paraId="1667F94B" w14:textId="77777777" w:rsidR="00E332AD" w:rsidRDefault="00E332AD" w:rsidP="00BE4C61">
      <w:pPr>
        <w:pStyle w:val="NoSpacing"/>
      </w:pPr>
      <w:r>
        <w:continuationSeparator/>
      </w:r>
    </w:p>
  </w:footnote>
  <w:footnote w:type="continuationNotice" w:id="1">
    <w:p w14:paraId="24DD9A42" w14:textId="77777777" w:rsidR="00E332AD" w:rsidRDefault="00E332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BB81E6" w14:textId="7020BCFE" w:rsidR="00EE08E2" w:rsidRDefault="00EE08E2" w:rsidP="00EE08E2">
    <w:pPr>
      <w:pStyle w:val="Header"/>
      <w:jc w:val="center"/>
    </w:pPr>
    <w:r>
      <w:rPr>
        <w:noProof/>
      </w:rPr>
      <w:drawing>
        <wp:inline distT="0" distB="0" distL="0" distR="0" wp14:anchorId="6C57D8F9" wp14:editId="1B6F3FC9">
          <wp:extent cx="3126105" cy="893445"/>
          <wp:effectExtent l="0" t="0" r="0" b="1905"/>
          <wp:docPr id="525069242"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9242" name="Picture 1" descr="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6105" cy="8934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ED36C67E"/>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A2C4CC68"/>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AEA6A09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ADA873E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051C36D6"/>
    <w:multiLevelType w:val="hybridMultilevel"/>
    <w:tmpl w:val="D99265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0209C"/>
    <w:multiLevelType w:val="hybridMultilevel"/>
    <w:tmpl w:val="0854F88C"/>
    <w:lvl w:ilvl="0" w:tplc="2E168E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9270B6"/>
    <w:multiLevelType w:val="hybridMultilevel"/>
    <w:tmpl w:val="996A0C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9996619"/>
    <w:multiLevelType w:val="hybridMultilevel"/>
    <w:tmpl w:val="00145A54"/>
    <w:lvl w:ilvl="0" w:tplc="04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BA20164"/>
    <w:multiLevelType w:val="hybridMultilevel"/>
    <w:tmpl w:val="65D4E19A"/>
    <w:name w:val="KIDS"/>
    <w:lvl w:ilvl="0" w:tplc="80687C92">
      <w:start w:val="1"/>
      <w:numFmt w:val="bullet"/>
      <w:pStyle w:val="ListBullet"/>
      <w:lvlText w:val="•"/>
      <w:lvlJc w:val="left"/>
      <w:pPr>
        <w:tabs>
          <w:tab w:val="num" w:pos="340"/>
        </w:tabs>
        <w:ind w:left="340" w:hanging="340"/>
      </w:pPr>
      <w:rPr>
        <w:rFonts w:ascii="Arial" w:hAnsi="Aria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EC7DE9"/>
    <w:multiLevelType w:val="hybridMultilevel"/>
    <w:tmpl w:val="4626A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F62036"/>
    <w:multiLevelType w:val="hybridMultilevel"/>
    <w:tmpl w:val="C656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6E21D5"/>
    <w:multiLevelType w:val="hybridMultilevel"/>
    <w:tmpl w:val="4D9E21F4"/>
    <w:lvl w:ilvl="0" w:tplc="FBA816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EF246C"/>
    <w:multiLevelType w:val="hybridMultilevel"/>
    <w:tmpl w:val="62CA4D54"/>
    <w:lvl w:ilvl="0" w:tplc="7C4C07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E14F93"/>
    <w:multiLevelType w:val="multilevel"/>
    <w:tmpl w:val="D10A0A9E"/>
    <w:styleLink w:val="NumberedHeadings"/>
    <w:lvl w:ilvl="0">
      <w:start w:val="1"/>
      <w:numFmt w:val="decimal"/>
      <w:pStyle w:val="Heading1"/>
      <w:lvlText w:val="%1.0"/>
      <w:lvlJc w:val="left"/>
      <w:pPr>
        <w:ind w:left="1152" w:hanging="1152"/>
      </w:pPr>
      <w:rPr>
        <w:rFonts w:ascii="Arial" w:hAnsi="Arial" w:hint="default"/>
        <w:b/>
        <w:i w:val="0"/>
        <w:color w:val="auto"/>
      </w:rPr>
    </w:lvl>
    <w:lvl w:ilvl="1">
      <w:start w:val="1"/>
      <w:numFmt w:val="decimal"/>
      <w:pStyle w:val="Heading2"/>
      <w:lvlText w:val="%1.%2"/>
      <w:lvlJc w:val="left"/>
      <w:pPr>
        <w:ind w:left="1152" w:hanging="1152"/>
      </w:pPr>
      <w:rPr>
        <w:rFonts w:ascii="Arial" w:hAnsi="Arial" w:hint="default"/>
        <w:b/>
        <w:bCs/>
        <w:i w:val="0"/>
        <w:iCs w:val="0"/>
        <w:color w:val="auto"/>
      </w:rPr>
    </w:lvl>
    <w:lvl w:ilvl="2">
      <w:start w:val="1"/>
      <w:numFmt w:val="decimal"/>
      <w:pStyle w:val="Heading3"/>
      <w:lvlText w:val="%1.%2.%3"/>
      <w:lvlJc w:val="left"/>
      <w:pPr>
        <w:ind w:left="1152" w:hanging="1152"/>
      </w:pPr>
      <w:rPr>
        <w:rFonts w:ascii="Arial" w:hAnsi="Arial" w:hint="default"/>
        <w:b/>
        <w:i w:val="0"/>
      </w:rPr>
    </w:lvl>
    <w:lvl w:ilvl="3">
      <w:start w:val="1"/>
      <w:numFmt w:val="decimal"/>
      <w:pStyle w:val="Heading4"/>
      <w:lvlText w:val="%1.%2.%3.%4"/>
      <w:lvlJc w:val="left"/>
      <w:pPr>
        <w:ind w:left="1440" w:hanging="1440"/>
      </w:pPr>
      <w:rPr>
        <w:rFonts w:ascii="Arial" w:hAnsi="Arial" w:hint="default"/>
        <w:b/>
        <w:i/>
      </w:rPr>
    </w:lvl>
    <w:lvl w:ilvl="4">
      <w:start w:val="1"/>
      <w:numFmt w:val="upperLetter"/>
      <w:pStyle w:val="Heading5"/>
      <w:suff w:val="space"/>
      <w:lvlText w:val="%5."/>
      <w:lvlJc w:val="left"/>
      <w:pPr>
        <w:ind w:left="360" w:hanging="360"/>
      </w:pPr>
      <w:rPr>
        <w:rFonts w:ascii="Arial" w:hAnsi="Arial" w:hint="default"/>
      </w:rPr>
    </w:lvl>
    <w:lvl w:ilvl="5">
      <w:start w:val="1"/>
      <w:numFmt w:val="none"/>
      <w:pStyle w:val="Heading6"/>
      <w:lvlText w:val=""/>
      <w:lvlJc w:val="left"/>
      <w:pPr>
        <w:ind w:left="0" w:firstLine="0"/>
      </w:pPr>
      <w:rPr>
        <w:rFonts w:hint="default"/>
      </w:rPr>
    </w:lvl>
    <w:lvl w:ilvl="6">
      <w:start w:val="1"/>
      <w:numFmt w:val="none"/>
      <w:pStyle w:val="Heading7"/>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4" w15:restartNumberingAfterBreak="0">
    <w:nsid w:val="19004F15"/>
    <w:multiLevelType w:val="hybridMultilevel"/>
    <w:tmpl w:val="22962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E7F28E9"/>
    <w:multiLevelType w:val="multilevel"/>
    <w:tmpl w:val="C02CD0CE"/>
    <w:styleLink w:val="TableNumbers"/>
    <w:lvl w:ilvl="0">
      <w:start w:val="1"/>
      <w:numFmt w:val="decimal"/>
      <w:pStyle w:val="TableNumber"/>
      <w:lvlText w:val="%1."/>
      <w:lvlJc w:val="left"/>
      <w:pPr>
        <w:ind w:left="216" w:hanging="216"/>
      </w:pPr>
      <w:rPr>
        <w:rFonts w:hint="default"/>
        <w:color w:val="auto"/>
      </w:rPr>
    </w:lvl>
    <w:lvl w:ilvl="1">
      <w:start w:val="1"/>
      <w:numFmt w:val="lowerLetter"/>
      <w:pStyle w:val="TableNumber2"/>
      <w:lvlText w:val="%2."/>
      <w:lvlJc w:val="left"/>
      <w:pPr>
        <w:ind w:left="432" w:hanging="216"/>
      </w:pPr>
      <w:rPr>
        <w:rFonts w:hint="default"/>
        <w:color w:val="auto"/>
      </w:rPr>
    </w:lvl>
    <w:lvl w:ilvl="2">
      <w:start w:val="1"/>
      <w:numFmt w:val="lowerRoman"/>
      <w:pStyle w:val="TableNumber3"/>
      <w:lvlText w:val="%3."/>
      <w:lvlJc w:val="left"/>
      <w:pPr>
        <w:ind w:left="864" w:hanging="432"/>
      </w:pPr>
      <w:rPr>
        <w:rFonts w:hint="default"/>
        <w:color w:val="auto"/>
      </w:rPr>
    </w:lvl>
    <w:lvl w:ilvl="3">
      <w:start w:val="1"/>
      <w:numFmt w:val="decimal"/>
      <w:pStyle w:val="TableNumber4"/>
      <w:lvlText w:val="%4."/>
      <w:lvlJc w:val="left"/>
      <w:pPr>
        <w:ind w:left="864" w:hanging="216"/>
      </w:pPr>
      <w:rPr>
        <w:rFonts w:hint="default"/>
        <w:color w:val="auto"/>
      </w:rPr>
    </w:lvl>
    <w:lvl w:ilvl="4">
      <w:start w:val="1"/>
      <w:numFmt w:val="lowerLetter"/>
      <w:pStyle w:val="TableNumber5"/>
      <w:lvlText w:val="%5."/>
      <w:lvlJc w:val="left"/>
      <w:pPr>
        <w:ind w:left="1080" w:hanging="216"/>
      </w:pPr>
      <w:rPr>
        <w:rFonts w:hint="default"/>
        <w:color w:val="auto"/>
      </w:rPr>
    </w:lvl>
    <w:lvl w:ilvl="5">
      <w:start w:val="1"/>
      <w:numFmt w:val="none"/>
      <w:lvlText w:val=""/>
      <w:lvlJc w:val="left"/>
      <w:pPr>
        <w:ind w:left="1296" w:hanging="216"/>
      </w:pPr>
      <w:rPr>
        <w:rFonts w:hint="default"/>
        <w:color w:val="auto"/>
      </w:rPr>
    </w:lvl>
    <w:lvl w:ilvl="6">
      <w:start w:val="1"/>
      <w:numFmt w:val="none"/>
      <w:lvlText w:val=""/>
      <w:lvlJc w:val="left"/>
      <w:pPr>
        <w:ind w:left="1512" w:hanging="216"/>
      </w:pPr>
      <w:rPr>
        <w:rFonts w:hint="default"/>
        <w:color w:val="auto"/>
      </w:rPr>
    </w:lvl>
    <w:lvl w:ilvl="7">
      <w:start w:val="1"/>
      <w:numFmt w:val="none"/>
      <w:lvlText w:val=""/>
      <w:lvlJc w:val="left"/>
      <w:pPr>
        <w:ind w:left="1728" w:hanging="216"/>
      </w:pPr>
      <w:rPr>
        <w:rFonts w:hint="default"/>
        <w:color w:val="auto"/>
      </w:rPr>
    </w:lvl>
    <w:lvl w:ilvl="8">
      <w:start w:val="1"/>
      <w:numFmt w:val="none"/>
      <w:lvlText w:val=""/>
      <w:lvlJc w:val="left"/>
      <w:pPr>
        <w:ind w:left="1944" w:hanging="216"/>
      </w:pPr>
      <w:rPr>
        <w:rFonts w:hint="default"/>
        <w:color w:val="auto"/>
      </w:rPr>
    </w:lvl>
  </w:abstractNum>
  <w:abstractNum w:abstractNumId="16" w15:restartNumberingAfterBreak="0">
    <w:nsid w:val="1F1E0C65"/>
    <w:multiLevelType w:val="hybridMultilevel"/>
    <w:tmpl w:val="6862EF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E2B63DE"/>
    <w:multiLevelType w:val="multilevel"/>
    <w:tmpl w:val="42D657B2"/>
    <w:styleLink w:val="TableBullets"/>
    <w:lvl w:ilvl="0">
      <w:start w:val="1"/>
      <w:numFmt w:val="bullet"/>
      <w:pStyle w:val="TableBullet"/>
      <w:lvlText w:val=""/>
      <w:lvlJc w:val="left"/>
      <w:pPr>
        <w:ind w:left="432" w:hanging="216"/>
      </w:pPr>
      <w:rPr>
        <w:rFonts w:ascii="Symbol" w:hAnsi="Symbol" w:hint="default"/>
        <w:color w:val="auto"/>
      </w:rPr>
    </w:lvl>
    <w:lvl w:ilvl="1">
      <w:start w:val="1"/>
      <w:numFmt w:val="bullet"/>
      <w:pStyle w:val="TableBullet2"/>
      <w:lvlText w:val=""/>
      <w:lvlJc w:val="left"/>
      <w:pPr>
        <w:ind w:left="648" w:hanging="216"/>
      </w:pPr>
      <w:rPr>
        <w:rFonts w:ascii="Symbol" w:hAnsi="Symbol" w:hint="default"/>
        <w:color w:val="auto"/>
      </w:rPr>
    </w:lvl>
    <w:lvl w:ilvl="2">
      <w:start w:val="1"/>
      <w:numFmt w:val="bullet"/>
      <w:pStyle w:val="TableBullet3"/>
      <w:lvlText w:val=""/>
      <w:lvlJc w:val="left"/>
      <w:pPr>
        <w:ind w:left="864" w:hanging="216"/>
      </w:pPr>
      <w:rPr>
        <w:rFonts w:ascii="Symbol" w:hAnsi="Symbol" w:hint="default"/>
        <w:color w:val="auto"/>
      </w:rPr>
    </w:lvl>
    <w:lvl w:ilvl="3">
      <w:start w:val="1"/>
      <w:numFmt w:val="bullet"/>
      <w:pStyle w:val="TableBullet4"/>
      <w:lvlText w:val=""/>
      <w:lvlJc w:val="left"/>
      <w:pPr>
        <w:ind w:left="1080" w:hanging="216"/>
      </w:pPr>
      <w:rPr>
        <w:rFonts w:ascii="Symbol" w:hAnsi="Symbol" w:hint="default"/>
        <w:color w:val="auto"/>
      </w:rPr>
    </w:lvl>
    <w:lvl w:ilvl="4">
      <w:start w:val="1"/>
      <w:numFmt w:val="bullet"/>
      <w:pStyle w:val="TableBullet5"/>
      <w:lvlText w:val=""/>
      <w:lvlJc w:val="left"/>
      <w:pPr>
        <w:ind w:left="1296" w:hanging="216"/>
      </w:pPr>
      <w:rPr>
        <w:rFonts w:ascii="Symbol" w:hAnsi="Symbol" w:hint="default"/>
        <w:color w:val="auto"/>
      </w:rPr>
    </w:lvl>
    <w:lvl w:ilvl="5">
      <w:start w:val="1"/>
      <w:numFmt w:val="none"/>
      <w:lvlText w:val=""/>
      <w:lvlJc w:val="left"/>
      <w:pPr>
        <w:ind w:left="1512" w:hanging="216"/>
      </w:pPr>
      <w:rPr>
        <w:rFonts w:hint="default"/>
        <w:color w:val="auto"/>
      </w:rPr>
    </w:lvl>
    <w:lvl w:ilvl="6">
      <w:start w:val="1"/>
      <w:numFmt w:val="none"/>
      <w:lvlText w:val="%7"/>
      <w:lvlJc w:val="left"/>
      <w:pPr>
        <w:ind w:left="1728" w:hanging="216"/>
      </w:pPr>
      <w:rPr>
        <w:rFonts w:hint="default"/>
        <w:color w:val="auto"/>
      </w:rPr>
    </w:lvl>
    <w:lvl w:ilvl="7">
      <w:start w:val="1"/>
      <w:numFmt w:val="none"/>
      <w:lvlText w:val="%8"/>
      <w:lvlJc w:val="left"/>
      <w:pPr>
        <w:ind w:left="1944" w:hanging="216"/>
      </w:pPr>
      <w:rPr>
        <w:rFonts w:hint="default"/>
        <w:color w:val="auto"/>
      </w:rPr>
    </w:lvl>
    <w:lvl w:ilvl="8">
      <w:start w:val="1"/>
      <w:numFmt w:val="none"/>
      <w:lvlText w:val="%9"/>
      <w:lvlJc w:val="left"/>
      <w:pPr>
        <w:ind w:left="2160" w:hanging="216"/>
      </w:pPr>
      <w:rPr>
        <w:rFonts w:hint="default"/>
        <w:color w:val="auto"/>
      </w:rPr>
    </w:lvl>
  </w:abstractNum>
  <w:abstractNum w:abstractNumId="18" w15:restartNumberingAfterBreak="0">
    <w:nsid w:val="318FBD3D"/>
    <w:multiLevelType w:val="multilevel"/>
    <w:tmpl w:val="39E6B500"/>
    <w:styleLink w:val="RFPStyle"/>
    <w:lvl w:ilvl="0">
      <w:start w:val="1"/>
      <w:numFmt w:val="upperRoman"/>
      <w:lvlText w:val="%1.  "/>
      <w:lvlJc w:val="left"/>
      <w:pPr>
        <w:tabs>
          <w:tab w:val="num" w:pos="360"/>
        </w:tabs>
        <w:ind w:left="1152" w:hanging="1152"/>
      </w:pPr>
      <w:rPr>
        <w:rFonts w:ascii="Arial" w:hAnsi="Arial" w:hint="default"/>
        <w:b/>
        <w:i w:val="0"/>
        <w:sz w:val="24"/>
        <w:szCs w:val="24"/>
      </w:rPr>
    </w:lvl>
    <w:lvl w:ilvl="1">
      <w:start w:val="1"/>
      <w:numFmt w:val="upperLetter"/>
      <w:lvlText w:val="%2.  "/>
      <w:lvlJc w:val="left"/>
      <w:pPr>
        <w:tabs>
          <w:tab w:val="num" w:pos="720"/>
        </w:tabs>
        <w:ind w:left="2160" w:hanging="1800"/>
      </w:pPr>
      <w:rPr>
        <w:rFonts w:ascii="Arial" w:hAnsi="Arial" w:hint="default"/>
        <w:b/>
        <w:i w:val="0"/>
        <w:sz w:val="24"/>
        <w:szCs w:val="24"/>
      </w:rPr>
    </w:lvl>
    <w:lvl w:ilvl="2">
      <w:start w:val="1"/>
      <w:numFmt w:val="decimal"/>
      <w:lvlText w:val="%3.  "/>
      <w:lvlJc w:val="left"/>
      <w:pPr>
        <w:tabs>
          <w:tab w:val="num" w:pos="1080"/>
        </w:tabs>
        <w:ind w:left="2160" w:hanging="1440"/>
      </w:pPr>
      <w:rPr>
        <w:rFonts w:ascii="Arial" w:hAnsi="Arial" w:hint="default"/>
        <w:b w:val="0"/>
        <w:i w:val="0"/>
        <w:sz w:val="24"/>
        <w:szCs w:val="24"/>
      </w:rPr>
    </w:lvl>
    <w:lvl w:ilvl="3">
      <w:start w:val="1"/>
      <w:numFmt w:val="lowerLetter"/>
      <w:lvlText w:val="(%4)"/>
      <w:lvlJc w:val="left"/>
      <w:pPr>
        <w:tabs>
          <w:tab w:val="num" w:pos="1440"/>
        </w:tabs>
        <w:ind w:left="2520" w:hanging="1440"/>
      </w:pPr>
      <w:rPr>
        <w:rFonts w:ascii="Arial" w:hAnsi="Arial" w:hint="default"/>
        <w:b w:val="0"/>
        <w:i w:val="0"/>
        <w:sz w:val="24"/>
        <w:szCs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3767F6D"/>
    <w:multiLevelType w:val="hybridMultilevel"/>
    <w:tmpl w:val="ECCCDF8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93324BD"/>
    <w:multiLevelType w:val="multilevel"/>
    <w:tmpl w:val="88C8F07A"/>
    <w:numStyleLink w:val="ListNumbers"/>
  </w:abstractNum>
  <w:abstractNum w:abstractNumId="21" w15:restartNumberingAfterBreak="0">
    <w:nsid w:val="39D43D5E"/>
    <w:multiLevelType w:val="hybridMultilevel"/>
    <w:tmpl w:val="E61A31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DCF7C01"/>
    <w:multiLevelType w:val="multilevel"/>
    <w:tmpl w:val="F03A7760"/>
    <w:lvl w:ilvl="0">
      <w:start w:val="1"/>
      <w:numFmt w:val="bullet"/>
      <w:lvlText w:val=""/>
      <w:lvlJc w:val="left"/>
      <w:pPr>
        <w:ind w:left="936" w:hanging="216"/>
      </w:pPr>
      <w:rPr>
        <w:rFonts w:ascii="Symbol" w:hAnsi="Symbol" w:hint="default"/>
        <w:color w:val="auto"/>
      </w:rPr>
    </w:lvl>
    <w:lvl w:ilvl="1">
      <w:start w:val="1"/>
      <w:numFmt w:val="lowerLetter"/>
      <w:lvlText w:val="%2."/>
      <w:lvlJc w:val="left"/>
      <w:pPr>
        <w:ind w:left="1152" w:hanging="216"/>
      </w:pPr>
      <w:rPr>
        <w:rFonts w:hint="default"/>
        <w:color w:val="auto"/>
      </w:rPr>
    </w:lvl>
    <w:lvl w:ilvl="2">
      <w:start w:val="1"/>
      <w:numFmt w:val="lowerRoman"/>
      <w:lvlText w:val="%3."/>
      <w:lvlJc w:val="left"/>
      <w:pPr>
        <w:ind w:left="1584" w:hanging="432"/>
      </w:pPr>
      <w:rPr>
        <w:rFonts w:hint="default"/>
        <w:color w:val="auto"/>
      </w:rPr>
    </w:lvl>
    <w:lvl w:ilvl="3">
      <w:start w:val="1"/>
      <w:numFmt w:val="decimal"/>
      <w:lvlText w:val="%4."/>
      <w:lvlJc w:val="left"/>
      <w:pPr>
        <w:ind w:left="1584" w:hanging="216"/>
      </w:pPr>
      <w:rPr>
        <w:rFonts w:hint="default"/>
        <w:color w:val="auto"/>
      </w:rPr>
    </w:lvl>
    <w:lvl w:ilvl="4">
      <w:start w:val="1"/>
      <w:numFmt w:val="lowerLetter"/>
      <w:lvlText w:val="%5."/>
      <w:lvlJc w:val="left"/>
      <w:pPr>
        <w:ind w:left="1800" w:hanging="216"/>
      </w:pPr>
      <w:rPr>
        <w:rFonts w:hint="default"/>
        <w:color w:val="auto"/>
      </w:rPr>
    </w:lvl>
    <w:lvl w:ilvl="5">
      <w:start w:val="1"/>
      <w:numFmt w:val="none"/>
      <w:lvlText w:val=""/>
      <w:lvlJc w:val="left"/>
      <w:pPr>
        <w:ind w:left="2016" w:hanging="216"/>
      </w:pPr>
      <w:rPr>
        <w:rFonts w:hint="default"/>
        <w:color w:val="auto"/>
      </w:rPr>
    </w:lvl>
    <w:lvl w:ilvl="6">
      <w:start w:val="1"/>
      <w:numFmt w:val="none"/>
      <w:lvlText w:val=""/>
      <w:lvlJc w:val="left"/>
      <w:pPr>
        <w:ind w:left="2232" w:hanging="216"/>
      </w:pPr>
      <w:rPr>
        <w:rFonts w:hint="default"/>
        <w:color w:val="auto"/>
      </w:rPr>
    </w:lvl>
    <w:lvl w:ilvl="7">
      <w:start w:val="1"/>
      <w:numFmt w:val="none"/>
      <w:lvlText w:val=""/>
      <w:lvlJc w:val="left"/>
      <w:pPr>
        <w:ind w:left="2448" w:hanging="216"/>
      </w:pPr>
      <w:rPr>
        <w:rFonts w:hint="default"/>
        <w:color w:val="auto"/>
      </w:rPr>
    </w:lvl>
    <w:lvl w:ilvl="8">
      <w:start w:val="1"/>
      <w:numFmt w:val="none"/>
      <w:lvlText w:val=""/>
      <w:lvlJc w:val="left"/>
      <w:pPr>
        <w:ind w:left="2664" w:hanging="216"/>
      </w:pPr>
      <w:rPr>
        <w:rFonts w:hint="default"/>
        <w:color w:val="auto"/>
      </w:rPr>
    </w:lvl>
  </w:abstractNum>
  <w:abstractNum w:abstractNumId="23" w15:restartNumberingAfterBreak="0">
    <w:nsid w:val="42267355"/>
    <w:multiLevelType w:val="hybridMultilevel"/>
    <w:tmpl w:val="86865294"/>
    <w:lvl w:ilvl="0" w:tplc="0B7C0C52">
      <w:start w:val="1"/>
      <w:numFmt w:val="decimal"/>
      <w:pStyle w:val="HeadingSLA"/>
      <w:lvlText w:val="SLA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7609C3"/>
    <w:multiLevelType w:val="multilevel"/>
    <w:tmpl w:val="88C8F07A"/>
    <w:styleLink w:val="ListNumbers"/>
    <w:lvl w:ilvl="0">
      <w:start w:val="1"/>
      <w:numFmt w:val="decimal"/>
      <w:pStyle w:val="Number1"/>
      <w:lvlText w:val="%1."/>
      <w:lvlJc w:val="left"/>
      <w:pPr>
        <w:ind w:left="720" w:hanging="360"/>
      </w:pPr>
      <w:rPr>
        <w:rFonts w:hint="default"/>
        <w:color w:val="auto"/>
      </w:rPr>
    </w:lvl>
    <w:lvl w:ilvl="1">
      <w:start w:val="1"/>
      <w:numFmt w:val="lowerLetter"/>
      <w:pStyle w:val="Number2"/>
      <w:lvlText w:val="%2."/>
      <w:lvlJc w:val="left"/>
      <w:pPr>
        <w:ind w:left="1080" w:hanging="360"/>
      </w:pPr>
      <w:rPr>
        <w:rFonts w:hint="default"/>
        <w:caps w:val="0"/>
        <w:color w:val="auto"/>
      </w:rPr>
    </w:lvl>
    <w:lvl w:ilvl="2">
      <w:start w:val="1"/>
      <w:numFmt w:val="lowerRoman"/>
      <w:pStyle w:val="Number3"/>
      <w:lvlText w:val="%3."/>
      <w:lvlJc w:val="left"/>
      <w:pPr>
        <w:tabs>
          <w:tab w:val="num" w:pos="1152"/>
        </w:tabs>
        <w:ind w:left="1440" w:hanging="360"/>
      </w:pPr>
      <w:rPr>
        <w:rFonts w:hint="default"/>
        <w:caps w:val="0"/>
        <w:color w:val="auto"/>
      </w:rPr>
    </w:lvl>
    <w:lvl w:ilvl="3">
      <w:start w:val="1"/>
      <w:numFmt w:val="decimal"/>
      <w:pStyle w:val="Number4"/>
      <w:lvlText w:val="%4."/>
      <w:lvlJc w:val="left"/>
      <w:pPr>
        <w:ind w:left="1800" w:hanging="360"/>
      </w:pPr>
      <w:rPr>
        <w:rFonts w:hint="default"/>
        <w:color w:val="auto"/>
      </w:rPr>
    </w:lvl>
    <w:lvl w:ilvl="4">
      <w:start w:val="1"/>
      <w:numFmt w:val="lowerLetter"/>
      <w:pStyle w:val="Number5"/>
      <w:lvlText w:val="%5."/>
      <w:lvlJc w:val="left"/>
      <w:pPr>
        <w:ind w:left="2160" w:hanging="360"/>
      </w:pPr>
      <w:rPr>
        <w:rFonts w:hint="default"/>
        <w:color w:val="auto"/>
      </w:rPr>
    </w:lvl>
    <w:lvl w:ilvl="5">
      <w:start w:val="1"/>
      <w:numFmt w:val="none"/>
      <w:lvlText w:val=""/>
      <w:lvlJc w:val="left"/>
      <w:pPr>
        <w:ind w:left="2520" w:hanging="360"/>
      </w:pPr>
      <w:rPr>
        <w:rFonts w:hint="default"/>
        <w:color w:val="auto"/>
      </w:rPr>
    </w:lvl>
    <w:lvl w:ilvl="6">
      <w:start w:val="1"/>
      <w:numFmt w:val="none"/>
      <w:lvlText w:val=""/>
      <w:lvlJc w:val="left"/>
      <w:pPr>
        <w:ind w:left="2880" w:hanging="360"/>
      </w:pPr>
      <w:rPr>
        <w:rFonts w:hint="default"/>
        <w:color w:val="auto"/>
      </w:rPr>
    </w:lvl>
    <w:lvl w:ilvl="7">
      <w:start w:val="1"/>
      <w:numFmt w:val="none"/>
      <w:lvlText w:val=""/>
      <w:lvlJc w:val="left"/>
      <w:pPr>
        <w:tabs>
          <w:tab w:val="num" w:pos="2952"/>
        </w:tabs>
        <w:ind w:left="3240" w:hanging="360"/>
      </w:pPr>
      <w:rPr>
        <w:rFonts w:hint="default"/>
        <w:color w:val="auto"/>
      </w:rPr>
    </w:lvl>
    <w:lvl w:ilvl="8">
      <w:start w:val="1"/>
      <w:numFmt w:val="none"/>
      <w:lvlText w:val=""/>
      <w:lvlJc w:val="left"/>
      <w:pPr>
        <w:ind w:left="3600" w:hanging="360"/>
      </w:pPr>
      <w:rPr>
        <w:rFonts w:hint="default"/>
        <w:color w:val="auto"/>
      </w:rPr>
    </w:lvl>
  </w:abstractNum>
  <w:abstractNum w:abstractNumId="25" w15:restartNumberingAfterBreak="0">
    <w:nsid w:val="52816DB1"/>
    <w:multiLevelType w:val="hybridMultilevel"/>
    <w:tmpl w:val="D3AAC2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2F29D4"/>
    <w:multiLevelType w:val="hybridMultilevel"/>
    <w:tmpl w:val="DEBEC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721AEB"/>
    <w:multiLevelType w:val="hybridMultilevel"/>
    <w:tmpl w:val="E488D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EE2E5B"/>
    <w:multiLevelType w:val="hybridMultilevel"/>
    <w:tmpl w:val="1B341F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A4050B"/>
    <w:multiLevelType w:val="multilevel"/>
    <w:tmpl w:val="8AD6BD76"/>
    <w:styleLink w:val="ListBullets"/>
    <w:lvl w:ilvl="0">
      <w:start w:val="1"/>
      <w:numFmt w:val="bullet"/>
      <w:pStyle w:val="Bullet1"/>
      <w:lvlText w:val=""/>
      <w:lvlJc w:val="left"/>
      <w:pPr>
        <w:ind w:left="720" w:hanging="360"/>
      </w:pPr>
      <w:rPr>
        <w:rFonts w:ascii="Symbol" w:hAnsi="Symbol" w:hint="default"/>
        <w:color w:val="auto"/>
      </w:rPr>
    </w:lvl>
    <w:lvl w:ilvl="1">
      <w:start w:val="1"/>
      <w:numFmt w:val="bullet"/>
      <w:pStyle w:val="Bullet2"/>
      <w:lvlText w:val=""/>
      <w:lvlJc w:val="left"/>
      <w:pPr>
        <w:ind w:left="1080" w:hanging="360"/>
      </w:pPr>
      <w:rPr>
        <w:rFonts w:ascii="Symbol" w:hAnsi="Symbol" w:hint="default"/>
        <w:color w:val="auto"/>
      </w:rPr>
    </w:lvl>
    <w:lvl w:ilvl="2">
      <w:start w:val="1"/>
      <w:numFmt w:val="bullet"/>
      <w:pStyle w:val="Bullet3"/>
      <w:lvlText w:val=""/>
      <w:lvlJc w:val="left"/>
      <w:pPr>
        <w:ind w:left="1440" w:hanging="360"/>
      </w:pPr>
      <w:rPr>
        <w:rFonts w:ascii="Symbol" w:hAnsi="Symbol" w:hint="default"/>
        <w:color w:val="auto"/>
      </w:rPr>
    </w:lvl>
    <w:lvl w:ilvl="3">
      <w:start w:val="1"/>
      <w:numFmt w:val="bullet"/>
      <w:pStyle w:val="Bullet4"/>
      <w:lvlText w:val=""/>
      <w:lvlJc w:val="left"/>
      <w:pPr>
        <w:ind w:left="1800" w:hanging="360"/>
      </w:pPr>
      <w:rPr>
        <w:rFonts w:ascii="Symbol" w:hAnsi="Symbol" w:hint="default"/>
        <w:color w:val="auto"/>
      </w:rPr>
    </w:lvl>
    <w:lvl w:ilvl="4">
      <w:start w:val="1"/>
      <w:numFmt w:val="bullet"/>
      <w:pStyle w:val="Bullet5"/>
      <w:lvlText w:val=""/>
      <w:lvlJc w:val="left"/>
      <w:pPr>
        <w:ind w:left="2160" w:hanging="360"/>
      </w:pPr>
      <w:rPr>
        <w:rFonts w:ascii="Symbol" w:hAnsi="Symbol" w:hint="default"/>
        <w:color w:val="auto"/>
      </w:rPr>
    </w:lvl>
    <w:lvl w:ilvl="5">
      <w:start w:val="1"/>
      <w:numFmt w:val="none"/>
      <w:lvlText w:val=""/>
      <w:lvlJc w:val="left"/>
      <w:pPr>
        <w:ind w:left="2520" w:hanging="360"/>
      </w:pPr>
      <w:rPr>
        <w:rFonts w:hint="default"/>
        <w:color w:val="auto"/>
      </w:rPr>
    </w:lvl>
    <w:lvl w:ilvl="6">
      <w:start w:val="1"/>
      <w:numFmt w:val="none"/>
      <w:lvlText w:val=""/>
      <w:lvlJc w:val="left"/>
      <w:pPr>
        <w:ind w:left="2880" w:hanging="360"/>
      </w:pPr>
      <w:rPr>
        <w:rFonts w:hint="default"/>
        <w:color w:val="auto"/>
      </w:rPr>
    </w:lvl>
    <w:lvl w:ilvl="7">
      <w:start w:val="1"/>
      <w:numFmt w:val="none"/>
      <w:lvlText w:val=""/>
      <w:lvlJc w:val="left"/>
      <w:pPr>
        <w:ind w:left="3240" w:hanging="360"/>
      </w:pPr>
      <w:rPr>
        <w:rFonts w:hint="default"/>
        <w:color w:val="auto"/>
      </w:rPr>
    </w:lvl>
    <w:lvl w:ilvl="8">
      <w:start w:val="1"/>
      <w:numFmt w:val="none"/>
      <w:lvlText w:val=""/>
      <w:lvlJc w:val="left"/>
      <w:pPr>
        <w:ind w:left="3600" w:hanging="360"/>
      </w:pPr>
      <w:rPr>
        <w:rFonts w:hint="default"/>
        <w:color w:val="auto"/>
      </w:rPr>
    </w:lvl>
  </w:abstractNum>
  <w:abstractNum w:abstractNumId="30" w15:restartNumberingAfterBreak="0">
    <w:nsid w:val="7AF60C60"/>
    <w:multiLevelType w:val="hybridMultilevel"/>
    <w:tmpl w:val="C3F64F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B2A4954"/>
    <w:multiLevelType w:val="hybridMultilevel"/>
    <w:tmpl w:val="E1B2E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3896273">
    <w:abstractNumId w:val="3"/>
  </w:num>
  <w:num w:numId="2" w16cid:durableId="1848786793">
    <w:abstractNumId w:val="2"/>
  </w:num>
  <w:num w:numId="3" w16cid:durableId="2001156898">
    <w:abstractNumId w:val="1"/>
  </w:num>
  <w:num w:numId="4" w16cid:durableId="1186627505">
    <w:abstractNumId w:val="0"/>
  </w:num>
  <w:num w:numId="5" w16cid:durableId="394278923">
    <w:abstractNumId w:val="8"/>
  </w:num>
  <w:num w:numId="6" w16cid:durableId="1020350670">
    <w:abstractNumId w:val="29"/>
  </w:num>
  <w:num w:numId="7" w16cid:durableId="643631404">
    <w:abstractNumId w:val="24"/>
  </w:num>
  <w:num w:numId="8" w16cid:durableId="416289585">
    <w:abstractNumId w:val="20"/>
  </w:num>
  <w:num w:numId="9" w16cid:durableId="1831822602">
    <w:abstractNumId w:val="13"/>
  </w:num>
  <w:num w:numId="10" w16cid:durableId="2063861972">
    <w:abstractNumId w:val="18"/>
  </w:num>
  <w:num w:numId="11" w16cid:durableId="1514564015">
    <w:abstractNumId w:val="17"/>
  </w:num>
  <w:num w:numId="12" w16cid:durableId="970941729">
    <w:abstractNumId w:val="15"/>
  </w:num>
  <w:num w:numId="13" w16cid:durableId="168495889">
    <w:abstractNumId w:val="23"/>
  </w:num>
  <w:num w:numId="14" w16cid:durableId="7561009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1302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33927148">
    <w:abstractNumId w:val="10"/>
  </w:num>
  <w:num w:numId="17" w16cid:durableId="1463771397">
    <w:abstractNumId w:val="26"/>
  </w:num>
  <w:num w:numId="18" w16cid:durableId="1277104787">
    <w:abstractNumId w:val="25"/>
  </w:num>
  <w:num w:numId="19" w16cid:durableId="1317614301">
    <w:abstractNumId w:val="19"/>
  </w:num>
  <w:num w:numId="20" w16cid:durableId="1499269454">
    <w:abstractNumId w:val="14"/>
  </w:num>
  <w:num w:numId="21" w16cid:durableId="39478128">
    <w:abstractNumId w:val="9"/>
  </w:num>
  <w:num w:numId="22" w16cid:durableId="899093611">
    <w:abstractNumId w:val="31"/>
  </w:num>
  <w:num w:numId="23" w16cid:durableId="1000305931">
    <w:abstractNumId w:val="27"/>
  </w:num>
  <w:num w:numId="24" w16cid:durableId="2018072012">
    <w:abstractNumId w:val="21"/>
  </w:num>
  <w:num w:numId="25" w16cid:durableId="699941495">
    <w:abstractNumId w:val="6"/>
  </w:num>
  <w:num w:numId="26" w16cid:durableId="1055356598">
    <w:abstractNumId w:val="30"/>
  </w:num>
  <w:num w:numId="27" w16cid:durableId="1778980505">
    <w:abstractNumId w:val="16"/>
  </w:num>
  <w:num w:numId="28" w16cid:durableId="229968653">
    <w:abstractNumId w:val="5"/>
  </w:num>
  <w:num w:numId="29" w16cid:durableId="121118644">
    <w:abstractNumId w:val="7"/>
  </w:num>
  <w:num w:numId="30" w16cid:durableId="1327708122">
    <w:abstractNumId w:val="28"/>
  </w:num>
  <w:num w:numId="31" w16cid:durableId="2060132875">
    <w:abstractNumId w:val="12"/>
  </w:num>
  <w:num w:numId="32" w16cid:durableId="2035646148">
    <w:abstractNumId w:val="4"/>
  </w:num>
  <w:num w:numId="33" w16cid:durableId="352264193">
    <w:abstractNumId w:val="11"/>
  </w:num>
  <w:num w:numId="34" w16cid:durableId="2046320779">
    <w:abstractNumId w:val="22"/>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removePersonalInformation/>
  <w:removeDateAndTime/>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NotTrackFormatting/>
  <w:documentProtection w:edit="trackedChanges"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2EB"/>
    <w:rsid w:val="0000007A"/>
    <w:rsid w:val="000003DB"/>
    <w:rsid w:val="00000495"/>
    <w:rsid w:val="000005A6"/>
    <w:rsid w:val="000005E4"/>
    <w:rsid w:val="00000609"/>
    <w:rsid w:val="00000629"/>
    <w:rsid w:val="0000063B"/>
    <w:rsid w:val="0000083A"/>
    <w:rsid w:val="0000096B"/>
    <w:rsid w:val="000009F9"/>
    <w:rsid w:val="00000A1F"/>
    <w:rsid w:val="00000B34"/>
    <w:rsid w:val="00000BD5"/>
    <w:rsid w:val="00000CB7"/>
    <w:rsid w:val="00000CF0"/>
    <w:rsid w:val="00000D83"/>
    <w:rsid w:val="00000DE5"/>
    <w:rsid w:val="00000E15"/>
    <w:rsid w:val="00000EB3"/>
    <w:rsid w:val="00000F62"/>
    <w:rsid w:val="0000108C"/>
    <w:rsid w:val="00001153"/>
    <w:rsid w:val="000013EC"/>
    <w:rsid w:val="00001475"/>
    <w:rsid w:val="0000151B"/>
    <w:rsid w:val="0000158F"/>
    <w:rsid w:val="000015C3"/>
    <w:rsid w:val="000016BD"/>
    <w:rsid w:val="00001729"/>
    <w:rsid w:val="00001819"/>
    <w:rsid w:val="0000187C"/>
    <w:rsid w:val="000018B5"/>
    <w:rsid w:val="00001911"/>
    <w:rsid w:val="0000196E"/>
    <w:rsid w:val="00001984"/>
    <w:rsid w:val="00001990"/>
    <w:rsid w:val="00001AFE"/>
    <w:rsid w:val="00001BC7"/>
    <w:rsid w:val="00001CC3"/>
    <w:rsid w:val="00001D0D"/>
    <w:rsid w:val="00001D3F"/>
    <w:rsid w:val="00001E85"/>
    <w:rsid w:val="00001EBC"/>
    <w:rsid w:val="00001F7E"/>
    <w:rsid w:val="00001F8E"/>
    <w:rsid w:val="00001FC9"/>
    <w:rsid w:val="00002106"/>
    <w:rsid w:val="0000226A"/>
    <w:rsid w:val="000022A4"/>
    <w:rsid w:val="000023FA"/>
    <w:rsid w:val="000024E8"/>
    <w:rsid w:val="00002554"/>
    <w:rsid w:val="00002634"/>
    <w:rsid w:val="000026CA"/>
    <w:rsid w:val="0000273E"/>
    <w:rsid w:val="000027FB"/>
    <w:rsid w:val="00002960"/>
    <w:rsid w:val="000029DE"/>
    <w:rsid w:val="00002AEB"/>
    <w:rsid w:val="00002D2E"/>
    <w:rsid w:val="00002DD2"/>
    <w:rsid w:val="00002EE5"/>
    <w:rsid w:val="00002FF7"/>
    <w:rsid w:val="00003037"/>
    <w:rsid w:val="00003098"/>
    <w:rsid w:val="00003128"/>
    <w:rsid w:val="00003176"/>
    <w:rsid w:val="00003271"/>
    <w:rsid w:val="000032CA"/>
    <w:rsid w:val="0000332A"/>
    <w:rsid w:val="0000347C"/>
    <w:rsid w:val="000034D1"/>
    <w:rsid w:val="00003526"/>
    <w:rsid w:val="0000362C"/>
    <w:rsid w:val="0000363A"/>
    <w:rsid w:val="00003682"/>
    <w:rsid w:val="000036DE"/>
    <w:rsid w:val="000037B5"/>
    <w:rsid w:val="00003A4D"/>
    <w:rsid w:val="00003ACC"/>
    <w:rsid w:val="00003B2F"/>
    <w:rsid w:val="00003B57"/>
    <w:rsid w:val="00003C9E"/>
    <w:rsid w:val="00003CFB"/>
    <w:rsid w:val="00003E12"/>
    <w:rsid w:val="00004040"/>
    <w:rsid w:val="000041EA"/>
    <w:rsid w:val="00004229"/>
    <w:rsid w:val="00004261"/>
    <w:rsid w:val="000042E6"/>
    <w:rsid w:val="00004330"/>
    <w:rsid w:val="00004369"/>
    <w:rsid w:val="0000449E"/>
    <w:rsid w:val="00004645"/>
    <w:rsid w:val="00004718"/>
    <w:rsid w:val="00004728"/>
    <w:rsid w:val="0000485A"/>
    <w:rsid w:val="0000495A"/>
    <w:rsid w:val="000049C3"/>
    <w:rsid w:val="00004A52"/>
    <w:rsid w:val="00004D93"/>
    <w:rsid w:val="00004E1F"/>
    <w:rsid w:val="00004E59"/>
    <w:rsid w:val="00004FF4"/>
    <w:rsid w:val="0000506B"/>
    <w:rsid w:val="000050D4"/>
    <w:rsid w:val="00005125"/>
    <w:rsid w:val="00005289"/>
    <w:rsid w:val="0000532D"/>
    <w:rsid w:val="000054B8"/>
    <w:rsid w:val="00005508"/>
    <w:rsid w:val="00005561"/>
    <w:rsid w:val="00005573"/>
    <w:rsid w:val="00005592"/>
    <w:rsid w:val="000055F5"/>
    <w:rsid w:val="00005730"/>
    <w:rsid w:val="00005953"/>
    <w:rsid w:val="000059C8"/>
    <w:rsid w:val="000059D4"/>
    <w:rsid w:val="00005A2E"/>
    <w:rsid w:val="00005A90"/>
    <w:rsid w:val="00005B0E"/>
    <w:rsid w:val="00005DCD"/>
    <w:rsid w:val="00005DDD"/>
    <w:rsid w:val="00005EE6"/>
    <w:rsid w:val="00005F1C"/>
    <w:rsid w:val="00006041"/>
    <w:rsid w:val="0000606C"/>
    <w:rsid w:val="000060DE"/>
    <w:rsid w:val="0000615D"/>
    <w:rsid w:val="000061A0"/>
    <w:rsid w:val="000063CC"/>
    <w:rsid w:val="0000657B"/>
    <w:rsid w:val="000065EA"/>
    <w:rsid w:val="000065FD"/>
    <w:rsid w:val="0000662C"/>
    <w:rsid w:val="00006818"/>
    <w:rsid w:val="000068FB"/>
    <w:rsid w:val="00006AB1"/>
    <w:rsid w:val="00006AD2"/>
    <w:rsid w:val="00006B6B"/>
    <w:rsid w:val="00006B7C"/>
    <w:rsid w:val="00006CEA"/>
    <w:rsid w:val="00006D6C"/>
    <w:rsid w:val="00006E60"/>
    <w:rsid w:val="00006F52"/>
    <w:rsid w:val="000070EF"/>
    <w:rsid w:val="0000712C"/>
    <w:rsid w:val="00007140"/>
    <w:rsid w:val="000071B9"/>
    <w:rsid w:val="00007201"/>
    <w:rsid w:val="0000734B"/>
    <w:rsid w:val="000073E2"/>
    <w:rsid w:val="0000741B"/>
    <w:rsid w:val="0000759C"/>
    <w:rsid w:val="000075FC"/>
    <w:rsid w:val="00007651"/>
    <w:rsid w:val="00007701"/>
    <w:rsid w:val="00007732"/>
    <w:rsid w:val="00007818"/>
    <w:rsid w:val="00007840"/>
    <w:rsid w:val="0000784D"/>
    <w:rsid w:val="00007905"/>
    <w:rsid w:val="00007A0A"/>
    <w:rsid w:val="00007ADC"/>
    <w:rsid w:val="00007BFD"/>
    <w:rsid w:val="00007C7D"/>
    <w:rsid w:val="00007DD9"/>
    <w:rsid w:val="00007FED"/>
    <w:rsid w:val="00010003"/>
    <w:rsid w:val="00010245"/>
    <w:rsid w:val="0001037A"/>
    <w:rsid w:val="000104BD"/>
    <w:rsid w:val="00010917"/>
    <w:rsid w:val="00010A21"/>
    <w:rsid w:val="00010AEE"/>
    <w:rsid w:val="00010B97"/>
    <w:rsid w:val="00010C75"/>
    <w:rsid w:val="00010DD9"/>
    <w:rsid w:val="00010E49"/>
    <w:rsid w:val="00010EBA"/>
    <w:rsid w:val="00010F51"/>
    <w:rsid w:val="00010FD2"/>
    <w:rsid w:val="0001104A"/>
    <w:rsid w:val="000111B1"/>
    <w:rsid w:val="000111F6"/>
    <w:rsid w:val="00011216"/>
    <w:rsid w:val="00011261"/>
    <w:rsid w:val="00011273"/>
    <w:rsid w:val="00011294"/>
    <w:rsid w:val="000112EB"/>
    <w:rsid w:val="0001133A"/>
    <w:rsid w:val="0001151A"/>
    <w:rsid w:val="000115B8"/>
    <w:rsid w:val="0001163D"/>
    <w:rsid w:val="0001172E"/>
    <w:rsid w:val="0001181A"/>
    <w:rsid w:val="0001189D"/>
    <w:rsid w:val="000118BD"/>
    <w:rsid w:val="00011C82"/>
    <w:rsid w:val="00011D2E"/>
    <w:rsid w:val="00011DD4"/>
    <w:rsid w:val="00011E2E"/>
    <w:rsid w:val="00011E4B"/>
    <w:rsid w:val="00011EC4"/>
    <w:rsid w:val="000122B4"/>
    <w:rsid w:val="0001245E"/>
    <w:rsid w:val="00012472"/>
    <w:rsid w:val="000124CA"/>
    <w:rsid w:val="00012508"/>
    <w:rsid w:val="000125B9"/>
    <w:rsid w:val="000126F9"/>
    <w:rsid w:val="00012701"/>
    <w:rsid w:val="00012707"/>
    <w:rsid w:val="0001275F"/>
    <w:rsid w:val="000127F2"/>
    <w:rsid w:val="00012969"/>
    <w:rsid w:val="00012984"/>
    <w:rsid w:val="00012B71"/>
    <w:rsid w:val="00012D93"/>
    <w:rsid w:val="00012DE1"/>
    <w:rsid w:val="00012FFE"/>
    <w:rsid w:val="00013019"/>
    <w:rsid w:val="000132A2"/>
    <w:rsid w:val="000132F6"/>
    <w:rsid w:val="0001356D"/>
    <w:rsid w:val="00013576"/>
    <w:rsid w:val="0001358E"/>
    <w:rsid w:val="000136A6"/>
    <w:rsid w:val="00013707"/>
    <w:rsid w:val="00013754"/>
    <w:rsid w:val="000137BC"/>
    <w:rsid w:val="0001391B"/>
    <w:rsid w:val="0001392A"/>
    <w:rsid w:val="0001392D"/>
    <w:rsid w:val="00013973"/>
    <w:rsid w:val="00013A66"/>
    <w:rsid w:val="00013A74"/>
    <w:rsid w:val="00013AD4"/>
    <w:rsid w:val="00013CB3"/>
    <w:rsid w:val="00013CD5"/>
    <w:rsid w:val="00013DD3"/>
    <w:rsid w:val="00013E8B"/>
    <w:rsid w:val="00013ECA"/>
    <w:rsid w:val="0001400A"/>
    <w:rsid w:val="000141EC"/>
    <w:rsid w:val="00014264"/>
    <w:rsid w:val="00014324"/>
    <w:rsid w:val="00014470"/>
    <w:rsid w:val="00014481"/>
    <w:rsid w:val="0001454F"/>
    <w:rsid w:val="0001460A"/>
    <w:rsid w:val="00014645"/>
    <w:rsid w:val="00014667"/>
    <w:rsid w:val="0001467F"/>
    <w:rsid w:val="000147DE"/>
    <w:rsid w:val="00014839"/>
    <w:rsid w:val="00014873"/>
    <w:rsid w:val="000148A3"/>
    <w:rsid w:val="000149BA"/>
    <w:rsid w:val="00014B65"/>
    <w:rsid w:val="00014DB7"/>
    <w:rsid w:val="00014ED0"/>
    <w:rsid w:val="00014F20"/>
    <w:rsid w:val="00015056"/>
    <w:rsid w:val="00015284"/>
    <w:rsid w:val="00015323"/>
    <w:rsid w:val="0001533D"/>
    <w:rsid w:val="00015396"/>
    <w:rsid w:val="00015498"/>
    <w:rsid w:val="00015593"/>
    <w:rsid w:val="0001568A"/>
    <w:rsid w:val="00015703"/>
    <w:rsid w:val="0001571E"/>
    <w:rsid w:val="00015789"/>
    <w:rsid w:val="0001583B"/>
    <w:rsid w:val="00015859"/>
    <w:rsid w:val="00015958"/>
    <w:rsid w:val="00015B81"/>
    <w:rsid w:val="00015BF0"/>
    <w:rsid w:val="00015D1F"/>
    <w:rsid w:val="00015D7B"/>
    <w:rsid w:val="0001607B"/>
    <w:rsid w:val="00016155"/>
    <w:rsid w:val="000162F1"/>
    <w:rsid w:val="000165BE"/>
    <w:rsid w:val="0001667A"/>
    <w:rsid w:val="00016802"/>
    <w:rsid w:val="000169BA"/>
    <w:rsid w:val="00016B74"/>
    <w:rsid w:val="00016B93"/>
    <w:rsid w:val="00016B97"/>
    <w:rsid w:val="00016CF2"/>
    <w:rsid w:val="00016D11"/>
    <w:rsid w:val="00016D81"/>
    <w:rsid w:val="00016E7A"/>
    <w:rsid w:val="00016F62"/>
    <w:rsid w:val="00017024"/>
    <w:rsid w:val="00017235"/>
    <w:rsid w:val="0001727C"/>
    <w:rsid w:val="000172E1"/>
    <w:rsid w:val="00017356"/>
    <w:rsid w:val="000173C9"/>
    <w:rsid w:val="000174A9"/>
    <w:rsid w:val="0001751C"/>
    <w:rsid w:val="00017561"/>
    <w:rsid w:val="000175D1"/>
    <w:rsid w:val="0001764E"/>
    <w:rsid w:val="0001779F"/>
    <w:rsid w:val="00017886"/>
    <w:rsid w:val="00017A3C"/>
    <w:rsid w:val="00017AA3"/>
    <w:rsid w:val="00017B37"/>
    <w:rsid w:val="00017BC4"/>
    <w:rsid w:val="00017BC6"/>
    <w:rsid w:val="00017BFF"/>
    <w:rsid w:val="00017CC9"/>
    <w:rsid w:val="00017DD3"/>
    <w:rsid w:val="00020020"/>
    <w:rsid w:val="00020085"/>
    <w:rsid w:val="00020114"/>
    <w:rsid w:val="00020190"/>
    <w:rsid w:val="000201D7"/>
    <w:rsid w:val="000201F1"/>
    <w:rsid w:val="00020252"/>
    <w:rsid w:val="00020259"/>
    <w:rsid w:val="000202AE"/>
    <w:rsid w:val="000202E5"/>
    <w:rsid w:val="0002039A"/>
    <w:rsid w:val="000204D9"/>
    <w:rsid w:val="000205DC"/>
    <w:rsid w:val="00020754"/>
    <w:rsid w:val="000207CC"/>
    <w:rsid w:val="00020844"/>
    <w:rsid w:val="0002087D"/>
    <w:rsid w:val="000208D6"/>
    <w:rsid w:val="00020A2D"/>
    <w:rsid w:val="00020A6B"/>
    <w:rsid w:val="00020AB3"/>
    <w:rsid w:val="00020B05"/>
    <w:rsid w:val="00020D7E"/>
    <w:rsid w:val="00021027"/>
    <w:rsid w:val="00021028"/>
    <w:rsid w:val="0002106C"/>
    <w:rsid w:val="00021159"/>
    <w:rsid w:val="000212B3"/>
    <w:rsid w:val="000212CC"/>
    <w:rsid w:val="00021449"/>
    <w:rsid w:val="0002152E"/>
    <w:rsid w:val="00021559"/>
    <w:rsid w:val="000216D3"/>
    <w:rsid w:val="000217FA"/>
    <w:rsid w:val="00021821"/>
    <w:rsid w:val="000219C1"/>
    <w:rsid w:val="00021AF7"/>
    <w:rsid w:val="00021B36"/>
    <w:rsid w:val="00021BD5"/>
    <w:rsid w:val="00021BDC"/>
    <w:rsid w:val="00021DEB"/>
    <w:rsid w:val="00021ECB"/>
    <w:rsid w:val="00021F43"/>
    <w:rsid w:val="00021F6E"/>
    <w:rsid w:val="00021FB2"/>
    <w:rsid w:val="00021FBB"/>
    <w:rsid w:val="00022060"/>
    <w:rsid w:val="000221F4"/>
    <w:rsid w:val="0002234D"/>
    <w:rsid w:val="000223E4"/>
    <w:rsid w:val="0002240A"/>
    <w:rsid w:val="000225A4"/>
    <w:rsid w:val="000225F8"/>
    <w:rsid w:val="00022665"/>
    <w:rsid w:val="00022735"/>
    <w:rsid w:val="000227FA"/>
    <w:rsid w:val="00022832"/>
    <w:rsid w:val="0002283D"/>
    <w:rsid w:val="000228E8"/>
    <w:rsid w:val="00022A0B"/>
    <w:rsid w:val="00022BCA"/>
    <w:rsid w:val="00022BE1"/>
    <w:rsid w:val="00022C3D"/>
    <w:rsid w:val="00022CD7"/>
    <w:rsid w:val="00022D8D"/>
    <w:rsid w:val="00022E11"/>
    <w:rsid w:val="00022E14"/>
    <w:rsid w:val="00022E3C"/>
    <w:rsid w:val="00022E71"/>
    <w:rsid w:val="00022EFA"/>
    <w:rsid w:val="00023049"/>
    <w:rsid w:val="00023191"/>
    <w:rsid w:val="0002323C"/>
    <w:rsid w:val="00023362"/>
    <w:rsid w:val="0002337E"/>
    <w:rsid w:val="000233CD"/>
    <w:rsid w:val="000234CA"/>
    <w:rsid w:val="000234FA"/>
    <w:rsid w:val="00023632"/>
    <w:rsid w:val="00023643"/>
    <w:rsid w:val="000236AB"/>
    <w:rsid w:val="0002377F"/>
    <w:rsid w:val="0002385D"/>
    <w:rsid w:val="000238B1"/>
    <w:rsid w:val="00023ADC"/>
    <w:rsid w:val="00023B9D"/>
    <w:rsid w:val="00023EBA"/>
    <w:rsid w:val="00023EC1"/>
    <w:rsid w:val="00023EF7"/>
    <w:rsid w:val="0002412F"/>
    <w:rsid w:val="000241CA"/>
    <w:rsid w:val="00024313"/>
    <w:rsid w:val="00024778"/>
    <w:rsid w:val="00024830"/>
    <w:rsid w:val="00024A53"/>
    <w:rsid w:val="00024D42"/>
    <w:rsid w:val="00024E08"/>
    <w:rsid w:val="00024EEF"/>
    <w:rsid w:val="00024F37"/>
    <w:rsid w:val="00024F6E"/>
    <w:rsid w:val="00024FE9"/>
    <w:rsid w:val="00025083"/>
    <w:rsid w:val="00025164"/>
    <w:rsid w:val="000251B5"/>
    <w:rsid w:val="000251CA"/>
    <w:rsid w:val="00025380"/>
    <w:rsid w:val="00025496"/>
    <w:rsid w:val="0002552E"/>
    <w:rsid w:val="000255D5"/>
    <w:rsid w:val="00025758"/>
    <w:rsid w:val="00025776"/>
    <w:rsid w:val="000257FA"/>
    <w:rsid w:val="000259CD"/>
    <w:rsid w:val="00025A03"/>
    <w:rsid w:val="00025BB0"/>
    <w:rsid w:val="00025BD9"/>
    <w:rsid w:val="00025C5F"/>
    <w:rsid w:val="00025D19"/>
    <w:rsid w:val="00025D3B"/>
    <w:rsid w:val="00025D51"/>
    <w:rsid w:val="00025E28"/>
    <w:rsid w:val="00025F22"/>
    <w:rsid w:val="00025F87"/>
    <w:rsid w:val="00026012"/>
    <w:rsid w:val="0002603A"/>
    <w:rsid w:val="00026123"/>
    <w:rsid w:val="0002613D"/>
    <w:rsid w:val="0002625A"/>
    <w:rsid w:val="000262DE"/>
    <w:rsid w:val="000264DE"/>
    <w:rsid w:val="00026514"/>
    <w:rsid w:val="0002669A"/>
    <w:rsid w:val="000266BF"/>
    <w:rsid w:val="0002680A"/>
    <w:rsid w:val="0002683C"/>
    <w:rsid w:val="00026867"/>
    <w:rsid w:val="000269C9"/>
    <w:rsid w:val="00026AB4"/>
    <w:rsid w:val="00026CB1"/>
    <w:rsid w:val="00026E98"/>
    <w:rsid w:val="00026F5E"/>
    <w:rsid w:val="00026F8C"/>
    <w:rsid w:val="00026FC1"/>
    <w:rsid w:val="00027037"/>
    <w:rsid w:val="0002713F"/>
    <w:rsid w:val="000271FB"/>
    <w:rsid w:val="00027200"/>
    <w:rsid w:val="00027205"/>
    <w:rsid w:val="0002722E"/>
    <w:rsid w:val="000272A6"/>
    <w:rsid w:val="00027444"/>
    <w:rsid w:val="00027474"/>
    <w:rsid w:val="0002747E"/>
    <w:rsid w:val="0002761F"/>
    <w:rsid w:val="00027664"/>
    <w:rsid w:val="00027667"/>
    <w:rsid w:val="000276ED"/>
    <w:rsid w:val="00027838"/>
    <w:rsid w:val="0002792E"/>
    <w:rsid w:val="00027940"/>
    <w:rsid w:val="00027A82"/>
    <w:rsid w:val="00027ACE"/>
    <w:rsid w:val="00027AE2"/>
    <w:rsid w:val="00027B44"/>
    <w:rsid w:val="00027BAA"/>
    <w:rsid w:val="00027C73"/>
    <w:rsid w:val="00027CE4"/>
    <w:rsid w:val="00027CEB"/>
    <w:rsid w:val="00027E07"/>
    <w:rsid w:val="00027E0C"/>
    <w:rsid w:val="00027E28"/>
    <w:rsid w:val="00027F2A"/>
    <w:rsid w:val="00030263"/>
    <w:rsid w:val="00030480"/>
    <w:rsid w:val="00030546"/>
    <w:rsid w:val="00030656"/>
    <w:rsid w:val="000307AD"/>
    <w:rsid w:val="000307F0"/>
    <w:rsid w:val="00030903"/>
    <w:rsid w:val="00030943"/>
    <w:rsid w:val="00030970"/>
    <w:rsid w:val="000309F3"/>
    <w:rsid w:val="00030A3E"/>
    <w:rsid w:val="00030AA5"/>
    <w:rsid w:val="00030DAA"/>
    <w:rsid w:val="00030DDA"/>
    <w:rsid w:val="00030E47"/>
    <w:rsid w:val="00030E77"/>
    <w:rsid w:val="00030E92"/>
    <w:rsid w:val="00030EDB"/>
    <w:rsid w:val="00030F37"/>
    <w:rsid w:val="00031098"/>
    <w:rsid w:val="000310B7"/>
    <w:rsid w:val="000310B9"/>
    <w:rsid w:val="000310C2"/>
    <w:rsid w:val="000310DE"/>
    <w:rsid w:val="000310F2"/>
    <w:rsid w:val="00031262"/>
    <w:rsid w:val="0003128D"/>
    <w:rsid w:val="00031344"/>
    <w:rsid w:val="00031358"/>
    <w:rsid w:val="000314C8"/>
    <w:rsid w:val="0003150E"/>
    <w:rsid w:val="0003168C"/>
    <w:rsid w:val="000316CF"/>
    <w:rsid w:val="00031801"/>
    <w:rsid w:val="000318F3"/>
    <w:rsid w:val="000319AD"/>
    <w:rsid w:val="00031A25"/>
    <w:rsid w:val="00031A4F"/>
    <w:rsid w:val="00031B5C"/>
    <w:rsid w:val="00031B7C"/>
    <w:rsid w:val="00031BAF"/>
    <w:rsid w:val="00031BB0"/>
    <w:rsid w:val="00031C84"/>
    <w:rsid w:val="00031CED"/>
    <w:rsid w:val="00031D8B"/>
    <w:rsid w:val="00031E4B"/>
    <w:rsid w:val="0003205C"/>
    <w:rsid w:val="00032090"/>
    <w:rsid w:val="000320F6"/>
    <w:rsid w:val="00032101"/>
    <w:rsid w:val="00032273"/>
    <w:rsid w:val="000322DB"/>
    <w:rsid w:val="000322FB"/>
    <w:rsid w:val="0003231E"/>
    <w:rsid w:val="00032351"/>
    <w:rsid w:val="0003237E"/>
    <w:rsid w:val="0003249A"/>
    <w:rsid w:val="00032525"/>
    <w:rsid w:val="00032541"/>
    <w:rsid w:val="000327D8"/>
    <w:rsid w:val="000327E1"/>
    <w:rsid w:val="000327FB"/>
    <w:rsid w:val="00032AA3"/>
    <w:rsid w:val="00032AF2"/>
    <w:rsid w:val="00032BA4"/>
    <w:rsid w:val="00032EA0"/>
    <w:rsid w:val="00032F15"/>
    <w:rsid w:val="00032FFA"/>
    <w:rsid w:val="000330D4"/>
    <w:rsid w:val="000331FB"/>
    <w:rsid w:val="00033346"/>
    <w:rsid w:val="0003340E"/>
    <w:rsid w:val="0003343A"/>
    <w:rsid w:val="000335D2"/>
    <w:rsid w:val="00033611"/>
    <w:rsid w:val="000336F4"/>
    <w:rsid w:val="000337B3"/>
    <w:rsid w:val="000337E3"/>
    <w:rsid w:val="00033943"/>
    <w:rsid w:val="00033946"/>
    <w:rsid w:val="00033A0D"/>
    <w:rsid w:val="00033C23"/>
    <w:rsid w:val="00033CA5"/>
    <w:rsid w:val="00033CB4"/>
    <w:rsid w:val="00033DAC"/>
    <w:rsid w:val="00033E45"/>
    <w:rsid w:val="00033EF9"/>
    <w:rsid w:val="0003402A"/>
    <w:rsid w:val="0003405B"/>
    <w:rsid w:val="00034111"/>
    <w:rsid w:val="00034117"/>
    <w:rsid w:val="0003452F"/>
    <w:rsid w:val="0003455C"/>
    <w:rsid w:val="00034648"/>
    <w:rsid w:val="00034673"/>
    <w:rsid w:val="000346BD"/>
    <w:rsid w:val="00034745"/>
    <w:rsid w:val="0003476E"/>
    <w:rsid w:val="00034780"/>
    <w:rsid w:val="000347DC"/>
    <w:rsid w:val="00034B24"/>
    <w:rsid w:val="00034B2A"/>
    <w:rsid w:val="00034C15"/>
    <w:rsid w:val="00034D99"/>
    <w:rsid w:val="00034EE0"/>
    <w:rsid w:val="00034F7E"/>
    <w:rsid w:val="00034FAD"/>
    <w:rsid w:val="00035067"/>
    <w:rsid w:val="000350F9"/>
    <w:rsid w:val="00035249"/>
    <w:rsid w:val="0003543D"/>
    <w:rsid w:val="00035463"/>
    <w:rsid w:val="0003563A"/>
    <w:rsid w:val="00035798"/>
    <w:rsid w:val="0003583D"/>
    <w:rsid w:val="00035881"/>
    <w:rsid w:val="00035DF1"/>
    <w:rsid w:val="00035E21"/>
    <w:rsid w:val="00035E9A"/>
    <w:rsid w:val="00035EBC"/>
    <w:rsid w:val="00035F3A"/>
    <w:rsid w:val="000361D7"/>
    <w:rsid w:val="000362FF"/>
    <w:rsid w:val="0003643F"/>
    <w:rsid w:val="00036542"/>
    <w:rsid w:val="0003673B"/>
    <w:rsid w:val="000367F3"/>
    <w:rsid w:val="00036884"/>
    <w:rsid w:val="00036957"/>
    <w:rsid w:val="000369D7"/>
    <w:rsid w:val="00036B67"/>
    <w:rsid w:val="00036C66"/>
    <w:rsid w:val="00036DBA"/>
    <w:rsid w:val="000372FE"/>
    <w:rsid w:val="0003754B"/>
    <w:rsid w:val="000375BB"/>
    <w:rsid w:val="00037659"/>
    <w:rsid w:val="00037675"/>
    <w:rsid w:val="000376A9"/>
    <w:rsid w:val="0003776B"/>
    <w:rsid w:val="00037819"/>
    <w:rsid w:val="000378CB"/>
    <w:rsid w:val="00037950"/>
    <w:rsid w:val="00037A18"/>
    <w:rsid w:val="00037BED"/>
    <w:rsid w:val="00037C8B"/>
    <w:rsid w:val="00037D5B"/>
    <w:rsid w:val="00037DA6"/>
    <w:rsid w:val="00037DB9"/>
    <w:rsid w:val="000400A1"/>
    <w:rsid w:val="00040157"/>
    <w:rsid w:val="0004018D"/>
    <w:rsid w:val="000401E4"/>
    <w:rsid w:val="0004047B"/>
    <w:rsid w:val="0004059B"/>
    <w:rsid w:val="00040770"/>
    <w:rsid w:val="000407D8"/>
    <w:rsid w:val="000407E6"/>
    <w:rsid w:val="0004085D"/>
    <w:rsid w:val="000408D5"/>
    <w:rsid w:val="00040982"/>
    <w:rsid w:val="00040A16"/>
    <w:rsid w:val="00040A3A"/>
    <w:rsid w:val="00040AC6"/>
    <w:rsid w:val="00040ACA"/>
    <w:rsid w:val="00040B1F"/>
    <w:rsid w:val="00040BE6"/>
    <w:rsid w:val="00040C21"/>
    <w:rsid w:val="00040E99"/>
    <w:rsid w:val="00040EC7"/>
    <w:rsid w:val="00040F86"/>
    <w:rsid w:val="00041023"/>
    <w:rsid w:val="00041090"/>
    <w:rsid w:val="00041195"/>
    <w:rsid w:val="000411E0"/>
    <w:rsid w:val="00041369"/>
    <w:rsid w:val="00041439"/>
    <w:rsid w:val="00041606"/>
    <w:rsid w:val="000416CD"/>
    <w:rsid w:val="000416D8"/>
    <w:rsid w:val="00041868"/>
    <w:rsid w:val="0004196E"/>
    <w:rsid w:val="00041A3B"/>
    <w:rsid w:val="00041A3E"/>
    <w:rsid w:val="00041AFC"/>
    <w:rsid w:val="00041B29"/>
    <w:rsid w:val="00041DCC"/>
    <w:rsid w:val="00041DCF"/>
    <w:rsid w:val="00041DE4"/>
    <w:rsid w:val="00041DF7"/>
    <w:rsid w:val="00041EA5"/>
    <w:rsid w:val="00041EBF"/>
    <w:rsid w:val="00041FF7"/>
    <w:rsid w:val="000420A6"/>
    <w:rsid w:val="000421F9"/>
    <w:rsid w:val="00042373"/>
    <w:rsid w:val="000423E0"/>
    <w:rsid w:val="00042449"/>
    <w:rsid w:val="0004255B"/>
    <w:rsid w:val="00042638"/>
    <w:rsid w:val="00042754"/>
    <w:rsid w:val="0004296E"/>
    <w:rsid w:val="00042B3B"/>
    <w:rsid w:val="00042EE8"/>
    <w:rsid w:val="000430E4"/>
    <w:rsid w:val="00043118"/>
    <w:rsid w:val="00043284"/>
    <w:rsid w:val="000432E8"/>
    <w:rsid w:val="0004335B"/>
    <w:rsid w:val="000433FF"/>
    <w:rsid w:val="000434D3"/>
    <w:rsid w:val="000435CE"/>
    <w:rsid w:val="000435FC"/>
    <w:rsid w:val="00043618"/>
    <w:rsid w:val="00043774"/>
    <w:rsid w:val="000438C9"/>
    <w:rsid w:val="000438CB"/>
    <w:rsid w:val="000438D0"/>
    <w:rsid w:val="0004396B"/>
    <w:rsid w:val="000439D2"/>
    <w:rsid w:val="00043A0D"/>
    <w:rsid w:val="00043A5B"/>
    <w:rsid w:val="00043B12"/>
    <w:rsid w:val="00043B18"/>
    <w:rsid w:val="00043B4C"/>
    <w:rsid w:val="00043B7F"/>
    <w:rsid w:val="00043BB0"/>
    <w:rsid w:val="00043C89"/>
    <w:rsid w:val="00043CC3"/>
    <w:rsid w:val="00043F9D"/>
    <w:rsid w:val="0004404B"/>
    <w:rsid w:val="000441ED"/>
    <w:rsid w:val="0004423A"/>
    <w:rsid w:val="0004453E"/>
    <w:rsid w:val="000445CB"/>
    <w:rsid w:val="000446F2"/>
    <w:rsid w:val="00044773"/>
    <w:rsid w:val="0004477F"/>
    <w:rsid w:val="000447E2"/>
    <w:rsid w:val="000447F6"/>
    <w:rsid w:val="0004488E"/>
    <w:rsid w:val="000449B1"/>
    <w:rsid w:val="000449D2"/>
    <w:rsid w:val="00044B11"/>
    <w:rsid w:val="00044BC7"/>
    <w:rsid w:val="00044C24"/>
    <w:rsid w:val="00044F5F"/>
    <w:rsid w:val="00044F80"/>
    <w:rsid w:val="00044F90"/>
    <w:rsid w:val="00045441"/>
    <w:rsid w:val="00045484"/>
    <w:rsid w:val="000455F8"/>
    <w:rsid w:val="00045625"/>
    <w:rsid w:val="0004568D"/>
    <w:rsid w:val="000456BE"/>
    <w:rsid w:val="0004593A"/>
    <w:rsid w:val="000459C0"/>
    <w:rsid w:val="00045A65"/>
    <w:rsid w:val="00045D55"/>
    <w:rsid w:val="00045E09"/>
    <w:rsid w:val="00045EA5"/>
    <w:rsid w:val="00045F3C"/>
    <w:rsid w:val="000460E0"/>
    <w:rsid w:val="0004614D"/>
    <w:rsid w:val="000461A4"/>
    <w:rsid w:val="00046255"/>
    <w:rsid w:val="000462D1"/>
    <w:rsid w:val="000463DC"/>
    <w:rsid w:val="00046570"/>
    <w:rsid w:val="000465C2"/>
    <w:rsid w:val="000465F8"/>
    <w:rsid w:val="00046885"/>
    <w:rsid w:val="0004688C"/>
    <w:rsid w:val="00046A14"/>
    <w:rsid w:val="00046A2C"/>
    <w:rsid w:val="00046BC6"/>
    <w:rsid w:val="00046C67"/>
    <w:rsid w:val="00046C77"/>
    <w:rsid w:val="00046D21"/>
    <w:rsid w:val="00046E58"/>
    <w:rsid w:val="00046F64"/>
    <w:rsid w:val="00046F6C"/>
    <w:rsid w:val="00046FEA"/>
    <w:rsid w:val="00047023"/>
    <w:rsid w:val="0004703D"/>
    <w:rsid w:val="000470B5"/>
    <w:rsid w:val="00047127"/>
    <w:rsid w:val="000471AC"/>
    <w:rsid w:val="00047241"/>
    <w:rsid w:val="00047396"/>
    <w:rsid w:val="00047482"/>
    <w:rsid w:val="000474FE"/>
    <w:rsid w:val="000475C6"/>
    <w:rsid w:val="0004783B"/>
    <w:rsid w:val="00047861"/>
    <w:rsid w:val="00047875"/>
    <w:rsid w:val="000478CE"/>
    <w:rsid w:val="000479FE"/>
    <w:rsid w:val="00047A0D"/>
    <w:rsid w:val="00047AD1"/>
    <w:rsid w:val="00047AF1"/>
    <w:rsid w:val="00047D2C"/>
    <w:rsid w:val="00047DD2"/>
    <w:rsid w:val="00047F3B"/>
    <w:rsid w:val="000500F5"/>
    <w:rsid w:val="000501B4"/>
    <w:rsid w:val="0005022F"/>
    <w:rsid w:val="000502E5"/>
    <w:rsid w:val="000503F1"/>
    <w:rsid w:val="00050493"/>
    <w:rsid w:val="00050623"/>
    <w:rsid w:val="00050633"/>
    <w:rsid w:val="000506B2"/>
    <w:rsid w:val="000506CC"/>
    <w:rsid w:val="00050A73"/>
    <w:rsid w:val="00050B61"/>
    <w:rsid w:val="00050D4B"/>
    <w:rsid w:val="00050E85"/>
    <w:rsid w:val="00050F9D"/>
    <w:rsid w:val="0005110E"/>
    <w:rsid w:val="00051268"/>
    <w:rsid w:val="000513AB"/>
    <w:rsid w:val="00051406"/>
    <w:rsid w:val="00051411"/>
    <w:rsid w:val="0005176F"/>
    <w:rsid w:val="00051808"/>
    <w:rsid w:val="00051840"/>
    <w:rsid w:val="00051A2E"/>
    <w:rsid w:val="00051B9A"/>
    <w:rsid w:val="00051C13"/>
    <w:rsid w:val="00051F1E"/>
    <w:rsid w:val="00051F7E"/>
    <w:rsid w:val="00051FE2"/>
    <w:rsid w:val="00051FFD"/>
    <w:rsid w:val="0005203C"/>
    <w:rsid w:val="000520FE"/>
    <w:rsid w:val="00052138"/>
    <w:rsid w:val="000521D0"/>
    <w:rsid w:val="0005235A"/>
    <w:rsid w:val="000524EA"/>
    <w:rsid w:val="00052506"/>
    <w:rsid w:val="00052706"/>
    <w:rsid w:val="00052766"/>
    <w:rsid w:val="00052780"/>
    <w:rsid w:val="000527C0"/>
    <w:rsid w:val="00052825"/>
    <w:rsid w:val="000529CE"/>
    <w:rsid w:val="00052A20"/>
    <w:rsid w:val="00052B00"/>
    <w:rsid w:val="00052B33"/>
    <w:rsid w:val="00052B70"/>
    <w:rsid w:val="00052B85"/>
    <w:rsid w:val="00052C01"/>
    <w:rsid w:val="00052D16"/>
    <w:rsid w:val="00052D42"/>
    <w:rsid w:val="00052DA7"/>
    <w:rsid w:val="00052F80"/>
    <w:rsid w:val="000530A7"/>
    <w:rsid w:val="00053101"/>
    <w:rsid w:val="000531FB"/>
    <w:rsid w:val="000532B6"/>
    <w:rsid w:val="000533B1"/>
    <w:rsid w:val="000533EA"/>
    <w:rsid w:val="00053417"/>
    <w:rsid w:val="00053547"/>
    <w:rsid w:val="000535E9"/>
    <w:rsid w:val="00053661"/>
    <w:rsid w:val="00053842"/>
    <w:rsid w:val="000538A3"/>
    <w:rsid w:val="000539BD"/>
    <w:rsid w:val="00053AF1"/>
    <w:rsid w:val="00053AF2"/>
    <w:rsid w:val="00053B5F"/>
    <w:rsid w:val="00053C13"/>
    <w:rsid w:val="00053C19"/>
    <w:rsid w:val="00053CB8"/>
    <w:rsid w:val="00053D00"/>
    <w:rsid w:val="00053D1F"/>
    <w:rsid w:val="00053D98"/>
    <w:rsid w:val="00054150"/>
    <w:rsid w:val="00054265"/>
    <w:rsid w:val="0005431B"/>
    <w:rsid w:val="000543FC"/>
    <w:rsid w:val="00054451"/>
    <w:rsid w:val="000545FA"/>
    <w:rsid w:val="00054671"/>
    <w:rsid w:val="00054734"/>
    <w:rsid w:val="00054777"/>
    <w:rsid w:val="000547EE"/>
    <w:rsid w:val="00054968"/>
    <w:rsid w:val="00054982"/>
    <w:rsid w:val="000549A6"/>
    <w:rsid w:val="00054AEF"/>
    <w:rsid w:val="00054DAC"/>
    <w:rsid w:val="00054DAE"/>
    <w:rsid w:val="00054DC2"/>
    <w:rsid w:val="00054EA8"/>
    <w:rsid w:val="00055009"/>
    <w:rsid w:val="00055173"/>
    <w:rsid w:val="00055192"/>
    <w:rsid w:val="00055193"/>
    <w:rsid w:val="00055279"/>
    <w:rsid w:val="00055457"/>
    <w:rsid w:val="00055703"/>
    <w:rsid w:val="00055738"/>
    <w:rsid w:val="000558F8"/>
    <w:rsid w:val="00055930"/>
    <w:rsid w:val="000559B8"/>
    <w:rsid w:val="000559E4"/>
    <w:rsid w:val="00055A48"/>
    <w:rsid w:val="00055AAB"/>
    <w:rsid w:val="00055B0C"/>
    <w:rsid w:val="00055BC6"/>
    <w:rsid w:val="00055C8F"/>
    <w:rsid w:val="00055D3C"/>
    <w:rsid w:val="00055D54"/>
    <w:rsid w:val="00055DEC"/>
    <w:rsid w:val="000560BA"/>
    <w:rsid w:val="000560D6"/>
    <w:rsid w:val="000561A9"/>
    <w:rsid w:val="00056205"/>
    <w:rsid w:val="00056295"/>
    <w:rsid w:val="000562A6"/>
    <w:rsid w:val="00056336"/>
    <w:rsid w:val="000563F9"/>
    <w:rsid w:val="0005649D"/>
    <w:rsid w:val="000564CF"/>
    <w:rsid w:val="00056767"/>
    <w:rsid w:val="00056778"/>
    <w:rsid w:val="0005682E"/>
    <w:rsid w:val="00056842"/>
    <w:rsid w:val="000568DB"/>
    <w:rsid w:val="000569C5"/>
    <w:rsid w:val="000569FC"/>
    <w:rsid w:val="00056A0D"/>
    <w:rsid w:val="00056A5F"/>
    <w:rsid w:val="00056C0F"/>
    <w:rsid w:val="00056C80"/>
    <w:rsid w:val="00056E5F"/>
    <w:rsid w:val="00056E89"/>
    <w:rsid w:val="00056FF5"/>
    <w:rsid w:val="00056FF8"/>
    <w:rsid w:val="00056FFF"/>
    <w:rsid w:val="00057045"/>
    <w:rsid w:val="00057077"/>
    <w:rsid w:val="00057141"/>
    <w:rsid w:val="0005716B"/>
    <w:rsid w:val="00057196"/>
    <w:rsid w:val="000571B7"/>
    <w:rsid w:val="000573F5"/>
    <w:rsid w:val="00057455"/>
    <w:rsid w:val="00057629"/>
    <w:rsid w:val="000576C4"/>
    <w:rsid w:val="000576F4"/>
    <w:rsid w:val="00057786"/>
    <w:rsid w:val="00057823"/>
    <w:rsid w:val="00057A12"/>
    <w:rsid w:val="00057B16"/>
    <w:rsid w:val="00057CDB"/>
    <w:rsid w:val="00057E05"/>
    <w:rsid w:val="00057F5C"/>
    <w:rsid w:val="00057F84"/>
    <w:rsid w:val="000600CF"/>
    <w:rsid w:val="000600F3"/>
    <w:rsid w:val="00060128"/>
    <w:rsid w:val="0006026F"/>
    <w:rsid w:val="000603EF"/>
    <w:rsid w:val="00060407"/>
    <w:rsid w:val="000605F8"/>
    <w:rsid w:val="0006068F"/>
    <w:rsid w:val="000606E4"/>
    <w:rsid w:val="000606F0"/>
    <w:rsid w:val="00060717"/>
    <w:rsid w:val="000607E7"/>
    <w:rsid w:val="00060979"/>
    <w:rsid w:val="000609D4"/>
    <w:rsid w:val="00060C6F"/>
    <w:rsid w:val="00060DAA"/>
    <w:rsid w:val="000611D8"/>
    <w:rsid w:val="000611FF"/>
    <w:rsid w:val="000612C0"/>
    <w:rsid w:val="000614E3"/>
    <w:rsid w:val="000615F7"/>
    <w:rsid w:val="0006165F"/>
    <w:rsid w:val="0006167E"/>
    <w:rsid w:val="000616E2"/>
    <w:rsid w:val="00061705"/>
    <w:rsid w:val="0006179A"/>
    <w:rsid w:val="0006195D"/>
    <w:rsid w:val="00061AC8"/>
    <w:rsid w:val="00061B51"/>
    <w:rsid w:val="00061B91"/>
    <w:rsid w:val="00061F0F"/>
    <w:rsid w:val="00061FDE"/>
    <w:rsid w:val="0006202D"/>
    <w:rsid w:val="00062146"/>
    <w:rsid w:val="000621C4"/>
    <w:rsid w:val="000624F1"/>
    <w:rsid w:val="00062581"/>
    <w:rsid w:val="000625AF"/>
    <w:rsid w:val="0006272A"/>
    <w:rsid w:val="00062766"/>
    <w:rsid w:val="00062840"/>
    <w:rsid w:val="00062877"/>
    <w:rsid w:val="000628C2"/>
    <w:rsid w:val="000629BE"/>
    <w:rsid w:val="00062A42"/>
    <w:rsid w:val="00062AC0"/>
    <w:rsid w:val="00062B33"/>
    <w:rsid w:val="00062B3D"/>
    <w:rsid w:val="00062D18"/>
    <w:rsid w:val="00062D8C"/>
    <w:rsid w:val="00062E2E"/>
    <w:rsid w:val="00062FDC"/>
    <w:rsid w:val="00063082"/>
    <w:rsid w:val="00063176"/>
    <w:rsid w:val="000633F3"/>
    <w:rsid w:val="000635F4"/>
    <w:rsid w:val="00063687"/>
    <w:rsid w:val="00063692"/>
    <w:rsid w:val="0006372B"/>
    <w:rsid w:val="0006379E"/>
    <w:rsid w:val="00063A61"/>
    <w:rsid w:val="00063A81"/>
    <w:rsid w:val="00063BBE"/>
    <w:rsid w:val="00063BC1"/>
    <w:rsid w:val="00063BE1"/>
    <w:rsid w:val="00063D42"/>
    <w:rsid w:val="00063E05"/>
    <w:rsid w:val="00063E4A"/>
    <w:rsid w:val="00063E87"/>
    <w:rsid w:val="00063E99"/>
    <w:rsid w:val="00064217"/>
    <w:rsid w:val="000642BB"/>
    <w:rsid w:val="00064498"/>
    <w:rsid w:val="000645F4"/>
    <w:rsid w:val="0006465E"/>
    <w:rsid w:val="00064762"/>
    <w:rsid w:val="0006478E"/>
    <w:rsid w:val="000647A8"/>
    <w:rsid w:val="000648C9"/>
    <w:rsid w:val="00064B06"/>
    <w:rsid w:val="00064B1E"/>
    <w:rsid w:val="00064BEC"/>
    <w:rsid w:val="00064C52"/>
    <w:rsid w:val="00064C96"/>
    <w:rsid w:val="00064CB6"/>
    <w:rsid w:val="00064D48"/>
    <w:rsid w:val="00064DFF"/>
    <w:rsid w:val="00064E69"/>
    <w:rsid w:val="00064EEE"/>
    <w:rsid w:val="00064F01"/>
    <w:rsid w:val="00064F3F"/>
    <w:rsid w:val="00064F5B"/>
    <w:rsid w:val="00065063"/>
    <w:rsid w:val="00065118"/>
    <w:rsid w:val="0006511E"/>
    <w:rsid w:val="00065267"/>
    <w:rsid w:val="000652B0"/>
    <w:rsid w:val="0006531C"/>
    <w:rsid w:val="00065480"/>
    <w:rsid w:val="00065629"/>
    <w:rsid w:val="000656F1"/>
    <w:rsid w:val="0006572C"/>
    <w:rsid w:val="0006576A"/>
    <w:rsid w:val="000657F6"/>
    <w:rsid w:val="000658E4"/>
    <w:rsid w:val="00065985"/>
    <w:rsid w:val="000659C7"/>
    <w:rsid w:val="000659F3"/>
    <w:rsid w:val="00065C09"/>
    <w:rsid w:val="00065DDB"/>
    <w:rsid w:val="00066135"/>
    <w:rsid w:val="0006628C"/>
    <w:rsid w:val="000662BF"/>
    <w:rsid w:val="000663EC"/>
    <w:rsid w:val="00066542"/>
    <w:rsid w:val="000665B9"/>
    <w:rsid w:val="00066666"/>
    <w:rsid w:val="0006667C"/>
    <w:rsid w:val="00066711"/>
    <w:rsid w:val="000667F3"/>
    <w:rsid w:val="000668E7"/>
    <w:rsid w:val="00066938"/>
    <w:rsid w:val="00066B4E"/>
    <w:rsid w:val="00066B95"/>
    <w:rsid w:val="00066BC8"/>
    <w:rsid w:val="00066C3A"/>
    <w:rsid w:val="00066C54"/>
    <w:rsid w:val="00066D37"/>
    <w:rsid w:val="00066DBE"/>
    <w:rsid w:val="00066E4B"/>
    <w:rsid w:val="00066F10"/>
    <w:rsid w:val="000670AA"/>
    <w:rsid w:val="0006719B"/>
    <w:rsid w:val="0006730B"/>
    <w:rsid w:val="00067433"/>
    <w:rsid w:val="00067465"/>
    <w:rsid w:val="00067479"/>
    <w:rsid w:val="000674FD"/>
    <w:rsid w:val="00067599"/>
    <w:rsid w:val="00067665"/>
    <w:rsid w:val="000676BD"/>
    <w:rsid w:val="00067833"/>
    <w:rsid w:val="00067871"/>
    <w:rsid w:val="000679B0"/>
    <w:rsid w:val="000679CB"/>
    <w:rsid w:val="00067CB2"/>
    <w:rsid w:val="00067E92"/>
    <w:rsid w:val="00067F9F"/>
    <w:rsid w:val="00067FFC"/>
    <w:rsid w:val="0007006E"/>
    <w:rsid w:val="00070072"/>
    <w:rsid w:val="00070159"/>
    <w:rsid w:val="0007025D"/>
    <w:rsid w:val="000703A2"/>
    <w:rsid w:val="000704F1"/>
    <w:rsid w:val="000704F2"/>
    <w:rsid w:val="00070576"/>
    <w:rsid w:val="000706FE"/>
    <w:rsid w:val="00070766"/>
    <w:rsid w:val="00070834"/>
    <w:rsid w:val="00070A76"/>
    <w:rsid w:val="00070B13"/>
    <w:rsid w:val="00070B2A"/>
    <w:rsid w:val="00070C7B"/>
    <w:rsid w:val="00070ED9"/>
    <w:rsid w:val="00070FF0"/>
    <w:rsid w:val="000710F2"/>
    <w:rsid w:val="0007116A"/>
    <w:rsid w:val="000711C5"/>
    <w:rsid w:val="00071202"/>
    <w:rsid w:val="000712DA"/>
    <w:rsid w:val="000713AA"/>
    <w:rsid w:val="0007144C"/>
    <w:rsid w:val="00071538"/>
    <w:rsid w:val="0007155A"/>
    <w:rsid w:val="00071616"/>
    <w:rsid w:val="0007164E"/>
    <w:rsid w:val="000716C6"/>
    <w:rsid w:val="00071751"/>
    <w:rsid w:val="000717C2"/>
    <w:rsid w:val="0007183C"/>
    <w:rsid w:val="00071911"/>
    <w:rsid w:val="00071940"/>
    <w:rsid w:val="00071B9B"/>
    <w:rsid w:val="00071BF0"/>
    <w:rsid w:val="00071BF2"/>
    <w:rsid w:val="00071C06"/>
    <w:rsid w:val="00071C80"/>
    <w:rsid w:val="00071CE4"/>
    <w:rsid w:val="00071CEB"/>
    <w:rsid w:val="00071E07"/>
    <w:rsid w:val="00071ED1"/>
    <w:rsid w:val="00071ED4"/>
    <w:rsid w:val="00071EDE"/>
    <w:rsid w:val="00071FE6"/>
    <w:rsid w:val="0007201E"/>
    <w:rsid w:val="000721F2"/>
    <w:rsid w:val="00072274"/>
    <w:rsid w:val="0007228A"/>
    <w:rsid w:val="00072431"/>
    <w:rsid w:val="0007248B"/>
    <w:rsid w:val="0007254B"/>
    <w:rsid w:val="000725DD"/>
    <w:rsid w:val="000726FB"/>
    <w:rsid w:val="00072770"/>
    <w:rsid w:val="000727CC"/>
    <w:rsid w:val="000728F9"/>
    <w:rsid w:val="00072938"/>
    <w:rsid w:val="00072B5C"/>
    <w:rsid w:val="00072BFC"/>
    <w:rsid w:val="00072C0F"/>
    <w:rsid w:val="00072C26"/>
    <w:rsid w:val="00072C4C"/>
    <w:rsid w:val="00072CB0"/>
    <w:rsid w:val="00072EC9"/>
    <w:rsid w:val="00072F7E"/>
    <w:rsid w:val="00072FBC"/>
    <w:rsid w:val="0007316E"/>
    <w:rsid w:val="00073199"/>
    <w:rsid w:val="00073291"/>
    <w:rsid w:val="000732FD"/>
    <w:rsid w:val="00073328"/>
    <w:rsid w:val="00073337"/>
    <w:rsid w:val="0007341A"/>
    <w:rsid w:val="000735BC"/>
    <w:rsid w:val="00073601"/>
    <w:rsid w:val="00073717"/>
    <w:rsid w:val="00073793"/>
    <w:rsid w:val="00073820"/>
    <w:rsid w:val="00073830"/>
    <w:rsid w:val="0007395B"/>
    <w:rsid w:val="00073988"/>
    <w:rsid w:val="00073C6E"/>
    <w:rsid w:val="0007408E"/>
    <w:rsid w:val="0007418E"/>
    <w:rsid w:val="000742CE"/>
    <w:rsid w:val="00074561"/>
    <w:rsid w:val="00074574"/>
    <w:rsid w:val="000746A7"/>
    <w:rsid w:val="00074714"/>
    <w:rsid w:val="000748E5"/>
    <w:rsid w:val="00074917"/>
    <w:rsid w:val="000749AC"/>
    <w:rsid w:val="00074A6C"/>
    <w:rsid w:val="00074ABF"/>
    <w:rsid w:val="00074BC6"/>
    <w:rsid w:val="00074E07"/>
    <w:rsid w:val="00075005"/>
    <w:rsid w:val="00075016"/>
    <w:rsid w:val="0007517E"/>
    <w:rsid w:val="000751AA"/>
    <w:rsid w:val="00075276"/>
    <w:rsid w:val="000752F5"/>
    <w:rsid w:val="00075306"/>
    <w:rsid w:val="000753A0"/>
    <w:rsid w:val="000754BE"/>
    <w:rsid w:val="0007562D"/>
    <w:rsid w:val="00075706"/>
    <w:rsid w:val="00075746"/>
    <w:rsid w:val="000757B8"/>
    <w:rsid w:val="0007596D"/>
    <w:rsid w:val="00075991"/>
    <w:rsid w:val="000759B2"/>
    <w:rsid w:val="000759CB"/>
    <w:rsid w:val="00075A38"/>
    <w:rsid w:val="00075A6B"/>
    <w:rsid w:val="00075BF2"/>
    <w:rsid w:val="00075D0D"/>
    <w:rsid w:val="00075D69"/>
    <w:rsid w:val="00075D6B"/>
    <w:rsid w:val="00075EA2"/>
    <w:rsid w:val="00075F9A"/>
    <w:rsid w:val="00076059"/>
    <w:rsid w:val="00076215"/>
    <w:rsid w:val="00076274"/>
    <w:rsid w:val="00076361"/>
    <w:rsid w:val="0007646F"/>
    <w:rsid w:val="00076558"/>
    <w:rsid w:val="00076567"/>
    <w:rsid w:val="0007673D"/>
    <w:rsid w:val="000768C9"/>
    <w:rsid w:val="00076D1A"/>
    <w:rsid w:val="00076D35"/>
    <w:rsid w:val="00076E77"/>
    <w:rsid w:val="00076F95"/>
    <w:rsid w:val="00076FDE"/>
    <w:rsid w:val="000770A3"/>
    <w:rsid w:val="00077356"/>
    <w:rsid w:val="000773AC"/>
    <w:rsid w:val="000773AE"/>
    <w:rsid w:val="00077428"/>
    <w:rsid w:val="000774A4"/>
    <w:rsid w:val="0007756D"/>
    <w:rsid w:val="00077583"/>
    <w:rsid w:val="000775E8"/>
    <w:rsid w:val="00077833"/>
    <w:rsid w:val="000778E9"/>
    <w:rsid w:val="000779CF"/>
    <w:rsid w:val="00077A25"/>
    <w:rsid w:val="00077A3B"/>
    <w:rsid w:val="00077ADB"/>
    <w:rsid w:val="00077CE1"/>
    <w:rsid w:val="00077D11"/>
    <w:rsid w:val="00077D41"/>
    <w:rsid w:val="00077E05"/>
    <w:rsid w:val="00077E15"/>
    <w:rsid w:val="00077E6F"/>
    <w:rsid w:val="00077F1C"/>
    <w:rsid w:val="00080115"/>
    <w:rsid w:val="00080288"/>
    <w:rsid w:val="00080328"/>
    <w:rsid w:val="000804A7"/>
    <w:rsid w:val="000804AF"/>
    <w:rsid w:val="000804DF"/>
    <w:rsid w:val="000804F5"/>
    <w:rsid w:val="00080617"/>
    <w:rsid w:val="0008061B"/>
    <w:rsid w:val="00080753"/>
    <w:rsid w:val="000807AB"/>
    <w:rsid w:val="000807E4"/>
    <w:rsid w:val="00080814"/>
    <w:rsid w:val="000808AA"/>
    <w:rsid w:val="0008096E"/>
    <w:rsid w:val="000809B4"/>
    <w:rsid w:val="00080A9B"/>
    <w:rsid w:val="00080AD0"/>
    <w:rsid w:val="00080BCB"/>
    <w:rsid w:val="00080C57"/>
    <w:rsid w:val="00080C79"/>
    <w:rsid w:val="00080ECC"/>
    <w:rsid w:val="00080ECD"/>
    <w:rsid w:val="00080EF3"/>
    <w:rsid w:val="00080EFC"/>
    <w:rsid w:val="00080F98"/>
    <w:rsid w:val="00080FAA"/>
    <w:rsid w:val="00080FC8"/>
    <w:rsid w:val="00081087"/>
    <w:rsid w:val="00081186"/>
    <w:rsid w:val="00081334"/>
    <w:rsid w:val="000815B7"/>
    <w:rsid w:val="000815ED"/>
    <w:rsid w:val="000815F9"/>
    <w:rsid w:val="00081640"/>
    <w:rsid w:val="000818E3"/>
    <w:rsid w:val="0008195F"/>
    <w:rsid w:val="00081B59"/>
    <w:rsid w:val="00081CA9"/>
    <w:rsid w:val="00081CBC"/>
    <w:rsid w:val="00081CCD"/>
    <w:rsid w:val="00081CCF"/>
    <w:rsid w:val="00081D78"/>
    <w:rsid w:val="00081E33"/>
    <w:rsid w:val="00081E38"/>
    <w:rsid w:val="00081E5F"/>
    <w:rsid w:val="00081F47"/>
    <w:rsid w:val="00081FB9"/>
    <w:rsid w:val="0008202B"/>
    <w:rsid w:val="00082098"/>
    <w:rsid w:val="00082265"/>
    <w:rsid w:val="00082376"/>
    <w:rsid w:val="00082531"/>
    <w:rsid w:val="00082664"/>
    <w:rsid w:val="000827DA"/>
    <w:rsid w:val="000827E9"/>
    <w:rsid w:val="0008285B"/>
    <w:rsid w:val="000829B2"/>
    <w:rsid w:val="00082A06"/>
    <w:rsid w:val="00082A08"/>
    <w:rsid w:val="00082A60"/>
    <w:rsid w:val="00082DA2"/>
    <w:rsid w:val="00082E94"/>
    <w:rsid w:val="0008301E"/>
    <w:rsid w:val="0008307C"/>
    <w:rsid w:val="0008311A"/>
    <w:rsid w:val="000831A0"/>
    <w:rsid w:val="00083264"/>
    <w:rsid w:val="000832F3"/>
    <w:rsid w:val="000834E7"/>
    <w:rsid w:val="00083536"/>
    <w:rsid w:val="000835AA"/>
    <w:rsid w:val="000835C3"/>
    <w:rsid w:val="00083629"/>
    <w:rsid w:val="00083642"/>
    <w:rsid w:val="0008364B"/>
    <w:rsid w:val="000836AA"/>
    <w:rsid w:val="000837B6"/>
    <w:rsid w:val="000837F3"/>
    <w:rsid w:val="00083888"/>
    <w:rsid w:val="00083932"/>
    <w:rsid w:val="00083A3F"/>
    <w:rsid w:val="00083A40"/>
    <w:rsid w:val="00083B7E"/>
    <w:rsid w:val="00083BAC"/>
    <w:rsid w:val="00083BAD"/>
    <w:rsid w:val="00083BB6"/>
    <w:rsid w:val="00083BB9"/>
    <w:rsid w:val="00083CF4"/>
    <w:rsid w:val="00083D5B"/>
    <w:rsid w:val="00083DCC"/>
    <w:rsid w:val="00083F30"/>
    <w:rsid w:val="00083FBD"/>
    <w:rsid w:val="00083FEB"/>
    <w:rsid w:val="000841FA"/>
    <w:rsid w:val="0008421F"/>
    <w:rsid w:val="00084330"/>
    <w:rsid w:val="0008445F"/>
    <w:rsid w:val="00084473"/>
    <w:rsid w:val="000845D3"/>
    <w:rsid w:val="00084626"/>
    <w:rsid w:val="00084635"/>
    <w:rsid w:val="0008479B"/>
    <w:rsid w:val="00084A07"/>
    <w:rsid w:val="00084E61"/>
    <w:rsid w:val="00084F29"/>
    <w:rsid w:val="00084F41"/>
    <w:rsid w:val="00084FCB"/>
    <w:rsid w:val="000850BB"/>
    <w:rsid w:val="00085197"/>
    <w:rsid w:val="00085204"/>
    <w:rsid w:val="0008523A"/>
    <w:rsid w:val="0008525A"/>
    <w:rsid w:val="0008525B"/>
    <w:rsid w:val="00085295"/>
    <w:rsid w:val="0008533C"/>
    <w:rsid w:val="00085439"/>
    <w:rsid w:val="00085488"/>
    <w:rsid w:val="000854F8"/>
    <w:rsid w:val="000855B2"/>
    <w:rsid w:val="000855EC"/>
    <w:rsid w:val="00085635"/>
    <w:rsid w:val="00085653"/>
    <w:rsid w:val="00085665"/>
    <w:rsid w:val="000856DD"/>
    <w:rsid w:val="0008576A"/>
    <w:rsid w:val="000857C0"/>
    <w:rsid w:val="000857E7"/>
    <w:rsid w:val="00085A52"/>
    <w:rsid w:val="00085B34"/>
    <w:rsid w:val="00085E6B"/>
    <w:rsid w:val="00085EBC"/>
    <w:rsid w:val="00085EE1"/>
    <w:rsid w:val="00085EFA"/>
    <w:rsid w:val="00085F7E"/>
    <w:rsid w:val="00085FA4"/>
    <w:rsid w:val="0008605A"/>
    <w:rsid w:val="000860AA"/>
    <w:rsid w:val="00086180"/>
    <w:rsid w:val="00086251"/>
    <w:rsid w:val="000862C5"/>
    <w:rsid w:val="00086355"/>
    <w:rsid w:val="000863D3"/>
    <w:rsid w:val="000863E8"/>
    <w:rsid w:val="0008644F"/>
    <w:rsid w:val="00086762"/>
    <w:rsid w:val="000867B8"/>
    <w:rsid w:val="000868A4"/>
    <w:rsid w:val="0008695F"/>
    <w:rsid w:val="00086991"/>
    <w:rsid w:val="00086A3B"/>
    <w:rsid w:val="00086B34"/>
    <w:rsid w:val="00086C87"/>
    <w:rsid w:val="00086CAA"/>
    <w:rsid w:val="00086DA2"/>
    <w:rsid w:val="00086DA6"/>
    <w:rsid w:val="00086DCE"/>
    <w:rsid w:val="00086E5F"/>
    <w:rsid w:val="00087104"/>
    <w:rsid w:val="00087129"/>
    <w:rsid w:val="000871DC"/>
    <w:rsid w:val="00087335"/>
    <w:rsid w:val="000875D7"/>
    <w:rsid w:val="000875FC"/>
    <w:rsid w:val="00087656"/>
    <w:rsid w:val="000877DE"/>
    <w:rsid w:val="000877E6"/>
    <w:rsid w:val="00087902"/>
    <w:rsid w:val="000879A7"/>
    <w:rsid w:val="00087A8C"/>
    <w:rsid w:val="00087AEC"/>
    <w:rsid w:val="00087B46"/>
    <w:rsid w:val="00087B5D"/>
    <w:rsid w:val="00087D3F"/>
    <w:rsid w:val="00087D82"/>
    <w:rsid w:val="00087DBF"/>
    <w:rsid w:val="00087E0F"/>
    <w:rsid w:val="00087E2F"/>
    <w:rsid w:val="00087E95"/>
    <w:rsid w:val="00087ECA"/>
    <w:rsid w:val="00087F28"/>
    <w:rsid w:val="00087FC5"/>
    <w:rsid w:val="00087FC9"/>
    <w:rsid w:val="00087FDE"/>
    <w:rsid w:val="00087FEF"/>
    <w:rsid w:val="000901B6"/>
    <w:rsid w:val="000902E6"/>
    <w:rsid w:val="00090362"/>
    <w:rsid w:val="00090509"/>
    <w:rsid w:val="000905FF"/>
    <w:rsid w:val="000906AC"/>
    <w:rsid w:val="000906B2"/>
    <w:rsid w:val="00090742"/>
    <w:rsid w:val="000908D4"/>
    <w:rsid w:val="00090B09"/>
    <w:rsid w:val="00090B9A"/>
    <w:rsid w:val="00090BF0"/>
    <w:rsid w:val="00090C36"/>
    <w:rsid w:val="00090D53"/>
    <w:rsid w:val="00090D7F"/>
    <w:rsid w:val="00090E32"/>
    <w:rsid w:val="00090FCE"/>
    <w:rsid w:val="000910BA"/>
    <w:rsid w:val="000910CD"/>
    <w:rsid w:val="000912DB"/>
    <w:rsid w:val="000912DC"/>
    <w:rsid w:val="000915AB"/>
    <w:rsid w:val="0009172D"/>
    <w:rsid w:val="00091785"/>
    <w:rsid w:val="000918D1"/>
    <w:rsid w:val="0009192C"/>
    <w:rsid w:val="00091D0B"/>
    <w:rsid w:val="00091D45"/>
    <w:rsid w:val="00091D75"/>
    <w:rsid w:val="00091D9E"/>
    <w:rsid w:val="00091E69"/>
    <w:rsid w:val="00091F15"/>
    <w:rsid w:val="00092098"/>
    <w:rsid w:val="000920DD"/>
    <w:rsid w:val="0009217E"/>
    <w:rsid w:val="000922B0"/>
    <w:rsid w:val="00092497"/>
    <w:rsid w:val="00092641"/>
    <w:rsid w:val="00092657"/>
    <w:rsid w:val="000926F9"/>
    <w:rsid w:val="0009293A"/>
    <w:rsid w:val="00092973"/>
    <w:rsid w:val="00092B35"/>
    <w:rsid w:val="00092DE6"/>
    <w:rsid w:val="00092F41"/>
    <w:rsid w:val="0009304D"/>
    <w:rsid w:val="000930E1"/>
    <w:rsid w:val="000931C8"/>
    <w:rsid w:val="0009321C"/>
    <w:rsid w:val="00093250"/>
    <w:rsid w:val="000932B4"/>
    <w:rsid w:val="00093742"/>
    <w:rsid w:val="00093890"/>
    <w:rsid w:val="000939C4"/>
    <w:rsid w:val="00093A60"/>
    <w:rsid w:val="00093AC1"/>
    <w:rsid w:val="00093CBF"/>
    <w:rsid w:val="00093E57"/>
    <w:rsid w:val="00093FD5"/>
    <w:rsid w:val="0009400A"/>
    <w:rsid w:val="0009401B"/>
    <w:rsid w:val="0009404A"/>
    <w:rsid w:val="0009405C"/>
    <w:rsid w:val="000941B4"/>
    <w:rsid w:val="00094240"/>
    <w:rsid w:val="000942C7"/>
    <w:rsid w:val="000943BF"/>
    <w:rsid w:val="000945D3"/>
    <w:rsid w:val="000946E7"/>
    <w:rsid w:val="000947D3"/>
    <w:rsid w:val="000947E4"/>
    <w:rsid w:val="00094870"/>
    <w:rsid w:val="000948A3"/>
    <w:rsid w:val="0009493A"/>
    <w:rsid w:val="0009493C"/>
    <w:rsid w:val="000949C6"/>
    <w:rsid w:val="00094B67"/>
    <w:rsid w:val="00094B7A"/>
    <w:rsid w:val="00094B80"/>
    <w:rsid w:val="00094BD2"/>
    <w:rsid w:val="00094C48"/>
    <w:rsid w:val="00094C7B"/>
    <w:rsid w:val="00094F02"/>
    <w:rsid w:val="00095147"/>
    <w:rsid w:val="0009516C"/>
    <w:rsid w:val="00095230"/>
    <w:rsid w:val="000952A4"/>
    <w:rsid w:val="000952B4"/>
    <w:rsid w:val="00095385"/>
    <w:rsid w:val="0009541D"/>
    <w:rsid w:val="0009547C"/>
    <w:rsid w:val="0009562C"/>
    <w:rsid w:val="000956FB"/>
    <w:rsid w:val="000957A3"/>
    <w:rsid w:val="000957BD"/>
    <w:rsid w:val="000957C9"/>
    <w:rsid w:val="0009583F"/>
    <w:rsid w:val="0009588D"/>
    <w:rsid w:val="00095938"/>
    <w:rsid w:val="000959BF"/>
    <w:rsid w:val="00095AC8"/>
    <w:rsid w:val="00095AD8"/>
    <w:rsid w:val="00095B4D"/>
    <w:rsid w:val="00095BB1"/>
    <w:rsid w:val="00095E6C"/>
    <w:rsid w:val="00095EBC"/>
    <w:rsid w:val="00095EBF"/>
    <w:rsid w:val="00095F0B"/>
    <w:rsid w:val="00095FED"/>
    <w:rsid w:val="00096086"/>
    <w:rsid w:val="000960CC"/>
    <w:rsid w:val="000960CE"/>
    <w:rsid w:val="00096164"/>
    <w:rsid w:val="00096176"/>
    <w:rsid w:val="000961F5"/>
    <w:rsid w:val="000961F7"/>
    <w:rsid w:val="000962DF"/>
    <w:rsid w:val="0009637E"/>
    <w:rsid w:val="000963FB"/>
    <w:rsid w:val="000964A9"/>
    <w:rsid w:val="000965C7"/>
    <w:rsid w:val="00096615"/>
    <w:rsid w:val="00096684"/>
    <w:rsid w:val="00096736"/>
    <w:rsid w:val="0009673B"/>
    <w:rsid w:val="0009684A"/>
    <w:rsid w:val="00096A95"/>
    <w:rsid w:val="00096B4C"/>
    <w:rsid w:val="00096B9E"/>
    <w:rsid w:val="00096BD8"/>
    <w:rsid w:val="00096F04"/>
    <w:rsid w:val="00096F87"/>
    <w:rsid w:val="00096F9F"/>
    <w:rsid w:val="00096FBD"/>
    <w:rsid w:val="0009726B"/>
    <w:rsid w:val="00097313"/>
    <w:rsid w:val="00097337"/>
    <w:rsid w:val="000973CA"/>
    <w:rsid w:val="000974EA"/>
    <w:rsid w:val="00097545"/>
    <w:rsid w:val="00097698"/>
    <w:rsid w:val="0009783D"/>
    <w:rsid w:val="000978D7"/>
    <w:rsid w:val="00097978"/>
    <w:rsid w:val="00097994"/>
    <w:rsid w:val="00097B73"/>
    <w:rsid w:val="00097BDD"/>
    <w:rsid w:val="00097C69"/>
    <w:rsid w:val="00097F5F"/>
    <w:rsid w:val="00097FF8"/>
    <w:rsid w:val="000A003B"/>
    <w:rsid w:val="000A0381"/>
    <w:rsid w:val="000A0410"/>
    <w:rsid w:val="000A044F"/>
    <w:rsid w:val="000A0510"/>
    <w:rsid w:val="000A0689"/>
    <w:rsid w:val="000A0759"/>
    <w:rsid w:val="000A0768"/>
    <w:rsid w:val="000A07D7"/>
    <w:rsid w:val="000A081C"/>
    <w:rsid w:val="000A0824"/>
    <w:rsid w:val="000A0B0F"/>
    <w:rsid w:val="000A0B4C"/>
    <w:rsid w:val="000A0BB4"/>
    <w:rsid w:val="000A0CCD"/>
    <w:rsid w:val="000A0FEE"/>
    <w:rsid w:val="000A10C1"/>
    <w:rsid w:val="000A10E2"/>
    <w:rsid w:val="000A1115"/>
    <w:rsid w:val="000A120D"/>
    <w:rsid w:val="000A1237"/>
    <w:rsid w:val="000A12C8"/>
    <w:rsid w:val="000A12D2"/>
    <w:rsid w:val="000A1342"/>
    <w:rsid w:val="000A15C8"/>
    <w:rsid w:val="000A161B"/>
    <w:rsid w:val="000A1639"/>
    <w:rsid w:val="000A17B7"/>
    <w:rsid w:val="000A1888"/>
    <w:rsid w:val="000A1994"/>
    <w:rsid w:val="000A19C7"/>
    <w:rsid w:val="000A1A39"/>
    <w:rsid w:val="000A1A5C"/>
    <w:rsid w:val="000A1B00"/>
    <w:rsid w:val="000A1B4D"/>
    <w:rsid w:val="000A1BF0"/>
    <w:rsid w:val="000A1C02"/>
    <w:rsid w:val="000A1C50"/>
    <w:rsid w:val="000A1D9F"/>
    <w:rsid w:val="000A1E31"/>
    <w:rsid w:val="000A1F08"/>
    <w:rsid w:val="000A1F10"/>
    <w:rsid w:val="000A1F97"/>
    <w:rsid w:val="000A2124"/>
    <w:rsid w:val="000A2125"/>
    <w:rsid w:val="000A21A3"/>
    <w:rsid w:val="000A22F3"/>
    <w:rsid w:val="000A2328"/>
    <w:rsid w:val="000A232B"/>
    <w:rsid w:val="000A2336"/>
    <w:rsid w:val="000A281C"/>
    <w:rsid w:val="000A2871"/>
    <w:rsid w:val="000A28A6"/>
    <w:rsid w:val="000A29C6"/>
    <w:rsid w:val="000A2A10"/>
    <w:rsid w:val="000A2BC2"/>
    <w:rsid w:val="000A2CA7"/>
    <w:rsid w:val="000A2D30"/>
    <w:rsid w:val="000A2EA7"/>
    <w:rsid w:val="000A2ECA"/>
    <w:rsid w:val="000A3091"/>
    <w:rsid w:val="000A3156"/>
    <w:rsid w:val="000A3234"/>
    <w:rsid w:val="000A326E"/>
    <w:rsid w:val="000A328F"/>
    <w:rsid w:val="000A32DF"/>
    <w:rsid w:val="000A335C"/>
    <w:rsid w:val="000A3389"/>
    <w:rsid w:val="000A33E4"/>
    <w:rsid w:val="000A34AB"/>
    <w:rsid w:val="000A3636"/>
    <w:rsid w:val="000A3683"/>
    <w:rsid w:val="000A368E"/>
    <w:rsid w:val="000A390F"/>
    <w:rsid w:val="000A39E2"/>
    <w:rsid w:val="000A3A81"/>
    <w:rsid w:val="000A3AC2"/>
    <w:rsid w:val="000A3AC4"/>
    <w:rsid w:val="000A3B21"/>
    <w:rsid w:val="000A3CAF"/>
    <w:rsid w:val="000A3D5B"/>
    <w:rsid w:val="000A3F5A"/>
    <w:rsid w:val="000A406B"/>
    <w:rsid w:val="000A411F"/>
    <w:rsid w:val="000A41B2"/>
    <w:rsid w:val="000A4579"/>
    <w:rsid w:val="000A45D9"/>
    <w:rsid w:val="000A47F2"/>
    <w:rsid w:val="000A49B4"/>
    <w:rsid w:val="000A4B43"/>
    <w:rsid w:val="000A4C0F"/>
    <w:rsid w:val="000A4D2D"/>
    <w:rsid w:val="000A4E3E"/>
    <w:rsid w:val="000A4EEA"/>
    <w:rsid w:val="000A4FC1"/>
    <w:rsid w:val="000A514B"/>
    <w:rsid w:val="000A514F"/>
    <w:rsid w:val="000A5206"/>
    <w:rsid w:val="000A5370"/>
    <w:rsid w:val="000A5386"/>
    <w:rsid w:val="000A53D3"/>
    <w:rsid w:val="000A53F8"/>
    <w:rsid w:val="000A54A9"/>
    <w:rsid w:val="000A55C3"/>
    <w:rsid w:val="000A55E5"/>
    <w:rsid w:val="000A568E"/>
    <w:rsid w:val="000A58AC"/>
    <w:rsid w:val="000A58B6"/>
    <w:rsid w:val="000A5B24"/>
    <w:rsid w:val="000A5B41"/>
    <w:rsid w:val="000A5BF7"/>
    <w:rsid w:val="000A5D71"/>
    <w:rsid w:val="000A5D91"/>
    <w:rsid w:val="000A5E75"/>
    <w:rsid w:val="000A5EFD"/>
    <w:rsid w:val="000A5F4A"/>
    <w:rsid w:val="000A5F6B"/>
    <w:rsid w:val="000A5FBD"/>
    <w:rsid w:val="000A60BD"/>
    <w:rsid w:val="000A6142"/>
    <w:rsid w:val="000A6191"/>
    <w:rsid w:val="000A6206"/>
    <w:rsid w:val="000A6229"/>
    <w:rsid w:val="000A6247"/>
    <w:rsid w:val="000A6628"/>
    <w:rsid w:val="000A6634"/>
    <w:rsid w:val="000A66C3"/>
    <w:rsid w:val="000A66CB"/>
    <w:rsid w:val="000A670E"/>
    <w:rsid w:val="000A671E"/>
    <w:rsid w:val="000A67BF"/>
    <w:rsid w:val="000A6871"/>
    <w:rsid w:val="000A6911"/>
    <w:rsid w:val="000A6922"/>
    <w:rsid w:val="000A6992"/>
    <w:rsid w:val="000A6A1A"/>
    <w:rsid w:val="000A6B51"/>
    <w:rsid w:val="000A6B53"/>
    <w:rsid w:val="000A6BFF"/>
    <w:rsid w:val="000A6D98"/>
    <w:rsid w:val="000A6E32"/>
    <w:rsid w:val="000A6E7A"/>
    <w:rsid w:val="000A7157"/>
    <w:rsid w:val="000A7181"/>
    <w:rsid w:val="000A719C"/>
    <w:rsid w:val="000A71A8"/>
    <w:rsid w:val="000A71D4"/>
    <w:rsid w:val="000A723A"/>
    <w:rsid w:val="000A7271"/>
    <w:rsid w:val="000A7332"/>
    <w:rsid w:val="000A7396"/>
    <w:rsid w:val="000A742F"/>
    <w:rsid w:val="000A7444"/>
    <w:rsid w:val="000A757F"/>
    <w:rsid w:val="000A7676"/>
    <w:rsid w:val="000A7788"/>
    <w:rsid w:val="000A7790"/>
    <w:rsid w:val="000A77D8"/>
    <w:rsid w:val="000A7800"/>
    <w:rsid w:val="000A782C"/>
    <w:rsid w:val="000A784E"/>
    <w:rsid w:val="000A78B6"/>
    <w:rsid w:val="000A792F"/>
    <w:rsid w:val="000A7B32"/>
    <w:rsid w:val="000A7B61"/>
    <w:rsid w:val="000A7BB5"/>
    <w:rsid w:val="000A7C30"/>
    <w:rsid w:val="000A7C6D"/>
    <w:rsid w:val="000A7CFE"/>
    <w:rsid w:val="000A7D75"/>
    <w:rsid w:val="000A7D77"/>
    <w:rsid w:val="000A7F4A"/>
    <w:rsid w:val="000B001C"/>
    <w:rsid w:val="000B003A"/>
    <w:rsid w:val="000B0175"/>
    <w:rsid w:val="000B031E"/>
    <w:rsid w:val="000B0358"/>
    <w:rsid w:val="000B0412"/>
    <w:rsid w:val="000B056D"/>
    <w:rsid w:val="000B0697"/>
    <w:rsid w:val="000B07C2"/>
    <w:rsid w:val="000B0857"/>
    <w:rsid w:val="000B08F2"/>
    <w:rsid w:val="000B09B3"/>
    <w:rsid w:val="000B0ADA"/>
    <w:rsid w:val="000B0B4A"/>
    <w:rsid w:val="000B0B88"/>
    <w:rsid w:val="000B0CE7"/>
    <w:rsid w:val="000B0D01"/>
    <w:rsid w:val="000B0DA4"/>
    <w:rsid w:val="000B0DB3"/>
    <w:rsid w:val="000B0DD5"/>
    <w:rsid w:val="000B0E51"/>
    <w:rsid w:val="000B0EF5"/>
    <w:rsid w:val="000B10C7"/>
    <w:rsid w:val="000B124F"/>
    <w:rsid w:val="000B135D"/>
    <w:rsid w:val="000B13E1"/>
    <w:rsid w:val="000B146B"/>
    <w:rsid w:val="000B155A"/>
    <w:rsid w:val="000B1690"/>
    <w:rsid w:val="000B18B8"/>
    <w:rsid w:val="000B1947"/>
    <w:rsid w:val="000B1971"/>
    <w:rsid w:val="000B198E"/>
    <w:rsid w:val="000B1AD5"/>
    <w:rsid w:val="000B1B44"/>
    <w:rsid w:val="000B1BC5"/>
    <w:rsid w:val="000B1BCA"/>
    <w:rsid w:val="000B1BF2"/>
    <w:rsid w:val="000B1DFA"/>
    <w:rsid w:val="000B1E01"/>
    <w:rsid w:val="000B1E0C"/>
    <w:rsid w:val="000B1EA9"/>
    <w:rsid w:val="000B2106"/>
    <w:rsid w:val="000B2122"/>
    <w:rsid w:val="000B2199"/>
    <w:rsid w:val="000B21CD"/>
    <w:rsid w:val="000B21D8"/>
    <w:rsid w:val="000B2370"/>
    <w:rsid w:val="000B239F"/>
    <w:rsid w:val="000B2416"/>
    <w:rsid w:val="000B241A"/>
    <w:rsid w:val="000B249A"/>
    <w:rsid w:val="000B2604"/>
    <w:rsid w:val="000B262A"/>
    <w:rsid w:val="000B2698"/>
    <w:rsid w:val="000B2746"/>
    <w:rsid w:val="000B27A4"/>
    <w:rsid w:val="000B2A7D"/>
    <w:rsid w:val="000B2BA9"/>
    <w:rsid w:val="000B2BCF"/>
    <w:rsid w:val="000B2BD0"/>
    <w:rsid w:val="000B2C87"/>
    <w:rsid w:val="000B2D52"/>
    <w:rsid w:val="000B2F14"/>
    <w:rsid w:val="000B2F2B"/>
    <w:rsid w:val="000B2F5D"/>
    <w:rsid w:val="000B2F9B"/>
    <w:rsid w:val="000B30C7"/>
    <w:rsid w:val="000B30E0"/>
    <w:rsid w:val="000B323F"/>
    <w:rsid w:val="000B326F"/>
    <w:rsid w:val="000B32CF"/>
    <w:rsid w:val="000B330D"/>
    <w:rsid w:val="000B3377"/>
    <w:rsid w:val="000B33C0"/>
    <w:rsid w:val="000B33F6"/>
    <w:rsid w:val="000B3480"/>
    <w:rsid w:val="000B3496"/>
    <w:rsid w:val="000B34C9"/>
    <w:rsid w:val="000B376B"/>
    <w:rsid w:val="000B37B9"/>
    <w:rsid w:val="000B3826"/>
    <w:rsid w:val="000B3855"/>
    <w:rsid w:val="000B38D9"/>
    <w:rsid w:val="000B3944"/>
    <w:rsid w:val="000B3A3E"/>
    <w:rsid w:val="000B3A4F"/>
    <w:rsid w:val="000B3BD8"/>
    <w:rsid w:val="000B3D6D"/>
    <w:rsid w:val="000B3EB6"/>
    <w:rsid w:val="000B3EE3"/>
    <w:rsid w:val="000B41D8"/>
    <w:rsid w:val="000B441D"/>
    <w:rsid w:val="000B445E"/>
    <w:rsid w:val="000B44B3"/>
    <w:rsid w:val="000B44D2"/>
    <w:rsid w:val="000B45B0"/>
    <w:rsid w:val="000B46DF"/>
    <w:rsid w:val="000B4760"/>
    <w:rsid w:val="000B4835"/>
    <w:rsid w:val="000B4869"/>
    <w:rsid w:val="000B4966"/>
    <w:rsid w:val="000B499E"/>
    <w:rsid w:val="000B49BF"/>
    <w:rsid w:val="000B4B83"/>
    <w:rsid w:val="000B4CC3"/>
    <w:rsid w:val="000B4D2B"/>
    <w:rsid w:val="000B4D3E"/>
    <w:rsid w:val="000B4D68"/>
    <w:rsid w:val="000B4E61"/>
    <w:rsid w:val="000B4E8F"/>
    <w:rsid w:val="000B4EA2"/>
    <w:rsid w:val="000B4EBB"/>
    <w:rsid w:val="000B4ECA"/>
    <w:rsid w:val="000B4F8A"/>
    <w:rsid w:val="000B5227"/>
    <w:rsid w:val="000B5293"/>
    <w:rsid w:val="000B52A6"/>
    <w:rsid w:val="000B52B6"/>
    <w:rsid w:val="000B52BF"/>
    <w:rsid w:val="000B5309"/>
    <w:rsid w:val="000B5332"/>
    <w:rsid w:val="000B5462"/>
    <w:rsid w:val="000B562F"/>
    <w:rsid w:val="000B568B"/>
    <w:rsid w:val="000B56FC"/>
    <w:rsid w:val="000B571D"/>
    <w:rsid w:val="000B57DD"/>
    <w:rsid w:val="000B57FF"/>
    <w:rsid w:val="000B5884"/>
    <w:rsid w:val="000B5C80"/>
    <w:rsid w:val="000B5DF6"/>
    <w:rsid w:val="000B5EF7"/>
    <w:rsid w:val="000B5F4B"/>
    <w:rsid w:val="000B5F70"/>
    <w:rsid w:val="000B5F99"/>
    <w:rsid w:val="000B5FBD"/>
    <w:rsid w:val="000B62AF"/>
    <w:rsid w:val="000B63A4"/>
    <w:rsid w:val="000B63C3"/>
    <w:rsid w:val="000B63D7"/>
    <w:rsid w:val="000B642B"/>
    <w:rsid w:val="000B6509"/>
    <w:rsid w:val="000B6688"/>
    <w:rsid w:val="000B66C5"/>
    <w:rsid w:val="000B66EA"/>
    <w:rsid w:val="000B685B"/>
    <w:rsid w:val="000B6896"/>
    <w:rsid w:val="000B6947"/>
    <w:rsid w:val="000B6958"/>
    <w:rsid w:val="000B6C2B"/>
    <w:rsid w:val="000B6CBC"/>
    <w:rsid w:val="000B6CF0"/>
    <w:rsid w:val="000B6F32"/>
    <w:rsid w:val="000B6F65"/>
    <w:rsid w:val="000B6FE1"/>
    <w:rsid w:val="000B71A6"/>
    <w:rsid w:val="000B729F"/>
    <w:rsid w:val="000B7306"/>
    <w:rsid w:val="000B7341"/>
    <w:rsid w:val="000B7388"/>
    <w:rsid w:val="000B73DB"/>
    <w:rsid w:val="000B7429"/>
    <w:rsid w:val="000B7468"/>
    <w:rsid w:val="000B7514"/>
    <w:rsid w:val="000B7528"/>
    <w:rsid w:val="000B75BF"/>
    <w:rsid w:val="000B7776"/>
    <w:rsid w:val="000B7921"/>
    <w:rsid w:val="000B7C02"/>
    <w:rsid w:val="000B7D52"/>
    <w:rsid w:val="000B7E53"/>
    <w:rsid w:val="000B7F09"/>
    <w:rsid w:val="000B7FD7"/>
    <w:rsid w:val="000C016C"/>
    <w:rsid w:val="000C022E"/>
    <w:rsid w:val="000C0271"/>
    <w:rsid w:val="000C0371"/>
    <w:rsid w:val="000C0374"/>
    <w:rsid w:val="000C042E"/>
    <w:rsid w:val="000C0442"/>
    <w:rsid w:val="000C0466"/>
    <w:rsid w:val="000C047C"/>
    <w:rsid w:val="000C04D5"/>
    <w:rsid w:val="000C074C"/>
    <w:rsid w:val="000C0792"/>
    <w:rsid w:val="000C0908"/>
    <w:rsid w:val="000C0926"/>
    <w:rsid w:val="000C0930"/>
    <w:rsid w:val="000C094E"/>
    <w:rsid w:val="000C0B88"/>
    <w:rsid w:val="000C0BDA"/>
    <w:rsid w:val="000C0D43"/>
    <w:rsid w:val="000C0DBB"/>
    <w:rsid w:val="000C0E68"/>
    <w:rsid w:val="000C0EEB"/>
    <w:rsid w:val="000C0F57"/>
    <w:rsid w:val="000C0FA0"/>
    <w:rsid w:val="000C0FB8"/>
    <w:rsid w:val="000C10C7"/>
    <w:rsid w:val="000C125C"/>
    <w:rsid w:val="000C1489"/>
    <w:rsid w:val="000C1540"/>
    <w:rsid w:val="000C15E9"/>
    <w:rsid w:val="000C161C"/>
    <w:rsid w:val="000C166B"/>
    <w:rsid w:val="000C16B7"/>
    <w:rsid w:val="000C1728"/>
    <w:rsid w:val="000C1768"/>
    <w:rsid w:val="000C17A3"/>
    <w:rsid w:val="000C183D"/>
    <w:rsid w:val="000C184E"/>
    <w:rsid w:val="000C1AF3"/>
    <w:rsid w:val="000C1C7E"/>
    <w:rsid w:val="000C1D05"/>
    <w:rsid w:val="000C1E1D"/>
    <w:rsid w:val="000C1EC3"/>
    <w:rsid w:val="000C1EE0"/>
    <w:rsid w:val="000C1F3C"/>
    <w:rsid w:val="000C1F63"/>
    <w:rsid w:val="000C2094"/>
    <w:rsid w:val="000C2098"/>
    <w:rsid w:val="000C2124"/>
    <w:rsid w:val="000C2154"/>
    <w:rsid w:val="000C2421"/>
    <w:rsid w:val="000C2451"/>
    <w:rsid w:val="000C245E"/>
    <w:rsid w:val="000C24C6"/>
    <w:rsid w:val="000C24D4"/>
    <w:rsid w:val="000C270F"/>
    <w:rsid w:val="000C28C3"/>
    <w:rsid w:val="000C2AC0"/>
    <w:rsid w:val="000C2C5D"/>
    <w:rsid w:val="000C2C88"/>
    <w:rsid w:val="000C2DBD"/>
    <w:rsid w:val="000C2DD7"/>
    <w:rsid w:val="000C2F11"/>
    <w:rsid w:val="000C2F1C"/>
    <w:rsid w:val="000C2FD6"/>
    <w:rsid w:val="000C308A"/>
    <w:rsid w:val="000C31BC"/>
    <w:rsid w:val="000C31D0"/>
    <w:rsid w:val="000C32A3"/>
    <w:rsid w:val="000C32C3"/>
    <w:rsid w:val="000C33F1"/>
    <w:rsid w:val="000C35AE"/>
    <w:rsid w:val="000C368B"/>
    <w:rsid w:val="000C36CB"/>
    <w:rsid w:val="000C39C2"/>
    <w:rsid w:val="000C3A4D"/>
    <w:rsid w:val="000C3BA1"/>
    <w:rsid w:val="000C3C51"/>
    <w:rsid w:val="000C3D31"/>
    <w:rsid w:val="000C3EEE"/>
    <w:rsid w:val="000C3F25"/>
    <w:rsid w:val="000C3F28"/>
    <w:rsid w:val="000C3F76"/>
    <w:rsid w:val="000C3FAE"/>
    <w:rsid w:val="000C4021"/>
    <w:rsid w:val="000C403C"/>
    <w:rsid w:val="000C40AE"/>
    <w:rsid w:val="000C40F8"/>
    <w:rsid w:val="000C4111"/>
    <w:rsid w:val="000C420A"/>
    <w:rsid w:val="000C425F"/>
    <w:rsid w:val="000C4310"/>
    <w:rsid w:val="000C438D"/>
    <w:rsid w:val="000C4566"/>
    <w:rsid w:val="000C485F"/>
    <w:rsid w:val="000C48ED"/>
    <w:rsid w:val="000C49A9"/>
    <w:rsid w:val="000C4AF8"/>
    <w:rsid w:val="000C4B44"/>
    <w:rsid w:val="000C50BE"/>
    <w:rsid w:val="000C5117"/>
    <w:rsid w:val="000C514D"/>
    <w:rsid w:val="000C5259"/>
    <w:rsid w:val="000C541F"/>
    <w:rsid w:val="000C5498"/>
    <w:rsid w:val="000C573A"/>
    <w:rsid w:val="000C57AC"/>
    <w:rsid w:val="000C57C1"/>
    <w:rsid w:val="000C5847"/>
    <w:rsid w:val="000C5930"/>
    <w:rsid w:val="000C59CD"/>
    <w:rsid w:val="000C5A14"/>
    <w:rsid w:val="000C5BAC"/>
    <w:rsid w:val="000C5C19"/>
    <w:rsid w:val="000C5C87"/>
    <w:rsid w:val="000C5CB9"/>
    <w:rsid w:val="000C5DDE"/>
    <w:rsid w:val="000C5E13"/>
    <w:rsid w:val="000C60BA"/>
    <w:rsid w:val="000C615C"/>
    <w:rsid w:val="000C61B8"/>
    <w:rsid w:val="000C6291"/>
    <w:rsid w:val="000C641C"/>
    <w:rsid w:val="000C647C"/>
    <w:rsid w:val="000C649D"/>
    <w:rsid w:val="000C667E"/>
    <w:rsid w:val="000C67CE"/>
    <w:rsid w:val="000C6828"/>
    <w:rsid w:val="000C684E"/>
    <w:rsid w:val="000C6866"/>
    <w:rsid w:val="000C69FF"/>
    <w:rsid w:val="000C6AF2"/>
    <w:rsid w:val="000C6B0C"/>
    <w:rsid w:val="000C6D0C"/>
    <w:rsid w:val="000C6D15"/>
    <w:rsid w:val="000C6D21"/>
    <w:rsid w:val="000C6DCB"/>
    <w:rsid w:val="000C6F29"/>
    <w:rsid w:val="000C6FCD"/>
    <w:rsid w:val="000C7108"/>
    <w:rsid w:val="000C717B"/>
    <w:rsid w:val="000C7200"/>
    <w:rsid w:val="000C72F2"/>
    <w:rsid w:val="000C733B"/>
    <w:rsid w:val="000C7387"/>
    <w:rsid w:val="000C73E4"/>
    <w:rsid w:val="000C747A"/>
    <w:rsid w:val="000C7684"/>
    <w:rsid w:val="000C772F"/>
    <w:rsid w:val="000C7814"/>
    <w:rsid w:val="000C78B9"/>
    <w:rsid w:val="000C78D8"/>
    <w:rsid w:val="000C796D"/>
    <w:rsid w:val="000C7979"/>
    <w:rsid w:val="000C7AA8"/>
    <w:rsid w:val="000C7B01"/>
    <w:rsid w:val="000C7BF1"/>
    <w:rsid w:val="000C7F5F"/>
    <w:rsid w:val="000C7FF3"/>
    <w:rsid w:val="000D013F"/>
    <w:rsid w:val="000D01CE"/>
    <w:rsid w:val="000D01EB"/>
    <w:rsid w:val="000D02B5"/>
    <w:rsid w:val="000D0356"/>
    <w:rsid w:val="000D063A"/>
    <w:rsid w:val="000D06D6"/>
    <w:rsid w:val="000D07A6"/>
    <w:rsid w:val="000D0836"/>
    <w:rsid w:val="000D09DA"/>
    <w:rsid w:val="000D09E4"/>
    <w:rsid w:val="000D0A2F"/>
    <w:rsid w:val="000D0ADA"/>
    <w:rsid w:val="000D0C16"/>
    <w:rsid w:val="000D0C5E"/>
    <w:rsid w:val="000D0CA3"/>
    <w:rsid w:val="000D0E8D"/>
    <w:rsid w:val="000D0EA8"/>
    <w:rsid w:val="000D0F84"/>
    <w:rsid w:val="000D0F87"/>
    <w:rsid w:val="000D1078"/>
    <w:rsid w:val="000D107C"/>
    <w:rsid w:val="000D1170"/>
    <w:rsid w:val="000D1245"/>
    <w:rsid w:val="000D12D8"/>
    <w:rsid w:val="000D1322"/>
    <w:rsid w:val="000D1333"/>
    <w:rsid w:val="000D139C"/>
    <w:rsid w:val="000D1409"/>
    <w:rsid w:val="000D1512"/>
    <w:rsid w:val="000D165A"/>
    <w:rsid w:val="000D17FF"/>
    <w:rsid w:val="000D195B"/>
    <w:rsid w:val="000D1A50"/>
    <w:rsid w:val="000D1C9B"/>
    <w:rsid w:val="000D1D54"/>
    <w:rsid w:val="000D1DED"/>
    <w:rsid w:val="000D1F9B"/>
    <w:rsid w:val="000D21C9"/>
    <w:rsid w:val="000D24EF"/>
    <w:rsid w:val="000D2552"/>
    <w:rsid w:val="000D25DA"/>
    <w:rsid w:val="000D2650"/>
    <w:rsid w:val="000D2A1F"/>
    <w:rsid w:val="000D2C74"/>
    <w:rsid w:val="000D2E15"/>
    <w:rsid w:val="000D2E20"/>
    <w:rsid w:val="000D2E75"/>
    <w:rsid w:val="000D305F"/>
    <w:rsid w:val="000D30AF"/>
    <w:rsid w:val="000D30C5"/>
    <w:rsid w:val="000D3124"/>
    <w:rsid w:val="000D31C1"/>
    <w:rsid w:val="000D325A"/>
    <w:rsid w:val="000D329D"/>
    <w:rsid w:val="000D32A9"/>
    <w:rsid w:val="000D3467"/>
    <w:rsid w:val="000D35B3"/>
    <w:rsid w:val="000D374C"/>
    <w:rsid w:val="000D3790"/>
    <w:rsid w:val="000D3888"/>
    <w:rsid w:val="000D388D"/>
    <w:rsid w:val="000D3893"/>
    <w:rsid w:val="000D38F1"/>
    <w:rsid w:val="000D3920"/>
    <w:rsid w:val="000D3AC9"/>
    <w:rsid w:val="000D3AE4"/>
    <w:rsid w:val="000D3CB8"/>
    <w:rsid w:val="000D3D2C"/>
    <w:rsid w:val="000D3DB2"/>
    <w:rsid w:val="000D3DB5"/>
    <w:rsid w:val="000D3DC3"/>
    <w:rsid w:val="000D3E9A"/>
    <w:rsid w:val="000D3F3E"/>
    <w:rsid w:val="000D3F7B"/>
    <w:rsid w:val="000D3FBE"/>
    <w:rsid w:val="000D43B1"/>
    <w:rsid w:val="000D4446"/>
    <w:rsid w:val="000D459D"/>
    <w:rsid w:val="000D46AF"/>
    <w:rsid w:val="000D47C5"/>
    <w:rsid w:val="000D4841"/>
    <w:rsid w:val="000D48D3"/>
    <w:rsid w:val="000D494E"/>
    <w:rsid w:val="000D496D"/>
    <w:rsid w:val="000D4AFF"/>
    <w:rsid w:val="000D4BB6"/>
    <w:rsid w:val="000D4BF5"/>
    <w:rsid w:val="000D4C49"/>
    <w:rsid w:val="000D4D3C"/>
    <w:rsid w:val="000D4DDE"/>
    <w:rsid w:val="000D4EA1"/>
    <w:rsid w:val="000D4F22"/>
    <w:rsid w:val="000D5048"/>
    <w:rsid w:val="000D50CB"/>
    <w:rsid w:val="000D50F7"/>
    <w:rsid w:val="000D51F5"/>
    <w:rsid w:val="000D5214"/>
    <w:rsid w:val="000D5252"/>
    <w:rsid w:val="000D5277"/>
    <w:rsid w:val="000D5301"/>
    <w:rsid w:val="000D535B"/>
    <w:rsid w:val="000D54D7"/>
    <w:rsid w:val="000D5613"/>
    <w:rsid w:val="000D5665"/>
    <w:rsid w:val="000D56BE"/>
    <w:rsid w:val="000D572C"/>
    <w:rsid w:val="000D5881"/>
    <w:rsid w:val="000D58CD"/>
    <w:rsid w:val="000D5A4C"/>
    <w:rsid w:val="000D5A61"/>
    <w:rsid w:val="000D5A90"/>
    <w:rsid w:val="000D5ABB"/>
    <w:rsid w:val="000D5AF0"/>
    <w:rsid w:val="000D5B66"/>
    <w:rsid w:val="000D5C28"/>
    <w:rsid w:val="000D5E14"/>
    <w:rsid w:val="000D6097"/>
    <w:rsid w:val="000D6191"/>
    <w:rsid w:val="000D61D9"/>
    <w:rsid w:val="000D6358"/>
    <w:rsid w:val="000D637B"/>
    <w:rsid w:val="000D64BB"/>
    <w:rsid w:val="000D656B"/>
    <w:rsid w:val="000D68A2"/>
    <w:rsid w:val="000D6AAF"/>
    <w:rsid w:val="000D6B8A"/>
    <w:rsid w:val="000D6C3F"/>
    <w:rsid w:val="000D6CF0"/>
    <w:rsid w:val="000D6DE0"/>
    <w:rsid w:val="000D6E53"/>
    <w:rsid w:val="000D7054"/>
    <w:rsid w:val="000D71E6"/>
    <w:rsid w:val="000D7256"/>
    <w:rsid w:val="000D731F"/>
    <w:rsid w:val="000D73EE"/>
    <w:rsid w:val="000D745F"/>
    <w:rsid w:val="000D74CA"/>
    <w:rsid w:val="000D7588"/>
    <w:rsid w:val="000D760A"/>
    <w:rsid w:val="000D7610"/>
    <w:rsid w:val="000D76C0"/>
    <w:rsid w:val="000D7997"/>
    <w:rsid w:val="000D7A51"/>
    <w:rsid w:val="000D7AC4"/>
    <w:rsid w:val="000D7C39"/>
    <w:rsid w:val="000D7D15"/>
    <w:rsid w:val="000D7D6A"/>
    <w:rsid w:val="000E0790"/>
    <w:rsid w:val="000E07BA"/>
    <w:rsid w:val="000E08C6"/>
    <w:rsid w:val="000E092D"/>
    <w:rsid w:val="000E09D7"/>
    <w:rsid w:val="000E0C36"/>
    <w:rsid w:val="000E0E57"/>
    <w:rsid w:val="000E0EB0"/>
    <w:rsid w:val="000E101A"/>
    <w:rsid w:val="000E1181"/>
    <w:rsid w:val="000E1196"/>
    <w:rsid w:val="000E11AC"/>
    <w:rsid w:val="000E1241"/>
    <w:rsid w:val="000E126C"/>
    <w:rsid w:val="000E1277"/>
    <w:rsid w:val="000E1321"/>
    <w:rsid w:val="000E14A4"/>
    <w:rsid w:val="000E1601"/>
    <w:rsid w:val="000E17EA"/>
    <w:rsid w:val="000E195B"/>
    <w:rsid w:val="000E1975"/>
    <w:rsid w:val="000E19A7"/>
    <w:rsid w:val="000E19FF"/>
    <w:rsid w:val="000E1ADB"/>
    <w:rsid w:val="000E1B18"/>
    <w:rsid w:val="000E1BF0"/>
    <w:rsid w:val="000E1C10"/>
    <w:rsid w:val="000E1C37"/>
    <w:rsid w:val="000E1FB6"/>
    <w:rsid w:val="000E2115"/>
    <w:rsid w:val="000E2194"/>
    <w:rsid w:val="000E21EC"/>
    <w:rsid w:val="000E226C"/>
    <w:rsid w:val="000E2362"/>
    <w:rsid w:val="000E239C"/>
    <w:rsid w:val="000E23E6"/>
    <w:rsid w:val="000E2411"/>
    <w:rsid w:val="000E2490"/>
    <w:rsid w:val="000E25AC"/>
    <w:rsid w:val="000E26D6"/>
    <w:rsid w:val="000E271C"/>
    <w:rsid w:val="000E284A"/>
    <w:rsid w:val="000E2C26"/>
    <w:rsid w:val="000E2CAF"/>
    <w:rsid w:val="000E2CEB"/>
    <w:rsid w:val="000E2F12"/>
    <w:rsid w:val="000E2FB9"/>
    <w:rsid w:val="000E2FED"/>
    <w:rsid w:val="000E3030"/>
    <w:rsid w:val="000E30A9"/>
    <w:rsid w:val="000E31E8"/>
    <w:rsid w:val="000E333E"/>
    <w:rsid w:val="000E347E"/>
    <w:rsid w:val="000E35A3"/>
    <w:rsid w:val="000E368E"/>
    <w:rsid w:val="000E36FC"/>
    <w:rsid w:val="000E372B"/>
    <w:rsid w:val="000E3876"/>
    <w:rsid w:val="000E388E"/>
    <w:rsid w:val="000E3A35"/>
    <w:rsid w:val="000E3B16"/>
    <w:rsid w:val="000E3B47"/>
    <w:rsid w:val="000E3B4E"/>
    <w:rsid w:val="000E3BA6"/>
    <w:rsid w:val="000E3BD2"/>
    <w:rsid w:val="000E3CFA"/>
    <w:rsid w:val="000E3DA3"/>
    <w:rsid w:val="000E3DC6"/>
    <w:rsid w:val="000E3F34"/>
    <w:rsid w:val="000E4065"/>
    <w:rsid w:val="000E4092"/>
    <w:rsid w:val="000E4123"/>
    <w:rsid w:val="000E41E6"/>
    <w:rsid w:val="000E42FB"/>
    <w:rsid w:val="000E481D"/>
    <w:rsid w:val="000E4892"/>
    <w:rsid w:val="000E4A1D"/>
    <w:rsid w:val="000E4AB5"/>
    <w:rsid w:val="000E4C88"/>
    <w:rsid w:val="000E4CB0"/>
    <w:rsid w:val="000E4CDD"/>
    <w:rsid w:val="000E4E08"/>
    <w:rsid w:val="000E4E57"/>
    <w:rsid w:val="000E5002"/>
    <w:rsid w:val="000E5251"/>
    <w:rsid w:val="000E5284"/>
    <w:rsid w:val="000E56F6"/>
    <w:rsid w:val="000E570F"/>
    <w:rsid w:val="000E5719"/>
    <w:rsid w:val="000E575F"/>
    <w:rsid w:val="000E57FD"/>
    <w:rsid w:val="000E5AD1"/>
    <w:rsid w:val="000E5B8F"/>
    <w:rsid w:val="000E5BB7"/>
    <w:rsid w:val="000E5BF8"/>
    <w:rsid w:val="000E5C03"/>
    <w:rsid w:val="000E5C08"/>
    <w:rsid w:val="000E5E36"/>
    <w:rsid w:val="000E5E56"/>
    <w:rsid w:val="000E5F3A"/>
    <w:rsid w:val="000E6097"/>
    <w:rsid w:val="000E60F7"/>
    <w:rsid w:val="000E61F8"/>
    <w:rsid w:val="000E62A9"/>
    <w:rsid w:val="000E63E8"/>
    <w:rsid w:val="000E644A"/>
    <w:rsid w:val="000E64AD"/>
    <w:rsid w:val="000E64DB"/>
    <w:rsid w:val="000E6538"/>
    <w:rsid w:val="000E6756"/>
    <w:rsid w:val="000E67A7"/>
    <w:rsid w:val="000E680C"/>
    <w:rsid w:val="000E68C7"/>
    <w:rsid w:val="000E68F5"/>
    <w:rsid w:val="000E6AA0"/>
    <w:rsid w:val="000E6B2A"/>
    <w:rsid w:val="000E6BAC"/>
    <w:rsid w:val="000E6C56"/>
    <w:rsid w:val="000E6C70"/>
    <w:rsid w:val="000E6DA3"/>
    <w:rsid w:val="000E6EE8"/>
    <w:rsid w:val="000E6EEB"/>
    <w:rsid w:val="000E6F97"/>
    <w:rsid w:val="000E6FA4"/>
    <w:rsid w:val="000E701B"/>
    <w:rsid w:val="000E7034"/>
    <w:rsid w:val="000E7035"/>
    <w:rsid w:val="000E710A"/>
    <w:rsid w:val="000E7301"/>
    <w:rsid w:val="000E73BF"/>
    <w:rsid w:val="000E757D"/>
    <w:rsid w:val="000E75C2"/>
    <w:rsid w:val="000E75FE"/>
    <w:rsid w:val="000E7616"/>
    <w:rsid w:val="000E7645"/>
    <w:rsid w:val="000E79D8"/>
    <w:rsid w:val="000E7A45"/>
    <w:rsid w:val="000E7AC8"/>
    <w:rsid w:val="000E7AF7"/>
    <w:rsid w:val="000E7B31"/>
    <w:rsid w:val="000E7B9F"/>
    <w:rsid w:val="000E7BC9"/>
    <w:rsid w:val="000E7CB0"/>
    <w:rsid w:val="000E7D73"/>
    <w:rsid w:val="000E7F0C"/>
    <w:rsid w:val="000E7FF5"/>
    <w:rsid w:val="000F0094"/>
    <w:rsid w:val="000F00A3"/>
    <w:rsid w:val="000F031E"/>
    <w:rsid w:val="000F0323"/>
    <w:rsid w:val="000F0426"/>
    <w:rsid w:val="000F0510"/>
    <w:rsid w:val="000F059B"/>
    <w:rsid w:val="000F065B"/>
    <w:rsid w:val="000F072C"/>
    <w:rsid w:val="000F08C7"/>
    <w:rsid w:val="000F08FD"/>
    <w:rsid w:val="000F09B4"/>
    <w:rsid w:val="000F09FE"/>
    <w:rsid w:val="000F0B2F"/>
    <w:rsid w:val="000F0C60"/>
    <w:rsid w:val="000F0DE7"/>
    <w:rsid w:val="000F0E20"/>
    <w:rsid w:val="000F0F2F"/>
    <w:rsid w:val="000F1085"/>
    <w:rsid w:val="000F109E"/>
    <w:rsid w:val="000F10F9"/>
    <w:rsid w:val="000F11F2"/>
    <w:rsid w:val="000F1246"/>
    <w:rsid w:val="000F127F"/>
    <w:rsid w:val="000F1352"/>
    <w:rsid w:val="000F13EE"/>
    <w:rsid w:val="000F14F4"/>
    <w:rsid w:val="000F15AE"/>
    <w:rsid w:val="000F1709"/>
    <w:rsid w:val="000F17B3"/>
    <w:rsid w:val="000F1827"/>
    <w:rsid w:val="000F1911"/>
    <w:rsid w:val="000F1BA8"/>
    <w:rsid w:val="000F1DAC"/>
    <w:rsid w:val="000F1ED0"/>
    <w:rsid w:val="000F1F22"/>
    <w:rsid w:val="000F1FB0"/>
    <w:rsid w:val="000F1FEB"/>
    <w:rsid w:val="000F21E3"/>
    <w:rsid w:val="000F2267"/>
    <w:rsid w:val="000F22E2"/>
    <w:rsid w:val="000F245B"/>
    <w:rsid w:val="000F2469"/>
    <w:rsid w:val="000F2746"/>
    <w:rsid w:val="000F2790"/>
    <w:rsid w:val="000F28A3"/>
    <w:rsid w:val="000F29AF"/>
    <w:rsid w:val="000F2A2E"/>
    <w:rsid w:val="000F2A4C"/>
    <w:rsid w:val="000F2B54"/>
    <w:rsid w:val="000F2BD4"/>
    <w:rsid w:val="000F2C66"/>
    <w:rsid w:val="000F2CAE"/>
    <w:rsid w:val="000F2CE1"/>
    <w:rsid w:val="000F2EB7"/>
    <w:rsid w:val="000F2F3B"/>
    <w:rsid w:val="000F2F57"/>
    <w:rsid w:val="000F2F79"/>
    <w:rsid w:val="000F2FA3"/>
    <w:rsid w:val="000F2FB8"/>
    <w:rsid w:val="000F302A"/>
    <w:rsid w:val="000F30AC"/>
    <w:rsid w:val="000F3114"/>
    <w:rsid w:val="000F3409"/>
    <w:rsid w:val="000F3411"/>
    <w:rsid w:val="000F344D"/>
    <w:rsid w:val="000F346B"/>
    <w:rsid w:val="000F34A1"/>
    <w:rsid w:val="000F34CE"/>
    <w:rsid w:val="000F3519"/>
    <w:rsid w:val="000F35F1"/>
    <w:rsid w:val="000F3622"/>
    <w:rsid w:val="000F36AC"/>
    <w:rsid w:val="000F37E3"/>
    <w:rsid w:val="000F3AAF"/>
    <w:rsid w:val="000F3ADD"/>
    <w:rsid w:val="000F3B77"/>
    <w:rsid w:val="000F3C32"/>
    <w:rsid w:val="000F3C7B"/>
    <w:rsid w:val="000F3CAE"/>
    <w:rsid w:val="000F3EE4"/>
    <w:rsid w:val="000F4178"/>
    <w:rsid w:val="000F419E"/>
    <w:rsid w:val="000F4399"/>
    <w:rsid w:val="000F43FE"/>
    <w:rsid w:val="000F4503"/>
    <w:rsid w:val="000F456B"/>
    <w:rsid w:val="000F45B2"/>
    <w:rsid w:val="000F460E"/>
    <w:rsid w:val="000F46E6"/>
    <w:rsid w:val="000F46F4"/>
    <w:rsid w:val="000F4754"/>
    <w:rsid w:val="000F4827"/>
    <w:rsid w:val="000F4828"/>
    <w:rsid w:val="000F48A8"/>
    <w:rsid w:val="000F48F7"/>
    <w:rsid w:val="000F494A"/>
    <w:rsid w:val="000F498F"/>
    <w:rsid w:val="000F49BB"/>
    <w:rsid w:val="000F49C5"/>
    <w:rsid w:val="000F4A58"/>
    <w:rsid w:val="000F4AFE"/>
    <w:rsid w:val="000F4B85"/>
    <w:rsid w:val="000F4C95"/>
    <w:rsid w:val="000F4D07"/>
    <w:rsid w:val="000F4D49"/>
    <w:rsid w:val="000F4D65"/>
    <w:rsid w:val="000F4DD7"/>
    <w:rsid w:val="000F4E61"/>
    <w:rsid w:val="000F4EDD"/>
    <w:rsid w:val="000F4FBF"/>
    <w:rsid w:val="000F51D9"/>
    <w:rsid w:val="000F534E"/>
    <w:rsid w:val="000F53DD"/>
    <w:rsid w:val="000F53E6"/>
    <w:rsid w:val="000F544F"/>
    <w:rsid w:val="000F5510"/>
    <w:rsid w:val="000F563B"/>
    <w:rsid w:val="000F566E"/>
    <w:rsid w:val="000F568F"/>
    <w:rsid w:val="000F56C9"/>
    <w:rsid w:val="000F57B3"/>
    <w:rsid w:val="000F57B5"/>
    <w:rsid w:val="000F599D"/>
    <w:rsid w:val="000F5A20"/>
    <w:rsid w:val="000F5AFB"/>
    <w:rsid w:val="000F5B95"/>
    <w:rsid w:val="000F5C80"/>
    <w:rsid w:val="000F5CB4"/>
    <w:rsid w:val="000F5E1D"/>
    <w:rsid w:val="000F607D"/>
    <w:rsid w:val="000F6221"/>
    <w:rsid w:val="000F62AB"/>
    <w:rsid w:val="000F6344"/>
    <w:rsid w:val="000F63E1"/>
    <w:rsid w:val="000F63EA"/>
    <w:rsid w:val="000F6409"/>
    <w:rsid w:val="000F6433"/>
    <w:rsid w:val="000F64DD"/>
    <w:rsid w:val="000F663E"/>
    <w:rsid w:val="000F6BA9"/>
    <w:rsid w:val="000F6C93"/>
    <w:rsid w:val="000F6D5D"/>
    <w:rsid w:val="000F6E0A"/>
    <w:rsid w:val="000F6E5B"/>
    <w:rsid w:val="000F6E7A"/>
    <w:rsid w:val="000F6FB2"/>
    <w:rsid w:val="000F7052"/>
    <w:rsid w:val="000F7057"/>
    <w:rsid w:val="000F7098"/>
    <w:rsid w:val="000F71ED"/>
    <w:rsid w:val="000F71F8"/>
    <w:rsid w:val="000F7224"/>
    <w:rsid w:val="000F735B"/>
    <w:rsid w:val="000F7494"/>
    <w:rsid w:val="000F74D6"/>
    <w:rsid w:val="000F74E1"/>
    <w:rsid w:val="000F750B"/>
    <w:rsid w:val="000F77DF"/>
    <w:rsid w:val="000F77E2"/>
    <w:rsid w:val="000F7886"/>
    <w:rsid w:val="000F78BA"/>
    <w:rsid w:val="000F78DA"/>
    <w:rsid w:val="000F7985"/>
    <w:rsid w:val="000F7B3D"/>
    <w:rsid w:val="000F7C36"/>
    <w:rsid w:val="000F7CC5"/>
    <w:rsid w:val="000F7CCE"/>
    <w:rsid w:val="000F7D47"/>
    <w:rsid w:val="000F7EE8"/>
    <w:rsid w:val="00100070"/>
    <w:rsid w:val="001000B8"/>
    <w:rsid w:val="001000E1"/>
    <w:rsid w:val="001001DD"/>
    <w:rsid w:val="00100229"/>
    <w:rsid w:val="001002D8"/>
    <w:rsid w:val="00100321"/>
    <w:rsid w:val="0010040A"/>
    <w:rsid w:val="00100470"/>
    <w:rsid w:val="001004ED"/>
    <w:rsid w:val="001006AC"/>
    <w:rsid w:val="001008FA"/>
    <w:rsid w:val="00100956"/>
    <w:rsid w:val="001009C5"/>
    <w:rsid w:val="00100A35"/>
    <w:rsid w:val="00100B40"/>
    <w:rsid w:val="00100C26"/>
    <w:rsid w:val="00100E4E"/>
    <w:rsid w:val="00100EB4"/>
    <w:rsid w:val="00100EDC"/>
    <w:rsid w:val="001010A3"/>
    <w:rsid w:val="0010120A"/>
    <w:rsid w:val="001012E7"/>
    <w:rsid w:val="00101350"/>
    <w:rsid w:val="00101406"/>
    <w:rsid w:val="00101419"/>
    <w:rsid w:val="001014A9"/>
    <w:rsid w:val="001014C2"/>
    <w:rsid w:val="001014FB"/>
    <w:rsid w:val="0010164D"/>
    <w:rsid w:val="001019EF"/>
    <w:rsid w:val="00101A11"/>
    <w:rsid w:val="00101A55"/>
    <w:rsid w:val="00101AB3"/>
    <w:rsid w:val="00101C4B"/>
    <w:rsid w:val="00101CE0"/>
    <w:rsid w:val="00101DE4"/>
    <w:rsid w:val="00101DFD"/>
    <w:rsid w:val="00101E86"/>
    <w:rsid w:val="00101FE6"/>
    <w:rsid w:val="0010208D"/>
    <w:rsid w:val="0010211A"/>
    <w:rsid w:val="00102294"/>
    <w:rsid w:val="00102354"/>
    <w:rsid w:val="001023BC"/>
    <w:rsid w:val="001024E9"/>
    <w:rsid w:val="00102556"/>
    <w:rsid w:val="00102598"/>
    <w:rsid w:val="001025CB"/>
    <w:rsid w:val="001025D7"/>
    <w:rsid w:val="00102646"/>
    <w:rsid w:val="001027B4"/>
    <w:rsid w:val="00102ADE"/>
    <w:rsid w:val="00102B10"/>
    <w:rsid w:val="00102B16"/>
    <w:rsid w:val="00102C02"/>
    <w:rsid w:val="00102CFD"/>
    <w:rsid w:val="00102E94"/>
    <w:rsid w:val="00102EB5"/>
    <w:rsid w:val="00102ED1"/>
    <w:rsid w:val="00103265"/>
    <w:rsid w:val="001033B3"/>
    <w:rsid w:val="001033F0"/>
    <w:rsid w:val="0010349E"/>
    <w:rsid w:val="00103586"/>
    <w:rsid w:val="00103685"/>
    <w:rsid w:val="001036CE"/>
    <w:rsid w:val="001036FA"/>
    <w:rsid w:val="00103766"/>
    <w:rsid w:val="00103867"/>
    <w:rsid w:val="00103894"/>
    <w:rsid w:val="001038D8"/>
    <w:rsid w:val="00103927"/>
    <w:rsid w:val="00103A54"/>
    <w:rsid w:val="00103CE4"/>
    <w:rsid w:val="00103D3F"/>
    <w:rsid w:val="00103D4F"/>
    <w:rsid w:val="00103D51"/>
    <w:rsid w:val="00103D9F"/>
    <w:rsid w:val="00103EDC"/>
    <w:rsid w:val="00104107"/>
    <w:rsid w:val="001041BC"/>
    <w:rsid w:val="001041BE"/>
    <w:rsid w:val="00104252"/>
    <w:rsid w:val="00104271"/>
    <w:rsid w:val="001042AD"/>
    <w:rsid w:val="00104332"/>
    <w:rsid w:val="00104345"/>
    <w:rsid w:val="0010460E"/>
    <w:rsid w:val="00104647"/>
    <w:rsid w:val="001046E5"/>
    <w:rsid w:val="001048CB"/>
    <w:rsid w:val="0010490B"/>
    <w:rsid w:val="001049D6"/>
    <w:rsid w:val="001049DF"/>
    <w:rsid w:val="00104A36"/>
    <w:rsid w:val="00104A98"/>
    <w:rsid w:val="00104CEC"/>
    <w:rsid w:val="00104E46"/>
    <w:rsid w:val="00104EEC"/>
    <w:rsid w:val="00105010"/>
    <w:rsid w:val="001050AA"/>
    <w:rsid w:val="0010512D"/>
    <w:rsid w:val="0010514C"/>
    <w:rsid w:val="00105189"/>
    <w:rsid w:val="00105420"/>
    <w:rsid w:val="001054D1"/>
    <w:rsid w:val="0010550C"/>
    <w:rsid w:val="0010551F"/>
    <w:rsid w:val="001055B4"/>
    <w:rsid w:val="001055D1"/>
    <w:rsid w:val="00105656"/>
    <w:rsid w:val="00105671"/>
    <w:rsid w:val="00105681"/>
    <w:rsid w:val="0010578F"/>
    <w:rsid w:val="001057CB"/>
    <w:rsid w:val="001057F6"/>
    <w:rsid w:val="0010581C"/>
    <w:rsid w:val="0010596E"/>
    <w:rsid w:val="0010598C"/>
    <w:rsid w:val="001059B9"/>
    <w:rsid w:val="00105A2E"/>
    <w:rsid w:val="00105A85"/>
    <w:rsid w:val="00105AFC"/>
    <w:rsid w:val="00105AFD"/>
    <w:rsid w:val="00105C90"/>
    <w:rsid w:val="00105D0D"/>
    <w:rsid w:val="00105DFC"/>
    <w:rsid w:val="00105E1F"/>
    <w:rsid w:val="00105E2B"/>
    <w:rsid w:val="00105E3B"/>
    <w:rsid w:val="001060F3"/>
    <w:rsid w:val="00106169"/>
    <w:rsid w:val="001061C1"/>
    <w:rsid w:val="00106249"/>
    <w:rsid w:val="001062A2"/>
    <w:rsid w:val="001062D5"/>
    <w:rsid w:val="001062DB"/>
    <w:rsid w:val="0010635A"/>
    <w:rsid w:val="0010657F"/>
    <w:rsid w:val="001065D2"/>
    <w:rsid w:val="00106749"/>
    <w:rsid w:val="00106768"/>
    <w:rsid w:val="001068A0"/>
    <w:rsid w:val="00106C6E"/>
    <w:rsid w:val="00106D3F"/>
    <w:rsid w:val="00106D41"/>
    <w:rsid w:val="00106D64"/>
    <w:rsid w:val="00106EFF"/>
    <w:rsid w:val="00107046"/>
    <w:rsid w:val="0010711F"/>
    <w:rsid w:val="00107203"/>
    <w:rsid w:val="00107243"/>
    <w:rsid w:val="001073B9"/>
    <w:rsid w:val="001073C8"/>
    <w:rsid w:val="0010745B"/>
    <w:rsid w:val="001074FA"/>
    <w:rsid w:val="0010757E"/>
    <w:rsid w:val="00107691"/>
    <w:rsid w:val="00107790"/>
    <w:rsid w:val="0010789C"/>
    <w:rsid w:val="00107928"/>
    <w:rsid w:val="00107BFC"/>
    <w:rsid w:val="00107CC9"/>
    <w:rsid w:val="00107D0E"/>
    <w:rsid w:val="00107E1B"/>
    <w:rsid w:val="00110017"/>
    <w:rsid w:val="00110105"/>
    <w:rsid w:val="001101CC"/>
    <w:rsid w:val="00110201"/>
    <w:rsid w:val="0011024F"/>
    <w:rsid w:val="001102A7"/>
    <w:rsid w:val="0011037C"/>
    <w:rsid w:val="00110527"/>
    <w:rsid w:val="0011056A"/>
    <w:rsid w:val="001105F7"/>
    <w:rsid w:val="001106CE"/>
    <w:rsid w:val="0011074E"/>
    <w:rsid w:val="001107A6"/>
    <w:rsid w:val="00110A54"/>
    <w:rsid w:val="00110C8B"/>
    <w:rsid w:val="00110CF1"/>
    <w:rsid w:val="00110D3D"/>
    <w:rsid w:val="00110DA8"/>
    <w:rsid w:val="00110E23"/>
    <w:rsid w:val="00110EC5"/>
    <w:rsid w:val="00110ECA"/>
    <w:rsid w:val="00110FFE"/>
    <w:rsid w:val="001110E2"/>
    <w:rsid w:val="00111231"/>
    <w:rsid w:val="0011130D"/>
    <w:rsid w:val="00111318"/>
    <w:rsid w:val="0011137C"/>
    <w:rsid w:val="001113CB"/>
    <w:rsid w:val="00111438"/>
    <w:rsid w:val="0011155E"/>
    <w:rsid w:val="001115FF"/>
    <w:rsid w:val="001116A7"/>
    <w:rsid w:val="00111847"/>
    <w:rsid w:val="001118EE"/>
    <w:rsid w:val="0011199D"/>
    <w:rsid w:val="00111ACE"/>
    <w:rsid w:val="00111BC8"/>
    <w:rsid w:val="00111BF1"/>
    <w:rsid w:val="00111CB4"/>
    <w:rsid w:val="00111CBA"/>
    <w:rsid w:val="00111D16"/>
    <w:rsid w:val="00111E3E"/>
    <w:rsid w:val="00111F2D"/>
    <w:rsid w:val="00112089"/>
    <w:rsid w:val="001120E1"/>
    <w:rsid w:val="001121BB"/>
    <w:rsid w:val="001121DE"/>
    <w:rsid w:val="0011220C"/>
    <w:rsid w:val="00112240"/>
    <w:rsid w:val="0011242E"/>
    <w:rsid w:val="001125D9"/>
    <w:rsid w:val="00112646"/>
    <w:rsid w:val="001127DB"/>
    <w:rsid w:val="0011287C"/>
    <w:rsid w:val="00112A34"/>
    <w:rsid w:val="00112B9A"/>
    <w:rsid w:val="00112BC0"/>
    <w:rsid w:val="00112C32"/>
    <w:rsid w:val="00112F5F"/>
    <w:rsid w:val="0011303C"/>
    <w:rsid w:val="00113170"/>
    <w:rsid w:val="00113267"/>
    <w:rsid w:val="0011329F"/>
    <w:rsid w:val="00113305"/>
    <w:rsid w:val="00113328"/>
    <w:rsid w:val="00113366"/>
    <w:rsid w:val="00113426"/>
    <w:rsid w:val="00113436"/>
    <w:rsid w:val="001134D7"/>
    <w:rsid w:val="001135A2"/>
    <w:rsid w:val="0011362B"/>
    <w:rsid w:val="00113885"/>
    <w:rsid w:val="00113962"/>
    <w:rsid w:val="00113A61"/>
    <w:rsid w:val="00113A76"/>
    <w:rsid w:val="00113BCE"/>
    <w:rsid w:val="00113D99"/>
    <w:rsid w:val="00113E96"/>
    <w:rsid w:val="00113FC1"/>
    <w:rsid w:val="00113FE7"/>
    <w:rsid w:val="00113FF8"/>
    <w:rsid w:val="00114000"/>
    <w:rsid w:val="001140C3"/>
    <w:rsid w:val="00114131"/>
    <w:rsid w:val="001141A6"/>
    <w:rsid w:val="001141BB"/>
    <w:rsid w:val="001141FB"/>
    <w:rsid w:val="0011422D"/>
    <w:rsid w:val="00114347"/>
    <w:rsid w:val="001143F8"/>
    <w:rsid w:val="00114472"/>
    <w:rsid w:val="00114519"/>
    <w:rsid w:val="00114548"/>
    <w:rsid w:val="001145FD"/>
    <w:rsid w:val="0011465A"/>
    <w:rsid w:val="0011471A"/>
    <w:rsid w:val="00114C4F"/>
    <w:rsid w:val="00114C84"/>
    <w:rsid w:val="00114DDF"/>
    <w:rsid w:val="00114DE5"/>
    <w:rsid w:val="00114E40"/>
    <w:rsid w:val="00114EF6"/>
    <w:rsid w:val="00115093"/>
    <w:rsid w:val="00115096"/>
    <w:rsid w:val="001150E3"/>
    <w:rsid w:val="0011520B"/>
    <w:rsid w:val="001152BF"/>
    <w:rsid w:val="001152C8"/>
    <w:rsid w:val="0011541C"/>
    <w:rsid w:val="0011541E"/>
    <w:rsid w:val="0011544A"/>
    <w:rsid w:val="0011544D"/>
    <w:rsid w:val="00115530"/>
    <w:rsid w:val="00115657"/>
    <w:rsid w:val="0011577E"/>
    <w:rsid w:val="001157F2"/>
    <w:rsid w:val="001157FD"/>
    <w:rsid w:val="0011584B"/>
    <w:rsid w:val="001158D5"/>
    <w:rsid w:val="001158F7"/>
    <w:rsid w:val="00115987"/>
    <w:rsid w:val="00115BEF"/>
    <w:rsid w:val="00115D3E"/>
    <w:rsid w:val="00115D95"/>
    <w:rsid w:val="00115E88"/>
    <w:rsid w:val="00115F5E"/>
    <w:rsid w:val="00116084"/>
    <w:rsid w:val="001160B0"/>
    <w:rsid w:val="00116166"/>
    <w:rsid w:val="0011620D"/>
    <w:rsid w:val="0011622F"/>
    <w:rsid w:val="0011629D"/>
    <w:rsid w:val="001163E0"/>
    <w:rsid w:val="0011647E"/>
    <w:rsid w:val="001164B7"/>
    <w:rsid w:val="00116545"/>
    <w:rsid w:val="00116598"/>
    <w:rsid w:val="001165C7"/>
    <w:rsid w:val="001166AC"/>
    <w:rsid w:val="001166AD"/>
    <w:rsid w:val="001167D4"/>
    <w:rsid w:val="00116893"/>
    <w:rsid w:val="001168FE"/>
    <w:rsid w:val="00116958"/>
    <w:rsid w:val="00116973"/>
    <w:rsid w:val="00116986"/>
    <w:rsid w:val="00116A24"/>
    <w:rsid w:val="00116A92"/>
    <w:rsid w:val="00116ADF"/>
    <w:rsid w:val="00116B46"/>
    <w:rsid w:val="00116CD1"/>
    <w:rsid w:val="00116F00"/>
    <w:rsid w:val="00117109"/>
    <w:rsid w:val="00117116"/>
    <w:rsid w:val="001172E7"/>
    <w:rsid w:val="001172F5"/>
    <w:rsid w:val="00117355"/>
    <w:rsid w:val="0011738E"/>
    <w:rsid w:val="001173A0"/>
    <w:rsid w:val="001173AE"/>
    <w:rsid w:val="00117400"/>
    <w:rsid w:val="0011741F"/>
    <w:rsid w:val="00117496"/>
    <w:rsid w:val="001175B0"/>
    <w:rsid w:val="0011767A"/>
    <w:rsid w:val="001176AB"/>
    <w:rsid w:val="00117756"/>
    <w:rsid w:val="00117822"/>
    <w:rsid w:val="0011792F"/>
    <w:rsid w:val="00117933"/>
    <w:rsid w:val="001179B3"/>
    <w:rsid w:val="00117A4E"/>
    <w:rsid w:val="00117B09"/>
    <w:rsid w:val="00117B18"/>
    <w:rsid w:val="00117D55"/>
    <w:rsid w:val="00117E03"/>
    <w:rsid w:val="00117FD2"/>
    <w:rsid w:val="00117FD4"/>
    <w:rsid w:val="00120002"/>
    <w:rsid w:val="00120067"/>
    <w:rsid w:val="001200A5"/>
    <w:rsid w:val="001200C0"/>
    <w:rsid w:val="001202AB"/>
    <w:rsid w:val="00120368"/>
    <w:rsid w:val="0012043F"/>
    <w:rsid w:val="0012062F"/>
    <w:rsid w:val="0012078C"/>
    <w:rsid w:val="00120806"/>
    <w:rsid w:val="0012094E"/>
    <w:rsid w:val="00120965"/>
    <w:rsid w:val="001209BB"/>
    <w:rsid w:val="00120B31"/>
    <w:rsid w:val="00120BA3"/>
    <w:rsid w:val="00120C58"/>
    <w:rsid w:val="00120C74"/>
    <w:rsid w:val="00120CA7"/>
    <w:rsid w:val="00120CB0"/>
    <w:rsid w:val="00120CBD"/>
    <w:rsid w:val="00120D6F"/>
    <w:rsid w:val="00120EC0"/>
    <w:rsid w:val="00121015"/>
    <w:rsid w:val="001212A2"/>
    <w:rsid w:val="001212D5"/>
    <w:rsid w:val="00121302"/>
    <w:rsid w:val="00121330"/>
    <w:rsid w:val="001213E7"/>
    <w:rsid w:val="0012144B"/>
    <w:rsid w:val="001215C1"/>
    <w:rsid w:val="00121673"/>
    <w:rsid w:val="001217DC"/>
    <w:rsid w:val="00121811"/>
    <w:rsid w:val="00121837"/>
    <w:rsid w:val="0012186A"/>
    <w:rsid w:val="00121AA3"/>
    <w:rsid w:val="00121B4A"/>
    <w:rsid w:val="00121B73"/>
    <w:rsid w:val="00121B90"/>
    <w:rsid w:val="00121C0B"/>
    <w:rsid w:val="00121C34"/>
    <w:rsid w:val="00121C86"/>
    <w:rsid w:val="00121C97"/>
    <w:rsid w:val="00121D8D"/>
    <w:rsid w:val="00121E0D"/>
    <w:rsid w:val="00121E46"/>
    <w:rsid w:val="00121EE7"/>
    <w:rsid w:val="001220FC"/>
    <w:rsid w:val="001221C9"/>
    <w:rsid w:val="001221D9"/>
    <w:rsid w:val="0012220D"/>
    <w:rsid w:val="0012276C"/>
    <w:rsid w:val="001229BD"/>
    <w:rsid w:val="001229C8"/>
    <w:rsid w:val="00122A01"/>
    <w:rsid w:val="00122A2E"/>
    <w:rsid w:val="00122BC6"/>
    <w:rsid w:val="00122BE7"/>
    <w:rsid w:val="00122DE6"/>
    <w:rsid w:val="00123074"/>
    <w:rsid w:val="001231F1"/>
    <w:rsid w:val="0012325A"/>
    <w:rsid w:val="001232F1"/>
    <w:rsid w:val="0012347E"/>
    <w:rsid w:val="001234DF"/>
    <w:rsid w:val="00123508"/>
    <w:rsid w:val="00123558"/>
    <w:rsid w:val="0012356C"/>
    <w:rsid w:val="00123754"/>
    <w:rsid w:val="00123812"/>
    <w:rsid w:val="00123872"/>
    <w:rsid w:val="0012397F"/>
    <w:rsid w:val="00123A33"/>
    <w:rsid w:val="00123AC9"/>
    <w:rsid w:val="00123BA4"/>
    <w:rsid w:val="00123BA7"/>
    <w:rsid w:val="00123BD9"/>
    <w:rsid w:val="00123CE6"/>
    <w:rsid w:val="00123D33"/>
    <w:rsid w:val="00123D8E"/>
    <w:rsid w:val="00123F1E"/>
    <w:rsid w:val="0012406C"/>
    <w:rsid w:val="00124189"/>
    <w:rsid w:val="00124222"/>
    <w:rsid w:val="001242D8"/>
    <w:rsid w:val="00124427"/>
    <w:rsid w:val="001245A0"/>
    <w:rsid w:val="0012461A"/>
    <w:rsid w:val="00124698"/>
    <w:rsid w:val="00124701"/>
    <w:rsid w:val="001249D6"/>
    <w:rsid w:val="00124A7E"/>
    <w:rsid w:val="00124C99"/>
    <w:rsid w:val="00124CB4"/>
    <w:rsid w:val="00124D51"/>
    <w:rsid w:val="00124DF1"/>
    <w:rsid w:val="00124DF8"/>
    <w:rsid w:val="00125093"/>
    <w:rsid w:val="0012532B"/>
    <w:rsid w:val="00125418"/>
    <w:rsid w:val="0012541B"/>
    <w:rsid w:val="00125462"/>
    <w:rsid w:val="00125474"/>
    <w:rsid w:val="00125542"/>
    <w:rsid w:val="00125577"/>
    <w:rsid w:val="00125588"/>
    <w:rsid w:val="001255B2"/>
    <w:rsid w:val="00125628"/>
    <w:rsid w:val="00125693"/>
    <w:rsid w:val="00125836"/>
    <w:rsid w:val="00125880"/>
    <w:rsid w:val="00125905"/>
    <w:rsid w:val="00125A3C"/>
    <w:rsid w:val="00125ABA"/>
    <w:rsid w:val="00125B34"/>
    <w:rsid w:val="00125C4B"/>
    <w:rsid w:val="00125C9B"/>
    <w:rsid w:val="00125DF5"/>
    <w:rsid w:val="00125F64"/>
    <w:rsid w:val="00125F9C"/>
    <w:rsid w:val="00125FF6"/>
    <w:rsid w:val="001260CC"/>
    <w:rsid w:val="001261B4"/>
    <w:rsid w:val="001262AF"/>
    <w:rsid w:val="001262B5"/>
    <w:rsid w:val="00126513"/>
    <w:rsid w:val="00126737"/>
    <w:rsid w:val="00126748"/>
    <w:rsid w:val="001267CB"/>
    <w:rsid w:val="0012686B"/>
    <w:rsid w:val="00126933"/>
    <w:rsid w:val="00126936"/>
    <w:rsid w:val="001269EE"/>
    <w:rsid w:val="00126AAF"/>
    <w:rsid w:val="00126AF2"/>
    <w:rsid w:val="00126B42"/>
    <w:rsid w:val="00126C08"/>
    <w:rsid w:val="00126DE1"/>
    <w:rsid w:val="00126E35"/>
    <w:rsid w:val="00126E94"/>
    <w:rsid w:val="00126F13"/>
    <w:rsid w:val="00126F2C"/>
    <w:rsid w:val="00127042"/>
    <w:rsid w:val="00127061"/>
    <w:rsid w:val="00127090"/>
    <w:rsid w:val="001270C1"/>
    <w:rsid w:val="0012716A"/>
    <w:rsid w:val="001274AD"/>
    <w:rsid w:val="00127648"/>
    <w:rsid w:val="0012766A"/>
    <w:rsid w:val="0012769F"/>
    <w:rsid w:val="00127729"/>
    <w:rsid w:val="00127781"/>
    <w:rsid w:val="0012788D"/>
    <w:rsid w:val="00127918"/>
    <w:rsid w:val="00127953"/>
    <w:rsid w:val="0012799C"/>
    <w:rsid w:val="00127A08"/>
    <w:rsid w:val="00127C20"/>
    <w:rsid w:val="00127D8B"/>
    <w:rsid w:val="00127DF9"/>
    <w:rsid w:val="00127E40"/>
    <w:rsid w:val="00127E7B"/>
    <w:rsid w:val="00127E95"/>
    <w:rsid w:val="00127EED"/>
    <w:rsid w:val="001300D3"/>
    <w:rsid w:val="001301E3"/>
    <w:rsid w:val="00130284"/>
    <w:rsid w:val="0013035F"/>
    <w:rsid w:val="00130393"/>
    <w:rsid w:val="0013044B"/>
    <w:rsid w:val="0013052E"/>
    <w:rsid w:val="00130643"/>
    <w:rsid w:val="001307BC"/>
    <w:rsid w:val="001307E5"/>
    <w:rsid w:val="0013091F"/>
    <w:rsid w:val="00130AE2"/>
    <w:rsid w:val="00130AFF"/>
    <w:rsid w:val="00130BEF"/>
    <w:rsid w:val="00130C6B"/>
    <w:rsid w:val="00130D80"/>
    <w:rsid w:val="00130D8C"/>
    <w:rsid w:val="00130EB1"/>
    <w:rsid w:val="00130F5D"/>
    <w:rsid w:val="00130FA7"/>
    <w:rsid w:val="00130FD8"/>
    <w:rsid w:val="00131016"/>
    <w:rsid w:val="0013101F"/>
    <w:rsid w:val="0013102B"/>
    <w:rsid w:val="001310CD"/>
    <w:rsid w:val="0013110A"/>
    <w:rsid w:val="00131145"/>
    <w:rsid w:val="001313EF"/>
    <w:rsid w:val="001314E5"/>
    <w:rsid w:val="00131533"/>
    <w:rsid w:val="0013174B"/>
    <w:rsid w:val="001317AF"/>
    <w:rsid w:val="001318A8"/>
    <w:rsid w:val="00131916"/>
    <w:rsid w:val="00131B4E"/>
    <w:rsid w:val="00131E9F"/>
    <w:rsid w:val="00131FE7"/>
    <w:rsid w:val="00132100"/>
    <w:rsid w:val="0013210B"/>
    <w:rsid w:val="001323B0"/>
    <w:rsid w:val="001324C5"/>
    <w:rsid w:val="00132505"/>
    <w:rsid w:val="00132588"/>
    <w:rsid w:val="001325AC"/>
    <w:rsid w:val="001326BE"/>
    <w:rsid w:val="00132790"/>
    <w:rsid w:val="0013281E"/>
    <w:rsid w:val="00132954"/>
    <w:rsid w:val="00132966"/>
    <w:rsid w:val="001329E3"/>
    <w:rsid w:val="00132AC9"/>
    <w:rsid w:val="00132B9A"/>
    <w:rsid w:val="00132C16"/>
    <w:rsid w:val="00132C3D"/>
    <w:rsid w:val="00132D45"/>
    <w:rsid w:val="00132D8C"/>
    <w:rsid w:val="00132DAB"/>
    <w:rsid w:val="00132E46"/>
    <w:rsid w:val="00132FD5"/>
    <w:rsid w:val="0013314B"/>
    <w:rsid w:val="0013315D"/>
    <w:rsid w:val="00133202"/>
    <w:rsid w:val="00133461"/>
    <w:rsid w:val="001336D4"/>
    <w:rsid w:val="00133754"/>
    <w:rsid w:val="0013384E"/>
    <w:rsid w:val="001338D0"/>
    <w:rsid w:val="00133924"/>
    <w:rsid w:val="00133976"/>
    <w:rsid w:val="001339C1"/>
    <w:rsid w:val="00133BF6"/>
    <w:rsid w:val="00133C59"/>
    <w:rsid w:val="00133C76"/>
    <w:rsid w:val="00133D8D"/>
    <w:rsid w:val="00133DA9"/>
    <w:rsid w:val="00133E00"/>
    <w:rsid w:val="00133E07"/>
    <w:rsid w:val="00133E3E"/>
    <w:rsid w:val="00133E6F"/>
    <w:rsid w:val="00133ECA"/>
    <w:rsid w:val="00133F33"/>
    <w:rsid w:val="00134018"/>
    <w:rsid w:val="001340CC"/>
    <w:rsid w:val="001340DC"/>
    <w:rsid w:val="00134122"/>
    <w:rsid w:val="00134401"/>
    <w:rsid w:val="00134407"/>
    <w:rsid w:val="001344E7"/>
    <w:rsid w:val="00134501"/>
    <w:rsid w:val="001347FB"/>
    <w:rsid w:val="0013496B"/>
    <w:rsid w:val="00134ABA"/>
    <w:rsid w:val="00134ABB"/>
    <w:rsid w:val="00134B06"/>
    <w:rsid w:val="00134CB2"/>
    <w:rsid w:val="001350AD"/>
    <w:rsid w:val="001350B9"/>
    <w:rsid w:val="001353BF"/>
    <w:rsid w:val="0013554C"/>
    <w:rsid w:val="00135607"/>
    <w:rsid w:val="00135681"/>
    <w:rsid w:val="001357B5"/>
    <w:rsid w:val="0013580C"/>
    <w:rsid w:val="0013583C"/>
    <w:rsid w:val="00135905"/>
    <w:rsid w:val="001359AE"/>
    <w:rsid w:val="00135BA0"/>
    <w:rsid w:val="00135C43"/>
    <w:rsid w:val="00135C68"/>
    <w:rsid w:val="00135CD6"/>
    <w:rsid w:val="00135DBF"/>
    <w:rsid w:val="00135EC6"/>
    <w:rsid w:val="00135F9A"/>
    <w:rsid w:val="00136084"/>
    <w:rsid w:val="00136160"/>
    <w:rsid w:val="001361EA"/>
    <w:rsid w:val="001362BF"/>
    <w:rsid w:val="001362CD"/>
    <w:rsid w:val="0013638E"/>
    <w:rsid w:val="0013654A"/>
    <w:rsid w:val="00136707"/>
    <w:rsid w:val="00136761"/>
    <w:rsid w:val="00136961"/>
    <w:rsid w:val="001369D3"/>
    <w:rsid w:val="00136A42"/>
    <w:rsid w:val="00136BF0"/>
    <w:rsid w:val="00136C03"/>
    <w:rsid w:val="00136CE9"/>
    <w:rsid w:val="00136CFE"/>
    <w:rsid w:val="00136CFF"/>
    <w:rsid w:val="00136E08"/>
    <w:rsid w:val="00136E2F"/>
    <w:rsid w:val="00136E47"/>
    <w:rsid w:val="00136E9D"/>
    <w:rsid w:val="00136EC4"/>
    <w:rsid w:val="00136EFF"/>
    <w:rsid w:val="00136F68"/>
    <w:rsid w:val="00136F75"/>
    <w:rsid w:val="001370E8"/>
    <w:rsid w:val="00137256"/>
    <w:rsid w:val="001372E9"/>
    <w:rsid w:val="001372EE"/>
    <w:rsid w:val="00137537"/>
    <w:rsid w:val="00137624"/>
    <w:rsid w:val="00137691"/>
    <w:rsid w:val="001376E6"/>
    <w:rsid w:val="001376F0"/>
    <w:rsid w:val="001377B0"/>
    <w:rsid w:val="00137995"/>
    <w:rsid w:val="00137BCA"/>
    <w:rsid w:val="00137C18"/>
    <w:rsid w:val="00137C61"/>
    <w:rsid w:val="00137CAC"/>
    <w:rsid w:val="00137CEE"/>
    <w:rsid w:val="00137D53"/>
    <w:rsid w:val="00137E51"/>
    <w:rsid w:val="00137F6B"/>
    <w:rsid w:val="00137F9F"/>
    <w:rsid w:val="00140034"/>
    <w:rsid w:val="00140086"/>
    <w:rsid w:val="001400FA"/>
    <w:rsid w:val="0014010C"/>
    <w:rsid w:val="00140246"/>
    <w:rsid w:val="00140257"/>
    <w:rsid w:val="00140867"/>
    <w:rsid w:val="00140B10"/>
    <w:rsid w:val="00140C55"/>
    <w:rsid w:val="00140D31"/>
    <w:rsid w:val="00140D81"/>
    <w:rsid w:val="001410BB"/>
    <w:rsid w:val="00141326"/>
    <w:rsid w:val="00141337"/>
    <w:rsid w:val="00141367"/>
    <w:rsid w:val="001413EE"/>
    <w:rsid w:val="001414D4"/>
    <w:rsid w:val="0014158D"/>
    <w:rsid w:val="001415FE"/>
    <w:rsid w:val="001416BE"/>
    <w:rsid w:val="00141716"/>
    <w:rsid w:val="00141733"/>
    <w:rsid w:val="001417C7"/>
    <w:rsid w:val="00141C29"/>
    <w:rsid w:val="00141CB9"/>
    <w:rsid w:val="00141D06"/>
    <w:rsid w:val="00141D3F"/>
    <w:rsid w:val="00141D51"/>
    <w:rsid w:val="00141E07"/>
    <w:rsid w:val="00141E2E"/>
    <w:rsid w:val="00141E47"/>
    <w:rsid w:val="00141F8A"/>
    <w:rsid w:val="00141FBD"/>
    <w:rsid w:val="0014200A"/>
    <w:rsid w:val="0014205B"/>
    <w:rsid w:val="001420AA"/>
    <w:rsid w:val="001422CB"/>
    <w:rsid w:val="00142389"/>
    <w:rsid w:val="001423C7"/>
    <w:rsid w:val="001424D1"/>
    <w:rsid w:val="001425A4"/>
    <w:rsid w:val="0014280B"/>
    <w:rsid w:val="001428B6"/>
    <w:rsid w:val="00142916"/>
    <w:rsid w:val="00142918"/>
    <w:rsid w:val="001429D4"/>
    <w:rsid w:val="00142A04"/>
    <w:rsid w:val="00142A05"/>
    <w:rsid w:val="00142A32"/>
    <w:rsid w:val="00142A4D"/>
    <w:rsid w:val="00142A85"/>
    <w:rsid w:val="00142A8E"/>
    <w:rsid w:val="00142B36"/>
    <w:rsid w:val="00142B7C"/>
    <w:rsid w:val="00142BC1"/>
    <w:rsid w:val="00142C1D"/>
    <w:rsid w:val="00142CCA"/>
    <w:rsid w:val="00142D64"/>
    <w:rsid w:val="00142DC9"/>
    <w:rsid w:val="00142E67"/>
    <w:rsid w:val="0014303C"/>
    <w:rsid w:val="00143142"/>
    <w:rsid w:val="0014325A"/>
    <w:rsid w:val="00143287"/>
    <w:rsid w:val="001432CF"/>
    <w:rsid w:val="00143309"/>
    <w:rsid w:val="00143478"/>
    <w:rsid w:val="001434AA"/>
    <w:rsid w:val="001434C4"/>
    <w:rsid w:val="001434F6"/>
    <w:rsid w:val="0014373E"/>
    <w:rsid w:val="00143755"/>
    <w:rsid w:val="001437A9"/>
    <w:rsid w:val="001437BA"/>
    <w:rsid w:val="001439C6"/>
    <w:rsid w:val="00143AC7"/>
    <w:rsid w:val="00143ACE"/>
    <w:rsid w:val="00143AF7"/>
    <w:rsid w:val="00143B25"/>
    <w:rsid w:val="00143E91"/>
    <w:rsid w:val="00143EA2"/>
    <w:rsid w:val="00143FAB"/>
    <w:rsid w:val="00143FBB"/>
    <w:rsid w:val="00143FBD"/>
    <w:rsid w:val="0014400E"/>
    <w:rsid w:val="00144159"/>
    <w:rsid w:val="001441C0"/>
    <w:rsid w:val="00144218"/>
    <w:rsid w:val="001442B9"/>
    <w:rsid w:val="001443CD"/>
    <w:rsid w:val="001445DF"/>
    <w:rsid w:val="0014461A"/>
    <w:rsid w:val="0014478D"/>
    <w:rsid w:val="001448B0"/>
    <w:rsid w:val="00144924"/>
    <w:rsid w:val="00144D16"/>
    <w:rsid w:val="00144D63"/>
    <w:rsid w:val="00144D6C"/>
    <w:rsid w:val="00144DC6"/>
    <w:rsid w:val="00144EC5"/>
    <w:rsid w:val="00145136"/>
    <w:rsid w:val="00145159"/>
    <w:rsid w:val="00145270"/>
    <w:rsid w:val="0014529C"/>
    <w:rsid w:val="0014530F"/>
    <w:rsid w:val="00145329"/>
    <w:rsid w:val="00145334"/>
    <w:rsid w:val="001453D1"/>
    <w:rsid w:val="001453D6"/>
    <w:rsid w:val="0014548C"/>
    <w:rsid w:val="0014548E"/>
    <w:rsid w:val="001454C2"/>
    <w:rsid w:val="00145546"/>
    <w:rsid w:val="00145558"/>
    <w:rsid w:val="001455C1"/>
    <w:rsid w:val="00145639"/>
    <w:rsid w:val="00145672"/>
    <w:rsid w:val="00145718"/>
    <w:rsid w:val="00145720"/>
    <w:rsid w:val="00145778"/>
    <w:rsid w:val="001457A4"/>
    <w:rsid w:val="00145833"/>
    <w:rsid w:val="0014595D"/>
    <w:rsid w:val="00145A1B"/>
    <w:rsid w:val="00145AA6"/>
    <w:rsid w:val="00145C28"/>
    <w:rsid w:val="00145C98"/>
    <w:rsid w:val="00145E4B"/>
    <w:rsid w:val="00145F6B"/>
    <w:rsid w:val="0014628D"/>
    <w:rsid w:val="001462D4"/>
    <w:rsid w:val="00146354"/>
    <w:rsid w:val="00146389"/>
    <w:rsid w:val="001463F4"/>
    <w:rsid w:val="00146423"/>
    <w:rsid w:val="00146695"/>
    <w:rsid w:val="00146704"/>
    <w:rsid w:val="00146730"/>
    <w:rsid w:val="0014673A"/>
    <w:rsid w:val="00146807"/>
    <w:rsid w:val="0014691C"/>
    <w:rsid w:val="00146A6A"/>
    <w:rsid w:val="00146ADB"/>
    <w:rsid w:val="00146BEA"/>
    <w:rsid w:val="00146C2E"/>
    <w:rsid w:val="00146CC4"/>
    <w:rsid w:val="00146CD9"/>
    <w:rsid w:val="00146D0D"/>
    <w:rsid w:val="00146DF9"/>
    <w:rsid w:val="00146FD8"/>
    <w:rsid w:val="0014705B"/>
    <w:rsid w:val="001472AD"/>
    <w:rsid w:val="00147418"/>
    <w:rsid w:val="00147486"/>
    <w:rsid w:val="001474B1"/>
    <w:rsid w:val="00147668"/>
    <w:rsid w:val="00147741"/>
    <w:rsid w:val="00147762"/>
    <w:rsid w:val="00147835"/>
    <w:rsid w:val="00147851"/>
    <w:rsid w:val="0014797E"/>
    <w:rsid w:val="00147B83"/>
    <w:rsid w:val="00147C41"/>
    <w:rsid w:val="00147D51"/>
    <w:rsid w:val="00147DEF"/>
    <w:rsid w:val="00147E70"/>
    <w:rsid w:val="00150058"/>
    <w:rsid w:val="0015022A"/>
    <w:rsid w:val="00150236"/>
    <w:rsid w:val="001504CF"/>
    <w:rsid w:val="00150543"/>
    <w:rsid w:val="00150554"/>
    <w:rsid w:val="0015056E"/>
    <w:rsid w:val="001505CC"/>
    <w:rsid w:val="001505E9"/>
    <w:rsid w:val="00150642"/>
    <w:rsid w:val="00150649"/>
    <w:rsid w:val="00150660"/>
    <w:rsid w:val="001506E7"/>
    <w:rsid w:val="001506FA"/>
    <w:rsid w:val="00150759"/>
    <w:rsid w:val="001509B4"/>
    <w:rsid w:val="001509C0"/>
    <w:rsid w:val="00150ABD"/>
    <w:rsid w:val="00150C7A"/>
    <w:rsid w:val="00150D10"/>
    <w:rsid w:val="00150DCF"/>
    <w:rsid w:val="00150F84"/>
    <w:rsid w:val="001510AD"/>
    <w:rsid w:val="001510D4"/>
    <w:rsid w:val="0015118C"/>
    <w:rsid w:val="00151250"/>
    <w:rsid w:val="00151251"/>
    <w:rsid w:val="001513B3"/>
    <w:rsid w:val="0015143E"/>
    <w:rsid w:val="00151724"/>
    <w:rsid w:val="00151796"/>
    <w:rsid w:val="001517AF"/>
    <w:rsid w:val="0015189F"/>
    <w:rsid w:val="00151969"/>
    <w:rsid w:val="00151A10"/>
    <w:rsid w:val="00151A1E"/>
    <w:rsid w:val="00151A89"/>
    <w:rsid w:val="00151B57"/>
    <w:rsid w:val="00151BD0"/>
    <w:rsid w:val="00151DB9"/>
    <w:rsid w:val="00151E50"/>
    <w:rsid w:val="00151ED6"/>
    <w:rsid w:val="00152142"/>
    <w:rsid w:val="00152281"/>
    <w:rsid w:val="001522E4"/>
    <w:rsid w:val="00152354"/>
    <w:rsid w:val="001523C6"/>
    <w:rsid w:val="00152478"/>
    <w:rsid w:val="001524D2"/>
    <w:rsid w:val="001524DF"/>
    <w:rsid w:val="001525F1"/>
    <w:rsid w:val="00152602"/>
    <w:rsid w:val="001526B0"/>
    <w:rsid w:val="001526C8"/>
    <w:rsid w:val="00152861"/>
    <w:rsid w:val="0015293F"/>
    <w:rsid w:val="00152990"/>
    <w:rsid w:val="00152A8E"/>
    <w:rsid w:val="00152BBA"/>
    <w:rsid w:val="00152C1F"/>
    <w:rsid w:val="00152C59"/>
    <w:rsid w:val="00152CD0"/>
    <w:rsid w:val="00152D2B"/>
    <w:rsid w:val="00152D7E"/>
    <w:rsid w:val="00152E13"/>
    <w:rsid w:val="00152F25"/>
    <w:rsid w:val="00152FCA"/>
    <w:rsid w:val="0015329E"/>
    <w:rsid w:val="001532D9"/>
    <w:rsid w:val="001532E3"/>
    <w:rsid w:val="00153435"/>
    <w:rsid w:val="00153639"/>
    <w:rsid w:val="001537DC"/>
    <w:rsid w:val="001537F6"/>
    <w:rsid w:val="001538D1"/>
    <w:rsid w:val="001538D4"/>
    <w:rsid w:val="00153A0B"/>
    <w:rsid w:val="00153B13"/>
    <w:rsid w:val="00153B60"/>
    <w:rsid w:val="00153B8B"/>
    <w:rsid w:val="00153C3A"/>
    <w:rsid w:val="00153C4F"/>
    <w:rsid w:val="00153D9B"/>
    <w:rsid w:val="00153F04"/>
    <w:rsid w:val="00153F1A"/>
    <w:rsid w:val="001540A0"/>
    <w:rsid w:val="001540A1"/>
    <w:rsid w:val="00154238"/>
    <w:rsid w:val="0015436E"/>
    <w:rsid w:val="0015440C"/>
    <w:rsid w:val="001544EB"/>
    <w:rsid w:val="0015455B"/>
    <w:rsid w:val="0015463F"/>
    <w:rsid w:val="0015464F"/>
    <w:rsid w:val="0015477A"/>
    <w:rsid w:val="00154815"/>
    <w:rsid w:val="001549D1"/>
    <w:rsid w:val="00154A07"/>
    <w:rsid w:val="00154A3F"/>
    <w:rsid w:val="00154A43"/>
    <w:rsid w:val="00154A47"/>
    <w:rsid w:val="00154C39"/>
    <w:rsid w:val="00154DB9"/>
    <w:rsid w:val="00154DE6"/>
    <w:rsid w:val="00154F35"/>
    <w:rsid w:val="00154FC5"/>
    <w:rsid w:val="00154FCC"/>
    <w:rsid w:val="00155175"/>
    <w:rsid w:val="00155226"/>
    <w:rsid w:val="00155319"/>
    <w:rsid w:val="00155324"/>
    <w:rsid w:val="0015541E"/>
    <w:rsid w:val="001554D8"/>
    <w:rsid w:val="00155500"/>
    <w:rsid w:val="001555D5"/>
    <w:rsid w:val="0015560F"/>
    <w:rsid w:val="00155621"/>
    <w:rsid w:val="00155731"/>
    <w:rsid w:val="00155758"/>
    <w:rsid w:val="001557C7"/>
    <w:rsid w:val="001558D9"/>
    <w:rsid w:val="00155921"/>
    <w:rsid w:val="001559A2"/>
    <w:rsid w:val="001559C8"/>
    <w:rsid w:val="00155A5C"/>
    <w:rsid w:val="00155A71"/>
    <w:rsid w:val="00155AC3"/>
    <w:rsid w:val="00155B43"/>
    <w:rsid w:val="00155C26"/>
    <w:rsid w:val="00155F32"/>
    <w:rsid w:val="00155FCA"/>
    <w:rsid w:val="00155FD3"/>
    <w:rsid w:val="00156048"/>
    <w:rsid w:val="0015608F"/>
    <w:rsid w:val="001560D1"/>
    <w:rsid w:val="001560D5"/>
    <w:rsid w:val="0015617E"/>
    <w:rsid w:val="001561FB"/>
    <w:rsid w:val="001563EE"/>
    <w:rsid w:val="001564C8"/>
    <w:rsid w:val="00156760"/>
    <w:rsid w:val="0015680D"/>
    <w:rsid w:val="00156908"/>
    <w:rsid w:val="00156960"/>
    <w:rsid w:val="001569DC"/>
    <w:rsid w:val="00156E42"/>
    <w:rsid w:val="00156F5B"/>
    <w:rsid w:val="00156FFC"/>
    <w:rsid w:val="00157077"/>
    <w:rsid w:val="001570A1"/>
    <w:rsid w:val="001571E8"/>
    <w:rsid w:val="0015728B"/>
    <w:rsid w:val="0015738A"/>
    <w:rsid w:val="00157465"/>
    <w:rsid w:val="001575AB"/>
    <w:rsid w:val="001575D4"/>
    <w:rsid w:val="00157621"/>
    <w:rsid w:val="001577B1"/>
    <w:rsid w:val="00157967"/>
    <w:rsid w:val="00157B91"/>
    <w:rsid w:val="00157DC8"/>
    <w:rsid w:val="00157F9A"/>
    <w:rsid w:val="00157F9E"/>
    <w:rsid w:val="00157FDD"/>
    <w:rsid w:val="00160096"/>
    <w:rsid w:val="001600FA"/>
    <w:rsid w:val="001601F9"/>
    <w:rsid w:val="001602D2"/>
    <w:rsid w:val="0016030F"/>
    <w:rsid w:val="0016040F"/>
    <w:rsid w:val="00160423"/>
    <w:rsid w:val="001604AE"/>
    <w:rsid w:val="00160855"/>
    <w:rsid w:val="00160900"/>
    <w:rsid w:val="00160B38"/>
    <w:rsid w:val="00160B4C"/>
    <w:rsid w:val="00160D79"/>
    <w:rsid w:val="00160ED6"/>
    <w:rsid w:val="00160F36"/>
    <w:rsid w:val="001610A7"/>
    <w:rsid w:val="00161131"/>
    <w:rsid w:val="00161135"/>
    <w:rsid w:val="00161255"/>
    <w:rsid w:val="0016130A"/>
    <w:rsid w:val="00161450"/>
    <w:rsid w:val="00161849"/>
    <w:rsid w:val="00161852"/>
    <w:rsid w:val="001619DE"/>
    <w:rsid w:val="00161B3C"/>
    <w:rsid w:val="00161F6A"/>
    <w:rsid w:val="00161F7B"/>
    <w:rsid w:val="00161F88"/>
    <w:rsid w:val="00161FFB"/>
    <w:rsid w:val="00162011"/>
    <w:rsid w:val="001620F4"/>
    <w:rsid w:val="00162124"/>
    <w:rsid w:val="0016219A"/>
    <w:rsid w:val="00162224"/>
    <w:rsid w:val="001622B3"/>
    <w:rsid w:val="00162358"/>
    <w:rsid w:val="00162498"/>
    <w:rsid w:val="001624AB"/>
    <w:rsid w:val="00162547"/>
    <w:rsid w:val="001628FC"/>
    <w:rsid w:val="0016296F"/>
    <w:rsid w:val="00162BC7"/>
    <w:rsid w:val="00162CE8"/>
    <w:rsid w:val="00162DC8"/>
    <w:rsid w:val="00162E10"/>
    <w:rsid w:val="00162FD8"/>
    <w:rsid w:val="001630C0"/>
    <w:rsid w:val="001630D2"/>
    <w:rsid w:val="00163265"/>
    <w:rsid w:val="00163283"/>
    <w:rsid w:val="0016328D"/>
    <w:rsid w:val="00163301"/>
    <w:rsid w:val="001636C8"/>
    <w:rsid w:val="0016371B"/>
    <w:rsid w:val="00163749"/>
    <w:rsid w:val="0016375B"/>
    <w:rsid w:val="00163767"/>
    <w:rsid w:val="001637EF"/>
    <w:rsid w:val="0016383C"/>
    <w:rsid w:val="00163A75"/>
    <w:rsid w:val="00163AC0"/>
    <w:rsid w:val="00163C33"/>
    <w:rsid w:val="00163CAE"/>
    <w:rsid w:val="00163CDE"/>
    <w:rsid w:val="00163D2E"/>
    <w:rsid w:val="00163D38"/>
    <w:rsid w:val="00163D4E"/>
    <w:rsid w:val="00163DA5"/>
    <w:rsid w:val="00163DBB"/>
    <w:rsid w:val="00163DFB"/>
    <w:rsid w:val="00163E66"/>
    <w:rsid w:val="00163F36"/>
    <w:rsid w:val="00163F4B"/>
    <w:rsid w:val="00164084"/>
    <w:rsid w:val="001640ED"/>
    <w:rsid w:val="00164397"/>
    <w:rsid w:val="001643DD"/>
    <w:rsid w:val="00164550"/>
    <w:rsid w:val="001645E0"/>
    <w:rsid w:val="00164628"/>
    <w:rsid w:val="001646F5"/>
    <w:rsid w:val="0016485F"/>
    <w:rsid w:val="00164894"/>
    <w:rsid w:val="00164AC1"/>
    <w:rsid w:val="00164CCE"/>
    <w:rsid w:val="00164CE5"/>
    <w:rsid w:val="00164DBE"/>
    <w:rsid w:val="00164DD8"/>
    <w:rsid w:val="00164E0B"/>
    <w:rsid w:val="00164F10"/>
    <w:rsid w:val="00164F21"/>
    <w:rsid w:val="00164FD5"/>
    <w:rsid w:val="00165068"/>
    <w:rsid w:val="00165072"/>
    <w:rsid w:val="001650AD"/>
    <w:rsid w:val="0016512E"/>
    <w:rsid w:val="00165164"/>
    <w:rsid w:val="0016524C"/>
    <w:rsid w:val="0016525A"/>
    <w:rsid w:val="0016526C"/>
    <w:rsid w:val="0016537A"/>
    <w:rsid w:val="001653B2"/>
    <w:rsid w:val="001653B3"/>
    <w:rsid w:val="001653F6"/>
    <w:rsid w:val="001655CF"/>
    <w:rsid w:val="00165712"/>
    <w:rsid w:val="00165836"/>
    <w:rsid w:val="0016596A"/>
    <w:rsid w:val="00165AC7"/>
    <w:rsid w:val="00165BFF"/>
    <w:rsid w:val="00165C7A"/>
    <w:rsid w:val="00165C9F"/>
    <w:rsid w:val="00165D7D"/>
    <w:rsid w:val="00165DD1"/>
    <w:rsid w:val="00165E25"/>
    <w:rsid w:val="00165ECE"/>
    <w:rsid w:val="00165F19"/>
    <w:rsid w:val="00165FDE"/>
    <w:rsid w:val="00166052"/>
    <w:rsid w:val="00166145"/>
    <w:rsid w:val="00166202"/>
    <w:rsid w:val="00166272"/>
    <w:rsid w:val="001663CF"/>
    <w:rsid w:val="001663F3"/>
    <w:rsid w:val="001664C9"/>
    <w:rsid w:val="0016655B"/>
    <w:rsid w:val="001666EE"/>
    <w:rsid w:val="00166702"/>
    <w:rsid w:val="0016674D"/>
    <w:rsid w:val="0016677B"/>
    <w:rsid w:val="001667A8"/>
    <w:rsid w:val="0016690D"/>
    <w:rsid w:val="0016693B"/>
    <w:rsid w:val="0016698E"/>
    <w:rsid w:val="00166A55"/>
    <w:rsid w:val="00166B05"/>
    <w:rsid w:val="00166C9C"/>
    <w:rsid w:val="00166D3F"/>
    <w:rsid w:val="00166D5E"/>
    <w:rsid w:val="00166DC5"/>
    <w:rsid w:val="00166E45"/>
    <w:rsid w:val="00167027"/>
    <w:rsid w:val="00167101"/>
    <w:rsid w:val="001671BA"/>
    <w:rsid w:val="001671FF"/>
    <w:rsid w:val="00167287"/>
    <w:rsid w:val="001672C7"/>
    <w:rsid w:val="001673B6"/>
    <w:rsid w:val="0016745E"/>
    <w:rsid w:val="00167578"/>
    <w:rsid w:val="00167657"/>
    <w:rsid w:val="00167821"/>
    <w:rsid w:val="00167872"/>
    <w:rsid w:val="001678CC"/>
    <w:rsid w:val="00167A5A"/>
    <w:rsid w:val="00167B0A"/>
    <w:rsid w:val="00167D3C"/>
    <w:rsid w:val="00167D6D"/>
    <w:rsid w:val="00167E77"/>
    <w:rsid w:val="00167EEF"/>
    <w:rsid w:val="00167EFD"/>
    <w:rsid w:val="00167F2A"/>
    <w:rsid w:val="00167F87"/>
    <w:rsid w:val="00167FEA"/>
    <w:rsid w:val="00170153"/>
    <w:rsid w:val="001703D6"/>
    <w:rsid w:val="00170441"/>
    <w:rsid w:val="001704B3"/>
    <w:rsid w:val="001706FD"/>
    <w:rsid w:val="00170736"/>
    <w:rsid w:val="00170769"/>
    <w:rsid w:val="001707B0"/>
    <w:rsid w:val="001707F2"/>
    <w:rsid w:val="00170891"/>
    <w:rsid w:val="00170990"/>
    <w:rsid w:val="00170A37"/>
    <w:rsid w:val="00170E4B"/>
    <w:rsid w:val="00170EA8"/>
    <w:rsid w:val="00170EFA"/>
    <w:rsid w:val="00171134"/>
    <w:rsid w:val="001711DE"/>
    <w:rsid w:val="00171245"/>
    <w:rsid w:val="00171328"/>
    <w:rsid w:val="00171378"/>
    <w:rsid w:val="001713E0"/>
    <w:rsid w:val="0017149A"/>
    <w:rsid w:val="001714AE"/>
    <w:rsid w:val="001714EC"/>
    <w:rsid w:val="001714F6"/>
    <w:rsid w:val="00171508"/>
    <w:rsid w:val="00171560"/>
    <w:rsid w:val="0017158A"/>
    <w:rsid w:val="0017162D"/>
    <w:rsid w:val="001716EA"/>
    <w:rsid w:val="001716F9"/>
    <w:rsid w:val="00171719"/>
    <w:rsid w:val="00171809"/>
    <w:rsid w:val="00171965"/>
    <w:rsid w:val="001719B7"/>
    <w:rsid w:val="00171A2F"/>
    <w:rsid w:val="00171A75"/>
    <w:rsid w:val="00171D6D"/>
    <w:rsid w:val="00171DA5"/>
    <w:rsid w:val="00171E6E"/>
    <w:rsid w:val="0017202C"/>
    <w:rsid w:val="00172049"/>
    <w:rsid w:val="0017217E"/>
    <w:rsid w:val="001722AC"/>
    <w:rsid w:val="001722C7"/>
    <w:rsid w:val="001723AA"/>
    <w:rsid w:val="0017241F"/>
    <w:rsid w:val="00172465"/>
    <w:rsid w:val="00172481"/>
    <w:rsid w:val="001724A4"/>
    <w:rsid w:val="0017250B"/>
    <w:rsid w:val="001725F8"/>
    <w:rsid w:val="0017266A"/>
    <w:rsid w:val="0017268E"/>
    <w:rsid w:val="00172796"/>
    <w:rsid w:val="001727C2"/>
    <w:rsid w:val="00172874"/>
    <w:rsid w:val="0017291C"/>
    <w:rsid w:val="00172A2F"/>
    <w:rsid w:val="00172CA8"/>
    <w:rsid w:val="00172D4D"/>
    <w:rsid w:val="00172D6D"/>
    <w:rsid w:val="00172EC3"/>
    <w:rsid w:val="00173024"/>
    <w:rsid w:val="0017311B"/>
    <w:rsid w:val="0017313C"/>
    <w:rsid w:val="00173203"/>
    <w:rsid w:val="001732C1"/>
    <w:rsid w:val="001733D8"/>
    <w:rsid w:val="0017344C"/>
    <w:rsid w:val="001735FA"/>
    <w:rsid w:val="001736DC"/>
    <w:rsid w:val="001737C2"/>
    <w:rsid w:val="0017387E"/>
    <w:rsid w:val="00173950"/>
    <w:rsid w:val="00173996"/>
    <w:rsid w:val="00173B6B"/>
    <w:rsid w:val="00173D42"/>
    <w:rsid w:val="00173EC9"/>
    <w:rsid w:val="001740B2"/>
    <w:rsid w:val="001740D8"/>
    <w:rsid w:val="001740DA"/>
    <w:rsid w:val="0017412F"/>
    <w:rsid w:val="0017428C"/>
    <w:rsid w:val="001743A2"/>
    <w:rsid w:val="00174473"/>
    <w:rsid w:val="00174628"/>
    <w:rsid w:val="0017464B"/>
    <w:rsid w:val="001746BD"/>
    <w:rsid w:val="0017473F"/>
    <w:rsid w:val="0017488D"/>
    <w:rsid w:val="00174893"/>
    <w:rsid w:val="00174B21"/>
    <w:rsid w:val="00174B23"/>
    <w:rsid w:val="00174B4A"/>
    <w:rsid w:val="00174B72"/>
    <w:rsid w:val="00174CA1"/>
    <w:rsid w:val="00174D68"/>
    <w:rsid w:val="00174E33"/>
    <w:rsid w:val="00174EB3"/>
    <w:rsid w:val="00174F18"/>
    <w:rsid w:val="00174F55"/>
    <w:rsid w:val="0017501F"/>
    <w:rsid w:val="001751A5"/>
    <w:rsid w:val="0017523C"/>
    <w:rsid w:val="0017530F"/>
    <w:rsid w:val="001753FD"/>
    <w:rsid w:val="001755BC"/>
    <w:rsid w:val="001755C1"/>
    <w:rsid w:val="00175665"/>
    <w:rsid w:val="001756D7"/>
    <w:rsid w:val="001756DF"/>
    <w:rsid w:val="001756FA"/>
    <w:rsid w:val="001757B9"/>
    <w:rsid w:val="0017582B"/>
    <w:rsid w:val="00175864"/>
    <w:rsid w:val="001759BC"/>
    <w:rsid w:val="001759DB"/>
    <w:rsid w:val="00175A3D"/>
    <w:rsid w:val="00175C8C"/>
    <w:rsid w:val="00175CB4"/>
    <w:rsid w:val="00175D73"/>
    <w:rsid w:val="00175E49"/>
    <w:rsid w:val="00175E70"/>
    <w:rsid w:val="00176175"/>
    <w:rsid w:val="001762BE"/>
    <w:rsid w:val="00176313"/>
    <w:rsid w:val="00176357"/>
    <w:rsid w:val="001763D3"/>
    <w:rsid w:val="001763DD"/>
    <w:rsid w:val="00176426"/>
    <w:rsid w:val="001764DE"/>
    <w:rsid w:val="00176581"/>
    <w:rsid w:val="00176582"/>
    <w:rsid w:val="001765EB"/>
    <w:rsid w:val="0017674F"/>
    <w:rsid w:val="00176750"/>
    <w:rsid w:val="0017687D"/>
    <w:rsid w:val="001769A6"/>
    <w:rsid w:val="00176A70"/>
    <w:rsid w:val="00176AE6"/>
    <w:rsid w:val="00176B3A"/>
    <w:rsid w:val="00176D33"/>
    <w:rsid w:val="00176D89"/>
    <w:rsid w:val="00176DFC"/>
    <w:rsid w:val="00176FA4"/>
    <w:rsid w:val="00177086"/>
    <w:rsid w:val="00177170"/>
    <w:rsid w:val="0017726A"/>
    <w:rsid w:val="001772B0"/>
    <w:rsid w:val="00177472"/>
    <w:rsid w:val="001774E8"/>
    <w:rsid w:val="0017753A"/>
    <w:rsid w:val="00177683"/>
    <w:rsid w:val="001776CB"/>
    <w:rsid w:val="0017777D"/>
    <w:rsid w:val="001777E5"/>
    <w:rsid w:val="001777F3"/>
    <w:rsid w:val="0017784A"/>
    <w:rsid w:val="00177891"/>
    <w:rsid w:val="001778F5"/>
    <w:rsid w:val="00177A0E"/>
    <w:rsid w:val="00177A4E"/>
    <w:rsid w:val="00177A5A"/>
    <w:rsid w:val="00177A9B"/>
    <w:rsid w:val="00177B3D"/>
    <w:rsid w:val="00177B82"/>
    <w:rsid w:val="00177BC2"/>
    <w:rsid w:val="00177BCA"/>
    <w:rsid w:val="00177BFD"/>
    <w:rsid w:val="00177C09"/>
    <w:rsid w:val="00177C1E"/>
    <w:rsid w:val="00177C3C"/>
    <w:rsid w:val="00177EC9"/>
    <w:rsid w:val="00177FFC"/>
    <w:rsid w:val="00180090"/>
    <w:rsid w:val="00180227"/>
    <w:rsid w:val="001803A0"/>
    <w:rsid w:val="001803DE"/>
    <w:rsid w:val="001803FB"/>
    <w:rsid w:val="001804DF"/>
    <w:rsid w:val="001805C6"/>
    <w:rsid w:val="00180633"/>
    <w:rsid w:val="001806B1"/>
    <w:rsid w:val="00180919"/>
    <w:rsid w:val="00180A4D"/>
    <w:rsid w:val="00180AFC"/>
    <w:rsid w:val="00180C96"/>
    <w:rsid w:val="00180D5D"/>
    <w:rsid w:val="00180DBF"/>
    <w:rsid w:val="00180EE0"/>
    <w:rsid w:val="00180F33"/>
    <w:rsid w:val="00180F92"/>
    <w:rsid w:val="0018107E"/>
    <w:rsid w:val="001811EE"/>
    <w:rsid w:val="00181279"/>
    <w:rsid w:val="0018138C"/>
    <w:rsid w:val="00181563"/>
    <w:rsid w:val="001815EA"/>
    <w:rsid w:val="001817ED"/>
    <w:rsid w:val="00181810"/>
    <w:rsid w:val="0018188C"/>
    <w:rsid w:val="00181AD1"/>
    <w:rsid w:val="00181BE0"/>
    <w:rsid w:val="00181CAD"/>
    <w:rsid w:val="00181CE7"/>
    <w:rsid w:val="00181D56"/>
    <w:rsid w:val="00181D93"/>
    <w:rsid w:val="00181DDA"/>
    <w:rsid w:val="00181E58"/>
    <w:rsid w:val="00181E5B"/>
    <w:rsid w:val="00182060"/>
    <w:rsid w:val="001820D6"/>
    <w:rsid w:val="0018216C"/>
    <w:rsid w:val="00182184"/>
    <w:rsid w:val="001822DA"/>
    <w:rsid w:val="00182316"/>
    <w:rsid w:val="00182546"/>
    <w:rsid w:val="00182567"/>
    <w:rsid w:val="001827B6"/>
    <w:rsid w:val="0018282A"/>
    <w:rsid w:val="0018285F"/>
    <w:rsid w:val="001828BE"/>
    <w:rsid w:val="00182988"/>
    <w:rsid w:val="00182B01"/>
    <w:rsid w:val="00182BD6"/>
    <w:rsid w:val="00182BFF"/>
    <w:rsid w:val="00182D0E"/>
    <w:rsid w:val="001830DE"/>
    <w:rsid w:val="00183297"/>
    <w:rsid w:val="001832C2"/>
    <w:rsid w:val="001834D7"/>
    <w:rsid w:val="001834E8"/>
    <w:rsid w:val="001834F0"/>
    <w:rsid w:val="001835E6"/>
    <w:rsid w:val="001836AB"/>
    <w:rsid w:val="00183858"/>
    <w:rsid w:val="00183901"/>
    <w:rsid w:val="00183944"/>
    <w:rsid w:val="00183C6E"/>
    <w:rsid w:val="00183D53"/>
    <w:rsid w:val="00183D92"/>
    <w:rsid w:val="00183E3D"/>
    <w:rsid w:val="00183F04"/>
    <w:rsid w:val="00184143"/>
    <w:rsid w:val="001842A2"/>
    <w:rsid w:val="001844DE"/>
    <w:rsid w:val="001846C6"/>
    <w:rsid w:val="00184706"/>
    <w:rsid w:val="0018470C"/>
    <w:rsid w:val="00184751"/>
    <w:rsid w:val="0018497E"/>
    <w:rsid w:val="001849C6"/>
    <w:rsid w:val="00184A1F"/>
    <w:rsid w:val="00184ADE"/>
    <w:rsid w:val="00184C7D"/>
    <w:rsid w:val="00184DC8"/>
    <w:rsid w:val="00184DF9"/>
    <w:rsid w:val="00184E33"/>
    <w:rsid w:val="00184E4E"/>
    <w:rsid w:val="00184EC3"/>
    <w:rsid w:val="00184F2C"/>
    <w:rsid w:val="00185032"/>
    <w:rsid w:val="001851D5"/>
    <w:rsid w:val="00185234"/>
    <w:rsid w:val="0018524D"/>
    <w:rsid w:val="0018526F"/>
    <w:rsid w:val="001852DD"/>
    <w:rsid w:val="00185436"/>
    <w:rsid w:val="0018543A"/>
    <w:rsid w:val="001854E5"/>
    <w:rsid w:val="00185607"/>
    <w:rsid w:val="001857E1"/>
    <w:rsid w:val="00185962"/>
    <w:rsid w:val="001859CC"/>
    <w:rsid w:val="00185AAE"/>
    <w:rsid w:val="00185B4F"/>
    <w:rsid w:val="00185B8A"/>
    <w:rsid w:val="00185CD0"/>
    <w:rsid w:val="00185D3F"/>
    <w:rsid w:val="00185D82"/>
    <w:rsid w:val="00185D96"/>
    <w:rsid w:val="00185E13"/>
    <w:rsid w:val="00185E6C"/>
    <w:rsid w:val="00186008"/>
    <w:rsid w:val="00186082"/>
    <w:rsid w:val="00186180"/>
    <w:rsid w:val="001861A3"/>
    <w:rsid w:val="001861A7"/>
    <w:rsid w:val="001862B8"/>
    <w:rsid w:val="00186336"/>
    <w:rsid w:val="0018642E"/>
    <w:rsid w:val="00186467"/>
    <w:rsid w:val="0018661F"/>
    <w:rsid w:val="0018663D"/>
    <w:rsid w:val="00186884"/>
    <w:rsid w:val="001868AA"/>
    <w:rsid w:val="001868B1"/>
    <w:rsid w:val="00186913"/>
    <w:rsid w:val="0018692F"/>
    <w:rsid w:val="00186A41"/>
    <w:rsid w:val="00186A4E"/>
    <w:rsid w:val="00186B45"/>
    <w:rsid w:val="00186B62"/>
    <w:rsid w:val="00186C23"/>
    <w:rsid w:val="00186C60"/>
    <w:rsid w:val="00186CB6"/>
    <w:rsid w:val="00186DDC"/>
    <w:rsid w:val="00186F0F"/>
    <w:rsid w:val="0018713C"/>
    <w:rsid w:val="00187223"/>
    <w:rsid w:val="001872C5"/>
    <w:rsid w:val="001872CF"/>
    <w:rsid w:val="001872F0"/>
    <w:rsid w:val="00187342"/>
    <w:rsid w:val="0018735F"/>
    <w:rsid w:val="00187363"/>
    <w:rsid w:val="00187367"/>
    <w:rsid w:val="00187475"/>
    <w:rsid w:val="001874BD"/>
    <w:rsid w:val="0018755A"/>
    <w:rsid w:val="001875ED"/>
    <w:rsid w:val="00187778"/>
    <w:rsid w:val="00187795"/>
    <w:rsid w:val="001878E3"/>
    <w:rsid w:val="00187A91"/>
    <w:rsid w:val="00187B61"/>
    <w:rsid w:val="00187D50"/>
    <w:rsid w:val="00187DD5"/>
    <w:rsid w:val="00187F85"/>
    <w:rsid w:val="001900BB"/>
    <w:rsid w:val="001901D2"/>
    <w:rsid w:val="00190413"/>
    <w:rsid w:val="001904A0"/>
    <w:rsid w:val="0019057A"/>
    <w:rsid w:val="001907FC"/>
    <w:rsid w:val="001908F4"/>
    <w:rsid w:val="001908F7"/>
    <w:rsid w:val="001909E0"/>
    <w:rsid w:val="00190A7D"/>
    <w:rsid w:val="00190B38"/>
    <w:rsid w:val="00190B62"/>
    <w:rsid w:val="00190CAC"/>
    <w:rsid w:val="00190CD7"/>
    <w:rsid w:val="00190CDD"/>
    <w:rsid w:val="00190D76"/>
    <w:rsid w:val="00190DAE"/>
    <w:rsid w:val="00190E88"/>
    <w:rsid w:val="00190FC9"/>
    <w:rsid w:val="001910EF"/>
    <w:rsid w:val="001911EB"/>
    <w:rsid w:val="00191231"/>
    <w:rsid w:val="001912E9"/>
    <w:rsid w:val="00191496"/>
    <w:rsid w:val="00191509"/>
    <w:rsid w:val="001915D1"/>
    <w:rsid w:val="00191626"/>
    <w:rsid w:val="00191658"/>
    <w:rsid w:val="0019166B"/>
    <w:rsid w:val="00191711"/>
    <w:rsid w:val="00191804"/>
    <w:rsid w:val="001918CB"/>
    <w:rsid w:val="001918DA"/>
    <w:rsid w:val="00191B3D"/>
    <w:rsid w:val="00191BAE"/>
    <w:rsid w:val="00191CB0"/>
    <w:rsid w:val="00191CBA"/>
    <w:rsid w:val="00191E5C"/>
    <w:rsid w:val="00191E61"/>
    <w:rsid w:val="00191E95"/>
    <w:rsid w:val="00191EB9"/>
    <w:rsid w:val="00191EE2"/>
    <w:rsid w:val="0019214D"/>
    <w:rsid w:val="0019219F"/>
    <w:rsid w:val="001921D5"/>
    <w:rsid w:val="001922C5"/>
    <w:rsid w:val="001922FB"/>
    <w:rsid w:val="001923A5"/>
    <w:rsid w:val="001923BB"/>
    <w:rsid w:val="0019248E"/>
    <w:rsid w:val="00192578"/>
    <w:rsid w:val="001925A7"/>
    <w:rsid w:val="001925D4"/>
    <w:rsid w:val="00192627"/>
    <w:rsid w:val="001927DD"/>
    <w:rsid w:val="001927F6"/>
    <w:rsid w:val="001928A3"/>
    <w:rsid w:val="0019297A"/>
    <w:rsid w:val="001929F7"/>
    <w:rsid w:val="00192B15"/>
    <w:rsid w:val="00192B58"/>
    <w:rsid w:val="00192D21"/>
    <w:rsid w:val="00192DB0"/>
    <w:rsid w:val="00192DD8"/>
    <w:rsid w:val="00192E28"/>
    <w:rsid w:val="00192F13"/>
    <w:rsid w:val="0019311C"/>
    <w:rsid w:val="001931A2"/>
    <w:rsid w:val="00193296"/>
    <w:rsid w:val="00193447"/>
    <w:rsid w:val="001934A7"/>
    <w:rsid w:val="00193574"/>
    <w:rsid w:val="00193575"/>
    <w:rsid w:val="00193610"/>
    <w:rsid w:val="00193777"/>
    <w:rsid w:val="001937BE"/>
    <w:rsid w:val="001938F0"/>
    <w:rsid w:val="0019392B"/>
    <w:rsid w:val="00193931"/>
    <w:rsid w:val="00193944"/>
    <w:rsid w:val="0019396B"/>
    <w:rsid w:val="00193A2B"/>
    <w:rsid w:val="00193C9C"/>
    <w:rsid w:val="00193D66"/>
    <w:rsid w:val="00193D6A"/>
    <w:rsid w:val="00193ED1"/>
    <w:rsid w:val="00194088"/>
    <w:rsid w:val="00194149"/>
    <w:rsid w:val="00194220"/>
    <w:rsid w:val="00194473"/>
    <w:rsid w:val="0019464F"/>
    <w:rsid w:val="00194689"/>
    <w:rsid w:val="0019478D"/>
    <w:rsid w:val="001947D0"/>
    <w:rsid w:val="00194B10"/>
    <w:rsid w:val="00194B1B"/>
    <w:rsid w:val="00194BF8"/>
    <w:rsid w:val="00194C76"/>
    <w:rsid w:val="00194C7C"/>
    <w:rsid w:val="00194F4C"/>
    <w:rsid w:val="00194FC6"/>
    <w:rsid w:val="00194FEB"/>
    <w:rsid w:val="00195050"/>
    <w:rsid w:val="0019508C"/>
    <w:rsid w:val="00195106"/>
    <w:rsid w:val="00195192"/>
    <w:rsid w:val="00195249"/>
    <w:rsid w:val="0019526C"/>
    <w:rsid w:val="001952B8"/>
    <w:rsid w:val="001953CE"/>
    <w:rsid w:val="001953FA"/>
    <w:rsid w:val="00195588"/>
    <w:rsid w:val="001955CC"/>
    <w:rsid w:val="00195837"/>
    <w:rsid w:val="00195B53"/>
    <w:rsid w:val="00195B77"/>
    <w:rsid w:val="00195D91"/>
    <w:rsid w:val="00195DF1"/>
    <w:rsid w:val="00195EA0"/>
    <w:rsid w:val="00195EDE"/>
    <w:rsid w:val="00195F05"/>
    <w:rsid w:val="00195F4B"/>
    <w:rsid w:val="00196044"/>
    <w:rsid w:val="001960E6"/>
    <w:rsid w:val="0019615A"/>
    <w:rsid w:val="0019619C"/>
    <w:rsid w:val="00196262"/>
    <w:rsid w:val="00196327"/>
    <w:rsid w:val="00196403"/>
    <w:rsid w:val="001964D0"/>
    <w:rsid w:val="001965D7"/>
    <w:rsid w:val="0019660E"/>
    <w:rsid w:val="0019682C"/>
    <w:rsid w:val="00196889"/>
    <w:rsid w:val="001969D1"/>
    <w:rsid w:val="00196A14"/>
    <w:rsid w:val="00196A51"/>
    <w:rsid w:val="00196AA1"/>
    <w:rsid w:val="00196AE0"/>
    <w:rsid w:val="00196B6B"/>
    <w:rsid w:val="00196BAD"/>
    <w:rsid w:val="00196E07"/>
    <w:rsid w:val="00196E56"/>
    <w:rsid w:val="00196E61"/>
    <w:rsid w:val="00196FF4"/>
    <w:rsid w:val="00197088"/>
    <w:rsid w:val="00197134"/>
    <w:rsid w:val="0019714A"/>
    <w:rsid w:val="001972E9"/>
    <w:rsid w:val="00197354"/>
    <w:rsid w:val="00197401"/>
    <w:rsid w:val="001975F8"/>
    <w:rsid w:val="001976C8"/>
    <w:rsid w:val="001977E5"/>
    <w:rsid w:val="00197882"/>
    <w:rsid w:val="00197968"/>
    <w:rsid w:val="00197AF7"/>
    <w:rsid w:val="00197B47"/>
    <w:rsid w:val="00197C45"/>
    <w:rsid w:val="00197CB9"/>
    <w:rsid w:val="00197CEF"/>
    <w:rsid w:val="00197D86"/>
    <w:rsid w:val="00197EFC"/>
    <w:rsid w:val="001A0036"/>
    <w:rsid w:val="001A0288"/>
    <w:rsid w:val="001A03D1"/>
    <w:rsid w:val="001A045F"/>
    <w:rsid w:val="001A0580"/>
    <w:rsid w:val="001A06CF"/>
    <w:rsid w:val="001A0709"/>
    <w:rsid w:val="001A0718"/>
    <w:rsid w:val="001A0986"/>
    <w:rsid w:val="001A0AA7"/>
    <w:rsid w:val="001A0ACF"/>
    <w:rsid w:val="001A0B11"/>
    <w:rsid w:val="001A0DD9"/>
    <w:rsid w:val="001A0EED"/>
    <w:rsid w:val="001A0F58"/>
    <w:rsid w:val="001A0FE0"/>
    <w:rsid w:val="001A1022"/>
    <w:rsid w:val="001A121F"/>
    <w:rsid w:val="001A12E3"/>
    <w:rsid w:val="001A132E"/>
    <w:rsid w:val="001A134D"/>
    <w:rsid w:val="001A1562"/>
    <w:rsid w:val="001A15AC"/>
    <w:rsid w:val="001A16D3"/>
    <w:rsid w:val="001A1752"/>
    <w:rsid w:val="001A196D"/>
    <w:rsid w:val="001A1A66"/>
    <w:rsid w:val="001A1AD0"/>
    <w:rsid w:val="001A1B2C"/>
    <w:rsid w:val="001A1B6B"/>
    <w:rsid w:val="001A1C4F"/>
    <w:rsid w:val="001A1D67"/>
    <w:rsid w:val="001A1DA8"/>
    <w:rsid w:val="001A1DC8"/>
    <w:rsid w:val="001A1DD2"/>
    <w:rsid w:val="001A1F2E"/>
    <w:rsid w:val="001A201F"/>
    <w:rsid w:val="001A2023"/>
    <w:rsid w:val="001A211C"/>
    <w:rsid w:val="001A215E"/>
    <w:rsid w:val="001A2188"/>
    <w:rsid w:val="001A225B"/>
    <w:rsid w:val="001A239C"/>
    <w:rsid w:val="001A242D"/>
    <w:rsid w:val="001A25A3"/>
    <w:rsid w:val="001A263F"/>
    <w:rsid w:val="001A2725"/>
    <w:rsid w:val="001A276C"/>
    <w:rsid w:val="001A2897"/>
    <w:rsid w:val="001A289C"/>
    <w:rsid w:val="001A28CD"/>
    <w:rsid w:val="001A290B"/>
    <w:rsid w:val="001A290F"/>
    <w:rsid w:val="001A2C0E"/>
    <w:rsid w:val="001A2C42"/>
    <w:rsid w:val="001A2D12"/>
    <w:rsid w:val="001A2D36"/>
    <w:rsid w:val="001A2D76"/>
    <w:rsid w:val="001A2DDC"/>
    <w:rsid w:val="001A2EB8"/>
    <w:rsid w:val="001A2F5C"/>
    <w:rsid w:val="001A30D2"/>
    <w:rsid w:val="001A3165"/>
    <w:rsid w:val="001A31C9"/>
    <w:rsid w:val="001A31F4"/>
    <w:rsid w:val="001A327B"/>
    <w:rsid w:val="001A32D6"/>
    <w:rsid w:val="001A33AF"/>
    <w:rsid w:val="001A35A6"/>
    <w:rsid w:val="001A36A5"/>
    <w:rsid w:val="001A36B7"/>
    <w:rsid w:val="001A3773"/>
    <w:rsid w:val="001A3B8A"/>
    <w:rsid w:val="001A3C3E"/>
    <w:rsid w:val="001A3D7A"/>
    <w:rsid w:val="001A3E79"/>
    <w:rsid w:val="001A3F91"/>
    <w:rsid w:val="001A3FD3"/>
    <w:rsid w:val="001A413A"/>
    <w:rsid w:val="001A416B"/>
    <w:rsid w:val="001A43C8"/>
    <w:rsid w:val="001A440B"/>
    <w:rsid w:val="001A44F4"/>
    <w:rsid w:val="001A452D"/>
    <w:rsid w:val="001A45B1"/>
    <w:rsid w:val="001A45B4"/>
    <w:rsid w:val="001A4673"/>
    <w:rsid w:val="001A4698"/>
    <w:rsid w:val="001A47A0"/>
    <w:rsid w:val="001A47B4"/>
    <w:rsid w:val="001A486C"/>
    <w:rsid w:val="001A48B8"/>
    <w:rsid w:val="001A4AD6"/>
    <w:rsid w:val="001A4ADE"/>
    <w:rsid w:val="001A4B52"/>
    <w:rsid w:val="001A4B5A"/>
    <w:rsid w:val="001A4DB3"/>
    <w:rsid w:val="001A50AD"/>
    <w:rsid w:val="001A517D"/>
    <w:rsid w:val="001A5180"/>
    <w:rsid w:val="001A51DE"/>
    <w:rsid w:val="001A521D"/>
    <w:rsid w:val="001A534D"/>
    <w:rsid w:val="001A5365"/>
    <w:rsid w:val="001A54AD"/>
    <w:rsid w:val="001A54B4"/>
    <w:rsid w:val="001A54B7"/>
    <w:rsid w:val="001A5670"/>
    <w:rsid w:val="001A56A6"/>
    <w:rsid w:val="001A57DF"/>
    <w:rsid w:val="001A5962"/>
    <w:rsid w:val="001A5A48"/>
    <w:rsid w:val="001A5A6C"/>
    <w:rsid w:val="001A5B76"/>
    <w:rsid w:val="001A5CA6"/>
    <w:rsid w:val="001A5D7E"/>
    <w:rsid w:val="001A5D82"/>
    <w:rsid w:val="001A5E2E"/>
    <w:rsid w:val="001A5E4A"/>
    <w:rsid w:val="001A5ECB"/>
    <w:rsid w:val="001A5F04"/>
    <w:rsid w:val="001A5F0B"/>
    <w:rsid w:val="001A60F8"/>
    <w:rsid w:val="001A6125"/>
    <w:rsid w:val="001A61D1"/>
    <w:rsid w:val="001A6312"/>
    <w:rsid w:val="001A6499"/>
    <w:rsid w:val="001A64DE"/>
    <w:rsid w:val="001A6618"/>
    <w:rsid w:val="001A6694"/>
    <w:rsid w:val="001A66A3"/>
    <w:rsid w:val="001A66C6"/>
    <w:rsid w:val="001A6787"/>
    <w:rsid w:val="001A67E5"/>
    <w:rsid w:val="001A683E"/>
    <w:rsid w:val="001A68EC"/>
    <w:rsid w:val="001A68EE"/>
    <w:rsid w:val="001A6934"/>
    <w:rsid w:val="001A69BD"/>
    <w:rsid w:val="001A6BFD"/>
    <w:rsid w:val="001A6C02"/>
    <w:rsid w:val="001A6C1B"/>
    <w:rsid w:val="001A6E02"/>
    <w:rsid w:val="001A70C9"/>
    <w:rsid w:val="001A7114"/>
    <w:rsid w:val="001A716F"/>
    <w:rsid w:val="001A734D"/>
    <w:rsid w:val="001A73C8"/>
    <w:rsid w:val="001A7488"/>
    <w:rsid w:val="001A75A5"/>
    <w:rsid w:val="001A75C6"/>
    <w:rsid w:val="001A76CD"/>
    <w:rsid w:val="001A770F"/>
    <w:rsid w:val="001A7767"/>
    <w:rsid w:val="001A77B6"/>
    <w:rsid w:val="001A785B"/>
    <w:rsid w:val="001A787C"/>
    <w:rsid w:val="001A7892"/>
    <w:rsid w:val="001A7938"/>
    <w:rsid w:val="001A7956"/>
    <w:rsid w:val="001A7A63"/>
    <w:rsid w:val="001A7ABB"/>
    <w:rsid w:val="001A7BBA"/>
    <w:rsid w:val="001A7BD5"/>
    <w:rsid w:val="001A7BF2"/>
    <w:rsid w:val="001A7D20"/>
    <w:rsid w:val="001A7D54"/>
    <w:rsid w:val="001A7DFB"/>
    <w:rsid w:val="001A7F67"/>
    <w:rsid w:val="001B025F"/>
    <w:rsid w:val="001B03BE"/>
    <w:rsid w:val="001B0402"/>
    <w:rsid w:val="001B0451"/>
    <w:rsid w:val="001B0781"/>
    <w:rsid w:val="001B0797"/>
    <w:rsid w:val="001B0862"/>
    <w:rsid w:val="001B08D8"/>
    <w:rsid w:val="001B08DF"/>
    <w:rsid w:val="001B0987"/>
    <w:rsid w:val="001B09BB"/>
    <w:rsid w:val="001B0A03"/>
    <w:rsid w:val="001B0A0E"/>
    <w:rsid w:val="001B0A62"/>
    <w:rsid w:val="001B0AEB"/>
    <w:rsid w:val="001B0B6A"/>
    <w:rsid w:val="001B0B98"/>
    <w:rsid w:val="001B0BF0"/>
    <w:rsid w:val="001B0C68"/>
    <w:rsid w:val="001B0C6E"/>
    <w:rsid w:val="001B0DA7"/>
    <w:rsid w:val="001B0DF3"/>
    <w:rsid w:val="001B0E1A"/>
    <w:rsid w:val="001B0E50"/>
    <w:rsid w:val="001B102E"/>
    <w:rsid w:val="001B105C"/>
    <w:rsid w:val="001B1097"/>
    <w:rsid w:val="001B1175"/>
    <w:rsid w:val="001B117D"/>
    <w:rsid w:val="001B1322"/>
    <w:rsid w:val="001B1410"/>
    <w:rsid w:val="001B1464"/>
    <w:rsid w:val="001B1497"/>
    <w:rsid w:val="001B154E"/>
    <w:rsid w:val="001B154F"/>
    <w:rsid w:val="001B155B"/>
    <w:rsid w:val="001B1662"/>
    <w:rsid w:val="001B166D"/>
    <w:rsid w:val="001B185C"/>
    <w:rsid w:val="001B18B7"/>
    <w:rsid w:val="001B1952"/>
    <w:rsid w:val="001B1A46"/>
    <w:rsid w:val="001B1AE3"/>
    <w:rsid w:val="001B1AEB"/>
    <w:rsid w:val="001B1B2C"/>
    <w:rsid w:val="001B1B62"/>
    <w:rsid w:val="001B1B77"/>
    <w:rsid w:val="001B1BFA"/>
    <w:rsid w:val="001B1C0F"/>
    <w:rsid w:val="001B1C19"/>
    <w:rsid w:val="001B1D1B"/>
    <w:rsid w:val="001B1DCA"/>
    <w:rsid w:val="001B1EBF"/>
    <w:rsid w:val="001B1EC8"/>
    <w:rsid w:val="001B2144"/>
    <w:rsid w:val="001B2289"/>
    <w:rsid w:val="001B2304"/>
    <w:rsid w:val="001B2388"/>
    <w:rsid w:val="001B269A"/>
    <w:rsid w:val="001B27A1"/>
    <w:rsid w:val="001B2891"/>
    <w:rsid w:val="001B2915"/>
    <w:rsid w:val="001B2AE0"/>
    <w:rsid w:val="001B2B05"/>
    <w:rsid w:val="001B2B69"/>
    <w:rsid w:val="001B2B6B"/>
    <w:rsid w:val="001B2C56"/>
    <w:rsid w:val="001B2CD3"/>
    <w:rsid w:val="001B2CF6"/>
    <w:rsid w:val="001B2ECE"/>
    <w:rsid w:val="001B2EEF"/>
    <w:rsid w:val="001B3100"/>
    <w:rsid w:val="001B31B0"/>
    <w:rsid w:val="001B32B3"/>
    <w:rsid w:val="001B35F1"/>
    <w:rsid w:val="001B367B"/>
    <w:rsid w:val="001B370A"/>
    <w:rsid w:val="001B3849"/>
    <w:rsid w:val="001B388B"/>
    <w:rsid w:val="001B38D1"/>
    <w:rsid w:val="001B3B36"/>
    <w:rsid w:val="001B3BC9"/>
    <w:rsid w:val="001B3C36"/>
    <w:rsid w:val="001B3D0E"/>
    <w:rsid w:val="001B3DC3"/>
    <w:rsid w:val="001B3FD5"/>
    <w:rsid w:val="001B4093"/>
    <w:rsid w:val="001B40F5"/>
    <w:rsid w:val="001B41A2"/>
    <w:rsid w:val="001B41CB"/>
    <w:rsid w:val="001B424D"/>
    <w:rsid w:val="001B424F"/>
    <w:rsid w:val="001B4263"/>
    <w:rsid w:val="001B4317"/>
    <w:rsid w:val="001B4378"/>
    <w:rsid w:val="001B43AE"/>
    <w:rsid w:val="001B44A2"/>
    <w:rsid w:val="001B45D0"/>
    <w:rsid w:val="001B4600"/>
    <w:rsid w:val="001B46E9"/>
    <w:rsid w:val="001B4713"/>
    <w:rsid w:val="001B47DE"/>
    <w:rsid w:val="001B484A"/>
    <w:rsid w:val="001B4853"/>
    <w:rsid w:val="001B48AD"/>
    <w:rsid w:val="001B48F4"/>
    <w:rsid w:val="001B4979"/>
    <w:rsid w:val="001B49BA"/>
    <w:rsid w:val="001B4A07"/>
    <w:rsid w:val="001B4ECC"/>
    <w:rsid w:val="001B4ED7"/>
    <w:rsid w:val="001B4FCB"/>
    <w:rsid w:val="001B50A2"/>
    <w:rsid w:val="001B52F7"/>
    <w:rsid w:val="001B531B"/>
    <w:rsid w:val="001B537F"/>
    <w:rsid w:val="001B543E"/>
    <w:rsid w:val="001B5456"/>
    <w:rsid w:val="001B54A8"/>
    <w:rsid w:val="001B54AB"/>
    <w:rsid w:val="001B5501"/>
    <w:rsid w:val="001B557C"/>
    <w:rsid w:val="001B5702"/>
    <w:rsid w:val="001B59CC"/>
    <w:rsid w:val="001B5A29"/>
    <w:rsid w:val="001B5A83"/>
    <w:rsid w:val="001B5A9B"/>
    <w:rsid w:val="001B5B01"/>
    <w:rsid w:val="001B5B63"/>
    <w:rsid w:val="001B5BC0"/>
    <w:rsid w:val="001B5CCE"/>
    <w:rsid w:val="001B5E4D"/>
    <w:rsid w:val="001B612E"/>
    <w:rsid w:val="001B61DD"/>
    <w:rsid w:val="001B6247"/>
    <w:rsid w:val="001B6329"/>
    <w:rsid w:val="001B64FA"/>
    <w:rsid w:val="001B656E"/>
    <w:rsid w:val="001B65B5"/>
    <w:rsid w:val="001B68D2"/>
    <w:rsid w:val="001B6911"/>
    <w:rsid w:val="001B6A42"/>
    <w:rsid w:val="001B6B19"/>
    <w:rsid w:val="001B6D46"/>
    <w:rsid w:val="001B6D85"/>
    <w:rsid w:val="001B6D8A"/>
    <w:rsid w:val="001B6DD3"/>
    <w:rsid w:val="001B6E17"/>
    <w:rsid w:val="001B6F27"/>
    <w:rsid w:val="001B6F3E"/>
    <w:rsid w:val="001B6FA1"/>
    <w:rsid w:val="001B6FAE"/>
    <w:rsid w:val="001B7196"/>
    <w:rsid w:val="001B72E5"/>
    <w:rsid w:val="001B745B"/>
    <w:rsid w:val="001B74D0"/>
    <w:rsid w:val="001B78A1"/>
    <w:rsid w:val="001B78AE"/>
    <w:rsid w:val="001B796B"/>
    <w:rsid w:val="001B79FD"/>
    <w:rsid w:val="001B7A1D"/>
    <w:rsid w:val="001B7B49"/>
    <w:rsid w:val="001B7B6D"/>
    <w:rsid w:val="001B7C36"/>
    <w:rsid w:val="001B7D93"/>
    <w:rsid w:val="001B7F83"/>
    <w:rsid w:val="001B7F91"/>
    <w:rsid w:val="001B7FF0"/>
    <w:rsid w:val="001B7FF6"/>
    <w:rsid w:val="001B7FFD"/>
    <w:rsid w:val="001C0016"/>
    <w:rsid w:val="001C0066"/>
    <w:rsid w:val="001C0107"/>
    <w:rsid w:val="001C0263"/>
    <w:rsid w:val="001C033C"/>
    <w:rsid w:val="001C03C9"/>
    <w:rsid w:val="001C055F"/>
    <w:rsid w:val="001C0597"/>
    <w:rsid w:val="001C07D8"/>
    <w:rsid w:val="001C07DD"/>
    <w:rsid w:val="001C0865"/>
    <w:rsid w:val="001C0A60"/>
    <w:rsid w:val="001C0B9A"/>
    <w:rsid w:val="001C0D93"/>
    <w:rsid w:val="001C0DA1"/>
    <w:rsid w:val="001C0DAD"/>
    <w:rsid w:val="001C0E7F"/>
    <w:rsid w:val="001C1042"/>
    <w:rsid w:val="001C10CD"/>
    <w:rsid w:val="001C1130"/>
    <w:rsid w:val="001C116A"/>
    <w:rsid w:val="001C11EC"/>
    <w:rsid w:val="001C1291"/>
    <w:rsid w:val="001C130B"/>
    <w:rsid w:val="001C137B"/>
    <w:rsid w:val="001C1608"/>
    <w:rsid w:val="001C1629"/>
    <w:rsid w:val="001C1786"/>
    <w:rsid w:val="001C1849"/>
    <w:rsid w:val="001C188B"/>
    <w:rsid w:val="001C18D4"/>
    <w:rsid w:val="001C19D2"/>
    <w:rsid w:val="001C1A14"/>
    <w:rsid w:val="001C1A1A"/>
    <w:rsid w:val="001C1AB7"/>
    <w:rsid w:val="001C1AC5"/>
    <w:rsid w:val="001C1AE7"/>
    <w:rsid w:val="001C1BED"/>
    <w:rsid w:val="001C1C73"/>
    <w:rsid w:val="001C1DB7"/>
    <w:rsid w:val="001C1DBE"/>
    <w:rsid w:val="001C1E98"/>
    <w:rsid w:val="001C2182"/>
    <w:rsid w:val="001C22E3"/>
    <w:rsid w:val="001C2361"/>
    <w:rsid w:val="001C23BD"/>
    <w:rsid w:val="001C23EB"/>
    <w:rsid w:val="001C2551"/>
    <w:rsid w:val="001C2591"/>
    <w:rsid w:val="001C26A9"/>
    <w:rsid w:val="001C26C0"/>
    <w:rsid w:val="001C2990"/>
    <w:rsid w:val="001C29CE"/>
    <w:rsid w:val="001C2A2E"/>
    <w:rsid w:val="001C2A82"/>
    <w:rsid w:val="001C2AA0"/>
    <w:rsid w:val="001C2B13"/>
    <w:rsid w:val="001C2B88"/>
    <w:rsid w:val="001C2B8A"/>
    <w:rsid w:val="001C2C89"/>
    <w:rsid w:val="001C2CCA"/>
    <w:rsid w:val="001C2D5C"/>
    <w:rsid w:val="001C2DD2"/>
    <w:rsid w:val="001C2E68"/>
    <w:rsid w:val="001C2EBA"/>
    <w:rsid w:val="001C2F38"/>
    <w:rsid w:val="001C3042"/>
    <w:rsid w:val="001C3065"/>
    <w:rsid w:val="001C3254"/>
    <w:rsid w:val="001C3277"/>
    <w:rsid w:val="001C330A"/>
    <w:rsid w:val="001C330B"/>
    <w:rsid w:val="001C33BE"/>
    <w:rsid w:val="001C34EB"/>
    <w:rsid w:val="001C3650"/>
    <w:rsid w:val="001C374B"/>
    <w:rsid w:val="001C37B2"/>
    <w:rsid w:val="001C3921"/>
    <w:rsid w:val="001C3994"/>
    <w:rsid w:val="001C3995"/>
    <w:rsid w:val="001C39FF"/>
    <w:rsid w:val="001C3A08"/>
    <w:rsid w:val="001C3A2D"/>
    <w:rsid w:val="001C3ABF"/>
    <w:rsid w:val="001C3B05"/>
    <w:rsid w:val="001C3B78"/>
    <w:rsid w:val="001C3BEB"/>
    <w:rsid w:val="001C3C1D"/>
    <w:rsid w:val="001C3C3C"/>
    <w:rsid w:val="001C3CDD"/>
    <w:rsid w:val="001C3DF1"/>
    <w:rsid w:val="001C3E9B"/>
    <w:rsid w:val="001C3F68"/>
    <w:rsid w:val="001C3FCD"/>
    <w:rsid w:val="001C3FD3"/>
    <w:rsid w:val="001C401A"/>
    <w:rsid w:val="001C407B"/>
    <w:rsid w:val="001C41B5"/>
    <w:rsid w:val="001C42C6"/>
    <w:rsid w:val="001C4474"/>
    <w:rsid w:val="001C44B9"/>
    <w:rsid w:val="001C460C"/>
    <w:rsid w:val="001C4775"/>
    <w:rsid w:val="001C4855"/>
    <w:rsid w:val="001C49F0"/>
    <w:rsid w:val="001C4A1D"/>
    <w:rsid w:val="001C4A5F"/>
    <w:rsid w:val="001C4A84"/>
    <w:rsid w:val="001C4DFC"/>
    <w:rsid w:val="001C4E07"/>
    <w:rsid w:val="001C4E8D"/>
    <w:rsid w:val="001C4F71"/>
    <w:rsid w:val="001C5055"/>
    <w:rsid w:val="001C50A1"/>
    <w:rsid w:val="001C50C9"/>
    <w:rsid w:val="001C5104"/>
    <w:rsid w:val="001C5165"/>
    <w:rsid w:val="001C5223"/>
    <w:rsid w:val="001C5278"/>
    <w:rsid w:val="001C539C"/>
    <w:rsid w:val="001C53F2"/>
    <w:rsid w:val="001C5468"/>
    <w:rsid w:val="001C5498"/>
    <w:rsid w:val="001C5599"/>
    <w:rsid w:val="001C590A"/>
    <w:rsid w:val="001C590B"/>
    <w:rsid w:val="001C5AC0"/>
    <w:rsid w:val="001C5AD0"/>
    <w:rsid w:val="001C5B8B"/>
    <w:rsid w:val="001C5C98"/>
    <w:rsid w:val="001C5CD9"/>
    <w:rsid w:val="001C5E54"/>
    <w:rsid w:val="001C5E7F"/>
    <w:rsid w:val="001C5FC8"/>
    <w:rsid w:val="001C6285"/>
    <w:rsid w:val="001C638F"/>
    <w:rsid w:val="001C6453"/>
    <w:rsid w:val="001C6486"/>
    <w:rsid w:val="001C64F0"/>
    <w:rsid w:val="001C64FE"/>
    <w:rsid w:val="001C6518"/>
    <w:rsid w:val="001C65B4"/>
    <w:rsid w:val="001C6635"/>
    <w:rsid w:val="001C6758"/>
    <w:rsid w:val="001C67C1"/>
    <w:rsid w:val="001C6810"/>
    <w:rsid w:val="001C6814"/>
    <w:rsid w:val="001C68D6"/>
    <w:rsid w:val="001C68DC"/>
    <w:rsid w:val="001C68DD"/>
    <w:rsid w:val="001C6A5F"/>
    <w:rsid w:val="001C6D0F"/>
    <w:rsid w:val="001C6D74"/>
    <w:rsid w:val="001C7220"/>
    <w:rsid w:val="001C7313"/>
    <w:rsid w:val="001C73B7"/>
    <w:rsid w:val="001C747E"/>
    <w:rsid w:val="001C7548"/>
    <w:rsid w:val="001C76F3"/>
    <w:rsid w:val="001C77E5"/>
    <w:rsid w:val="001C7864"/>
    <w:rsid w:val="001C7A55"/>
    <w:rsid w:val="001C7B62"/>
    <w:rsid w:val="001C7D85"/>
    <w:rsid w:val="001C7DCD"/>
    <w:rsid w:val="001C7F25"/>
    <w:rsid w:val="001C7F2C"/>
    <w:rsid w:val="001C7F71"/>
    <w:rsid w:val="001C7FDA"/>
    <w:rsid w:val="001D00C3"/>
    <w:rsid w:val="001D0225"/>
    <w:rsid w:val="001D031B"/>
    <w:rsid w:val="001D03AE"/>
    <w:rsid w:val="001D042E"/>
    <w:rsid w:val="001D063C"/>
    <w:rsid w:val="001D06F3"/>
    <w:rsid w:val="001D0A1E"/>
    <w:rsid w:val="001D0A37"/>
    <w:rsid w:val="001D0B16"/>
    <w:rsid w:val="001D0C78"/>
    <w:rsid w:val="001D0DC6"/>
    <w:rsid w:val="001D0F12"/>
    <w:rsid w:val="001D0FB5"/>
    <w:rsid w:val="001D10A8"/>
    <w:rsid w:val="001D118F"/>
    <w:rsid w:val="001D1192"/>
    <w:rsid w:val="001D1352"/>
    <w:rsid w:val="001D1392"/>
    <w:rsid w:val="001D1512"/>
    <w:rsid w:val="001D1520"/>
    <w:rsid w:val="001D169B"/>
    <w:rsid w:val="001D16B8"/>
    <w:rsid w:val="001D16B9"/>
    <w:rsid w:val="001D16F0"/>
    <w:rsid w:val="001D1729"/>
    <w:rsid w:val="001D17AE"/>
    <w:rsid w:val="001D1881"/>
    <w:rsid w:val="001D18C4"/>
    <w:rsid w:val="001D198A"/>
    <w:rsid w:val="001D19BE"/>
    <w:rsid w:val="001D19F8"/>
    <w:rsid w:val="001D1A2E"/>
    <w:rsid w:val="001D1A99"/>
    <w:rsid w:val="001D1D28"/>
    <w:rsid w:val="001D1D4C"/>
    <w:rsid w:val="001D1DD3"/>
    <w:rsid w:val="001D1E60"/>
    <w:rsid w:val="001D1EE2"/>
    <w:rsid w:val="001D1F98"/>
    <w:rsid w:val="001D1FC2"/>
    <w:rsid w:val="001D2077"/>
    <w:rsid w:val="001D209A"/>
    <w:rsid w:val="001D2143"/>
    <w:rsid w:val="001D21DA"/>
    <w:rsid w:val="001D2219"/>
    <w:rsid w:val="001D2448"/>
    <w:rsid w:val="001D245D"/>
    <w:rsid w:val="001D2588"/>
    <w:rsid w:val="001D2873"/>
    <w:rsid w:val="001D28CF"/>
    <w:rsid w:val="001D2A46"/>
    <w:rsid w:val="001D2AB5"/>
    <w:rsid w:val="001D2AD2"/>
    <w:rsid w:val="001D2B07"/>
    <w:rsid w:val="001D2BD7"/>
    <w:rsid w:val="001D2EF1"/>
    <w:rsid w:val="001D2EF6"/>
    <w:rsid w:val="001D2F5A"/>
    <w:rsid w:val="001D2F5F"/>
    <w:rsid w:val="001D3065"/>
    <w:rsid w:val="001D3314"/>
    <w:rsid w:val="001D3433"/>
    <w:rsid w:val="001D384B"/>
    <w:rsid w:val="001D39CC"/>
    <w:rsid w:val="001D3A99"/>
    <w:rsid w:val="001D3B16"/>
    <w:rsid w:val="001D3C29"/>
    <w:rsid w:val="001D3D31"/>
    <w:rsid w:val="001D3DCB"/>
    <w:rsid w:val="001D3E28"/>
    <w:rsid w:val="001D3F87"/>
    <w:rsid w:val="001D3FC6"/>
    <w:rsid w:val="001D40F6"/>
    <w:rsid w:val="001D41D2"/>
    <w:rsid w:val="001D4278"/>
    <w:rsid w:val="001D441C"/>
    <w:rsid w:val="001D4427"/>
    <w:rsid w:val="001D4480"/>
    <w:rsid w:val="001D4515"/>
    <w:rsid w:val="001D456D"/>
    <w:rsid w:val="001D4869"/>
    <w:rsid w:val="001D48E9"/>
    <w:rsid w:val="001D49E0"/>
    <w:rsid w:val="001D4A1C"/>
    <w:rsid w:val="001D4B63"/>
    <w:rsid w:val="001D4DE5"/>
    <w:rsid w:val="001D4E4C"/>
    <w:rsid w:val="001D4EDA"/>
    <w:rsid w:val="001D5061"/>
    <w:rsid w:val="001D5168"/>
    <w:rsid w:val="001D5198"/>
    <w:rsid w:val="001D5394"/>
    <w:rsid w:val="001D53D7"/>
    <w:rsid w:val="001D53DA"/>
    <w:rsid w:val="001D54CF"/>
    <w:rsid w:val="001D55C8"/>
    <w:rsid w:val="001D56FC"/>
    <w:rsid w:val="001D570E"/>
    <w:rsid w:val="001D574F"/>
    <w:rsid w:val="001D5825"/>
    <w:rsid w:val="001D5CA5"/>
    <w:rsid w:val="001D5DA3"/>
    <w:rsid w:val="001D5E71"/>
    <w:rsid w:val="001D60E2"/>
    <w:rsid w:val="001D6218"/>
    <w:rsid w:val="001D623D"/>
    <w:rsid w:val="001D6294"/>
    <w:rsid w:val="001D635F"/>
    <w:rsid w:val="001D645C"/>
    <w:rsid w:val="001D6507"/>
    <w:rsid w:val="001D653D"/>
    <w:rsid w:val="001D660F"/>
    <w:rsid w:val="001D6620"/>
    <w:rsid w:val="001D6622"/>
    <w:rsid w:val="001D67C2"/>
    <w:rsid w:val="001D6828"/>
    <w:rsid w:val="001D68DA"/>
    <w:rsid w:val="001D6999"/>
    <w:rsid w:val="001D6B7E"/>
    <w:rsid w:val="001D6C9E"/>
    <w:rsid w:val="001D6ED1"/>
    <w:rsid w:val="001D6EF9"/>
    <w:rsid w:val="001D7052"/>
    <w:rsid w:val="001D71C1"/>
    <w:rsid w:val="001D7474"/>
    <w:rsid w:val="001D7494"/>
    <w:rsid w:val="001D7543"/>
    <w:rsid w:val="001D7563"/>
    <w:rsid w:val="001D75CA"/>
    <w:rsid w:val="001D7628"/>
    <w:rsid w:val="001D7635"/>
    <w:rsid w:val="001D7638"/>
    <w:rsid w:val="001D769C"/>
    <w:rsid w:val="001D785A"/>
    <w:rsid w:val="001D78C7"/>
    <w:rsid w:val="001D7957"/>
    <w:rsid w:val="001D795D"/>
    <w:rsid w:val="001D79CF"/>
    <w:rsid w:val="001D7A1C"/>
    <w:rsid w:val="001D7AFF"/>
    <w:rsid w:val="001D7B39"/>
    <w:rsid w:val="001D7BFA"/>
    <w:rsid w:val="001D7C5B"/>
    <w:rsid w:val="001D7CA4"/>
    <w:rsid w:val="001D7CF6"/>
    <w:rsid w:val="001E00BB"/>
    <w:rsid w:val="001E00E9"/>
    <w:rsid w:val="001E0159"/>
    <w:rsid w:val="001E01DE"/>
    <w:rsid w:val="001E024E"/>
    <w:rsid w:val="001E0460"/>
    <w:rsid w:val="001E0465"/>
    <w:rsid w:val="001E05E3"/>
    <w:rsid w:val="001E0604"/>
    <w:rsid w:val="001E0667"/>
    <w:rsid w:val="001E06CD"/>
    <w:rsid w:val="001E07BF"/>
    <w:rsid w:val="001E0B7F"/>
    <w:rsid w:val="001E0E32"/>
    <w:rsid w:val="001E0F28"/>
    <w:rsid w:val="001E0F8E"/>
    <w:rsid w:val="001E11F7"/>
    <w:rsid w:val="001E128C"/>
    <w:rsid w:val="001E14FC"/>
    <w:rsid w:val="001E15BF"/>
    <w:rsid w:val="001E1753"/>
    <w:rsid w:val="001E178C"/>
    <w:rsid w:val="001E19E3"/>
    <w:rsid w:val="001E19ED"/>
    <w:rsid w:val="001E1A07"/>
    <w:rsid w:val="001E1A7B"/>
    <w:rsid w:val="001E1A80"/>
    <w:rsid w:val="001E1B1A"/>
    <w:rsid w:val="001E1B61"/>
    <w:rsid w:val="001E1BAE"/>
    <w:rsid w:val="001E1BB6"/>
    <w:rsid w:val="001E1BDA"/>
    <w:rsid w:val="001E1E3C"/>
    <w:rsid w:val="001E1E9C"/>
    <w:rsid w:val="001E1EA7"/>
    <w:rsid w:val="001E1EB0"/>
    <w:rsid w:val="001E1F93"/>
    <w:rsid w:val="001E20B5"/>
    <w:rsid w:val="001E21AE"/>
    <w:rsid w:val="001E2264"/>
    <w:rsid w:val="001E236F"/>
    <w:rsid w:val="001E23AE"/>
    <w:rsid w:val="001E2476"/>
    <w:rsid w:val="001E24A0"/>
    <w:rsid w:val="001E24D8"/>
    <w:rsid w:val="001E25A6"/>
    <w:rsid w:val="001E25D4"/>
    <w:rsid w:val="001E25F8"/>
    <w:rsid w:val="001E2679"/>
    <w:rsid w:val="001E26A9"/>
    <w:rsid w:val="001E2709"/>
    <w:rsid w:val="001E274C"/>
    <w:rsid w:val="001E2753"/>
    <w:rsid w:val="001E27FD"/>
    <w:rsid w:val="001E2921"/>
    <w:rsid w:val="001E2B75"/>
    <w:rsid w:val="001E2BA3"/>
    <w:rsid w:val="001E2E97"/>
    <w:rsid w:val="001E2FA6"/>
    <w:rsid w:val="001E30DD"/>
    <w:rsid w:val="001E3120"/>
    <w:rsid w:val="001E314C"/>
    <w:rsid w:val="001E31CF"/>
    <w:rsid w:val="001E32D8"/>
    <w:rsid w:val="001E33CB"/>
    <w:rsid w:val="001E345C"/>
    <w:rsid w:val="001E347F"/>
    <w:rsid w:val="001E35E7"/>
    <w:rsid w:val="001E367F"/>
    <w:rsid w:val="001E3696"/>
    <w:rsid w:val="001E370D"/>
    <w:rsid w:val="001E3734"/>
    <w:rsid w:val="001E3793"/>
    <w:rsid w:val="001E37A2"/>
    <w:rsid w:val="001E38FF"/>
    <w:rsid w:val="001E39DA"/>
    <w:rsid w:val="001E3A05"/>
    <w:rsid w:val="001E3ABF"/>
    <w:rsid w:val="001E3BB5"/>
    <w:rsid w:val="001E3D75"/>
    <w:rsid w:val="001E3E36"/>
    <w:rsid w:val="001E3F2B"/>
    <w:rsid w:val="001E43D1"/>
    <w:rsid w:val="001E4526"/>
    <w:rsid w:val="001E4731"/>
    <w:rsid w:val="001E48BA"/>
    <w:rsid w:val="001E4957"/>
    <w:rsid w:val="001E49C1"/>
    <w:rsid w:val="001E4A5C"/>
    <w:rsid w:val="001E4AB3"/>
    <w:rsid w:val="001E4B4D"/>
    <w:rsid w:val="001E4C24"/>
    <w:rsid w:val="001E4CA3"/>
    <w:rsid w:val="001E4D21"/>
    <w:rsid w:val="001E4D9B"/>
    <w:rsid w:val="001E4D9E"/>
    <w:rsid w:val="001E4DE2"/>
    <w:rsid w:val="001E4DE5"/>
    <w:rsid w:val="001E4E28"/>
    <w:rsid w:val="001E4F58"/>
    <w:rsid w:val="001E50C3"/>
    <w:rsid w:val="001E523A"/>
    <w:rsid w:val="001E547A"/>
    <w:rsid w:val="001E54A9"/>
    <w:rsid w:val="001E5523"/>
    <w:rsid w:val="001E558B"/>
    <w:rsid w:val="001E5872"/>
    <w:rsid w:val="001E58DD"/>
    <w:rsid w:val="001E5929"/>
    <w:rsid w:val="001E59B0"/>
    <w:rsid w:val="001E59F9"/>
    <w:rsid w:val="001E5A64"/>
    <w:rsid w:val="001E5ABF"/>
    <w:rsid w:val="001E5B15"/>
    <w:rsid w:val="001E5D2C"/>
    <w:rsid w:val="001E5DFA"/>
    <w:rsid w:val="001E5E1D"/>
    <w:rsid w:val="001E5E8D"/>
    <w:rsid w:val="001E5EE3"/>
    <w:rsid w:val="001E5F51"/>
    <w:rsid w:val="001E5FB3"/>
    <w:rsid w:val="001E6132"/>
    <w:rsid w:val="001E61AF"/>
    <w:rsid w:val="001E62C5"/>
    <w:rsid w:val="001E62EF"/>
    <w:rsid w:val="001E6327"/>
    <w:rsid w:val="001E6626"/>
    <w:rsid w:val="001E666B"/>
    <w:rsid w:val="001E674C"/>
    <w:rsid w:val="001E6868"/>
    <w:rsid w:val="001E6882"/>
    <w:rsid w:val="001E68C7"/>
    <w:rsid w:val="001E6929"/>
    <w:rsid w:val="001E6965"/>
    <w:rsid w:val="001E6A51"/>
    <w:rsid w:val="001E6A7D"/>
    <w:rsid w:val="001E6A90"/>
    <w:rsid w:val="001E6B6B"/>
    <w:rsid w:val="001E6F9D"/>
    <w:rsid w:val="001E7010"/>
    <w:rsid w:val="001E73AA"/>
    <w:rsid w:val="001E74A2"/>
    <w:rsid w:val="001E7558"/>
    <w:rsid w:val="001E7583"/>
    <w:rsid w:val="001E75A2"/>
    <w:rsid w:val="001E7632"/>
    <w:rsid w:val="001E774F"/>
    <w:rsid w:val="001E7784"/>
    <w:rsid w:val="001E77B9"/>
    <w:rsid w:val="001E784C"/>
    <w:rsid w:val="001E79E4"/>
    <w:rsid w:val="001E7AAA"/>
    <w:rsid w:val="001E7B7E"/>
    <w:rsid w:val="001E7BEA"/>
    <w:rsid w:val="001E7C4E"/>
    <w:rsid w:val="001E7DA8"/>
    <w:rsid w:val="001E7E5E"/>
    <w:rsid w:val="001E7F9E"/>
    <w:rsid w:val="001F0109"/>
    <w:rsid w:val="001F0668"/>
    <w:rsid w:val="001F073B"/>
    <w:rsid w:val="001F09A5"/>
    <w:rsid w:val="001F0A4D"/>
    <w:rsid w:val="001F0B2D"/>
    <w:rsid w:val="001F0B95"/>
    <w:rsid w:val="001F0BF7"/>
    <w:rsid w:val="001F0C38"/>
    <w:rsid w:val="001F0CBE"/>
    <w:rsid w:val="001F0CC1"/>
    <w:rsid w:val="001F0CFC"/>
    <w:rsid w:val="001F0D46"/>
    <w:rsid w:val="001F0E1D"/>
    <w:rsid w:val="001F0E20"/>
    <w:rsid w:val="001F1011"/>
    <w:rsid w:val="001F1025"/>
    <w:rsid w:val="001F12ED"/>
    <w:rsid w:val="001F1303"/>
    <w:rsid w:val="001F1324"/>
    <w:rsid w:val="001F13C8"/>
    <w:rsid w:val="001F16DF"/>
    <w:rsid w:val="001F17E3"/>
    <w:rsid w:val="001F1897"/>
    <w:rsid w:val="001F1B27"/>
    <w:rsid w:val="001F1C18"/>
    <w:rsid w:val="001F1D27"/>
    <w:rsid w:val="001F1D7F"/>
    <w:rsid w:val="001F1DD2"/>
    <w:rsid w:val="001F20E0"/>
    <w:rsid w:val="001F2456"/>
    <w:rsid w:val="001F248A"/>
    <w:rsid w:val="001F24A7"/>
    <w:rsid w:val="001F2506"/>
    <w:rsid w:val="001F2508"/>
    <w:rsid w:val="001F25EA"/>
    <w:rsid w:val="001F2649"/>
    <w:rsid w:val="001F2680"/>
    <w:rsid w:val="001F2722"/>
    <w:rsid w:val="001F27F2"/>
    <w:rsid w:val="001F2851"/>
    <w:rsid w:val="001F28A6"/>
    <w:rsid w:val="001F29E7"/>
    <w:rsid w:val="001F2B34"/>
    <w:rsid w:val="001F2BBD"/>
    <w:rsid w:val="001F2C0A"/>
    <w:rsid w:val="001F2F23"/>
    <w:rsid w:val="001F2FC9"/>
    <w:rsid w:val="001F2FF6"/>
    <w:rsid w:val="001F301F"/>
    <w:rsid w:val="001F30CE"/>
    <w:rsid w:val="001F30D5"/>
    <w:rsid w:val="001F310C"/>
    <w:rsid w:val="001F315A"/>
    <w:rsid w:val="001F31E2"/>
    <w:rsid w:val="001F31F1"/>
    <w:rsid w:val="001F32F0"/>
    <w:rsid w:val="001F3323"/>
    <w:rsid w:val="001F33B7"/>
    <w:rsid w:val="001F3468"/>
    <w:rsid w:val="001F346E"/>
    <w:rsid w:val="001F3481"/>
    <w:rsid w:val="001F3499"/>
    <w:rsid w:val="001F349C"/>
    <w:rsid w:val="001F34D2"/>
    <w:rsid w:val="001F3519"/>
    <w:rsid w:val="001F3644"/>
    <w:rsid w:val="001F365C"/>
    <w:rsid w:val="001F366F"/>
    <w:rsid w:val="001F3722"/>
    <w:rsid w:val="001F374C"/>
    <w:rsid w:val="001F3889"/>
    <w:rsid w:val="001F3988"/>
    <w:rsid w:val="001F399C"/>
    <w:rsid w:val="001F3AAC"/>
    <w:rsid w:val="001F3C3F"/>
    <w:rsid w:val="001F3CE3"/>
    <w:rsid w:val="001F3DB9"/>
    <w:rsid w:val="001F3E17"/>
    <w:rsid w:val="001F3E6E"/>
    <w:rsid w:val="001F3EE2"/>
    <w:rsid w:val="001F3F1F"/>
    <w:rsid w:val="001F405B"/>
    <w:rsid w:val="001F40D4"/>
    <w:rsid w:val="001F42A7"/>
    <w:rsid w:val="001F42EF"/>
    <w:rsid w:val="001F47DD"/>
    <w:rsid w:val="001F495D"/>
    <w:rsid w:val="001F4A71"/>
    <w:rsid w:val="001F4A94"/>
    <w:rsid w:val="001F4B31"/>
    <w:rsid w:val="001F4BEE"/>
    <w:rsid w:val="001F4C13"/>
    <w:rsid w:val="001F4C64"/>
    <w:rsid w:val="001F4CA0"/>
    <w:rsid w:val="001F4D9A"/>
    <w:rsid w:val="001F4DA2"/>
    <w:rsid w:val="001F4E26"/>
    <w:rsid w:val="001F4FA9"/>
    <w:rsid w:val="001F4FC7"/>
    <w:rsid w:val="001F4FDA"/>
    <w:rsid w:val="001F505C"/>
    <w:rsid w:val="001F519E"/>
    <w:rsid w:val="001F51B6"/>
    <w:rsid w:val="001F51EB"/>
    <w:rsid w:val="001F523A"/>
    <w:rsid w:val="001F5240"/>
    <w:rsid w:val="001F5280"/>
    <w:rsid w:val="001F52FC"/>
    <w:rsid w:val="001F533C"/>
    <w:rsid w:val="001F540D"/>
    <w:rsid w:val="001F5545"/>
    <w:rsid w:val="001F55AA"/>
    <w:rsid w:val="001F56EF"/>
    <w:rsid w:val="001F57E2"/>
    <w:rsid w:val="001F5803"/>
    <w:rsid w:val="001F592B"/>
    <w:rsid w:val="001F5AA1"/>
    <w:rsid w:val="001F5AF9"/>
    <w:rsid w:val="001F5C20"/>
    <w:rsid w:val="001F5D39"/>
    <w:rsid w:val="001F5D6B"/>
    <w:rsid w:val="001F5F47"/>
    <w:rsid w:val="001F6028"/>
    <w:rsid w:val="001F6203"/>
    <w:rsid w:val="001F62D6"/>
    <w:rsid w:val="001F6589"/>
    <w:rsid w:val="001F65A2"/>
    <w:rsid w:val="001F65EA"/>
    <w:rsid w:val="001F66CB"/>
    <w:rsid w:val="001F6AD0"/>
    <w:rsid w:val="001F6CD0"/>
    <w:rsid w:val="001F6D54"/>
    <w:rsid w:val="001F6DD2"/>
    <w:rsid w:val="001F6F90"/>
    <w:rsid w:val="001F7063"/>
    <w:rsid w:val="001F70EC"/>
    <w:rsid w:val="001F719C"/>
    <w:rsid w:val="001F7337"/>
    <w:rsid w:val="001F7514"/>
    <w:rsid w:val="001F76B3"/>
    <w:rsid w:val="001F76E8"/>
    <w:rsid w:val="001F7753"/>
    <w:rsid w:val="001F788D"/>
    <w:rsid w:val="001F7A13"/>
    <w:rsid w:val="001F7BDE"/>
    <w:rsid w:val="001F7CB4"/>
    <w:rsid w:val="001F7D0D"/>
    <w:rsid w:val="001F7DC6"/>
    <w:rsid w:val="001F7ED7"/>
    <w:rsid w:val="001F7F3F"/>
    <w:rsid w:val="00200125"/>
    <w:rsid w:val="00200256"/>
    <w:rsid w:val="00200287"/>
    <w:rsid w:val="002002DF"/>
    <w:rsid w:val="002003EB"/>
    <w:rsid w:val="00200407"/>
    <w:rsid w:val="00200412"/>
    <w:rsid w:val="00200454"/>
    <w:rsid w:val="00200567"/>
    <w:rsid w:val="00200586"/>
    <w:rsid w:val="002005B9"/>
    <w:rsid w:val="00200620"/>
    <w:rsid w:val="0020062C"/>
    <w:rsid w:val="0020077A"/>
    <w:rsid w:val="00200855"/>
    <w:rsid w:val="002008CD"/>
    <w:rsid w:val="0020097F"/>
    <w:rsid w:val="00200A22"/>
    <w:rsid w:val="00200B3F"/>
    <w:rsid w:val="00200BB9"/>
    <w:rsid w:val="00200C9B"/>
    <w:rsid w:val="00200D3E"/>
    <w:rsid w:val="00200DC2"/>
    <w:rsid w:val="00200E8A"/>
    <w:rsid w:val="00200F1B"/>
    <w:rsid w:val="00200F21"/>
    <w:rsid w:val="00201126"/>
    <w:rsid w:val="0020115C"/>
    <w:rsid w:val="00201173"/>
    <w:rsid w:val="002012D0"/>
    <w:rsid w:val="00201361"/>
    <w:rsid w:val="002013EE"/>
    <w:rsid w:val="00201593"/>
    <w:rsid w:val="002015E5"/>
    <w:rsid w:val="00201973"/>
    <w:rsid w:val="00201A37"/>
    <w:rsid w:val="00201A98"/>
    <w:rsid w:val="00201AA8"/>
    <w:rsid w:val="00201BD4"/>
    <w:rsid w:val="00201BE4"/>
    <w:rsid w:val="00201CF5"/>
    <w:rsid w:val="00201D3C"/>
    <w:rsid w:val="00201DBF"/>
    <w:rsid w:val="00201DD5"/>
    <w:rsid w:val="00201E5B"/>
    <w:rsid w:val="00202016"/>
    <w:rsid w:val="00202167"/>
    <w:rsid w:val="002021DB"/>
    <w:rsid w:val="002022AF"/>
    <w:rsid w:val="002024F0"/>
    <w:rsid w:val="0020260E"/>
    <w:rsid w:val="00202731"/>
    <w:rsid w:val="00202769"/>
    <w:rsid w:val="00202814"/>
    <w:rsid w:val="0020283D"/>
    <w:rsid w:val="002028AD"/>
    <w:rsid w:val="00202913"/>
    <w:rsid w:val="0020291B"/>
    <w:rsid w:val="00202A53"/>
    <w:rsid w:val="00202AA3"/>
    <w:rsid w:val="00202AFB"/>
    <w:rsid w:val="00202D5E"/>
    <w:rsid w:val="00202DCE"/>
    <w:rsid w:val="00202E24"/>
    <w:rsid w:val="00202E2D"/>
    <w:rsid w:val="00202E6A"/>
    <w:rsid w:val="00202FBA"/>
    <w:rsid w:val="00203064"/>
    <w:rsid w:val="00203110"/>
    <w:rsid w:val="002031D9"/>
    <w:rsid w:val="0020334C"/>
    <w:rsid w:val="0020351D"/>
    <w:rsid w:val="0020353C"/>
    <w:rsid w:val="002035D1"/>
    <w:rsid w:val="00203676"/>
    <w:rsid w:val="00203728"/>
    <w:rsid w:val="00203734"/>
    <w:rsid w:val="0020373A"/>
    <w:rsid w:val="0020375B"/>
    <w:rsid w:val="00203783"/>
    <w:rsid w:val="002038EA"/>
    <w:rsid w:val="002039B1"/>
    <w:rsid w:val="002039DB"/>
    <w:rsid w:val="00203B04"/>
    <w:rsid w:val="00203B99"/>
    <w:rsid w:val="00203BEA"/>
    <w:rsid w:val="00203C32"/>
    <w:rsid w:val="00203C40"/>
    <w:rsid w:val="00203C54"/>
    <w:rsid w:val="00203D13"/>
    <w:rsid w:val="00203D17"/>
    <w:rsid w:val="00203D53"/>
    <w:rsid w:val="00203D75"/>
    <w:rsid w:val="00203E89"/>
    <w:rsid w:val="00203FF4"/>
    <w:rsid w:val="002041C7"/>
    <w:rsid w:val="0020437D"/>
    <w:rsid w:val="002043BB"/>
    <w:rsid w:val="00204476"/>
    <w:rsid w:val="00204499"/>
    <w:rsid w:val="002044E0"/>
    <w:rsid w:val="002045F8"/>
    <w:rsid w:val="0020479E"/>
    <w:rsid w:val="002047AF"/>
    <w:rsid w:val="0020492B"/>
    <w:rsid w:val="00204A2D"/>
    <w:rsid w:val="00204A78"/>
    <w:rsid w:val="00204A7D"/>
    <w:rsid w:val="00204A8F"/>
    <w:rsid w:val="00204AE1"/>
    <w:rsid w:val="00204C28"/>
    <w:rsid w:val="00204E5B"/>
    <w:rsid w:val="00204FE4"/>
    <w:rsid w:val="002050B6"/>
    <w:rsid w:val="002050E6"/>
    <w:rsid w:val="0020514E"/>
    <w:rsid w:val="00205165"/>
    <w:rsid w:val="002051B3"/>
    <w:rsid w:val="002054E6"/>
    <w:rsid w:val="0020564F"/>
    <w:rsid w:val="00205883"/>
    <w:rsid w:val="002058DF"/>
    <w:rsid w:val="002059CC"/>
    <w:rsid w:val="00205A1F"/>
    <w:rsid w:val="00205A33"/>
    <w:rsid w:val="00205C2C"/>
    <w:rsid w:val="00205C53"/>
    <w:rsid w:val="00205CAB"/>
    <w:rsid w:val="00205CD9"/>
    <w:rsid w:val="00205CE8"/>
    <w:rsid w:val="00205D34"/>
    <w:rsid w:val="00205E3F"/>
    <w:rsid w:val="00205EC7"/>
    <w:rsid w:val="00205F09"/>
    <w:rsid w:val="00205F69"/>
    <w:rsid w:val="00205FB1"/>
    <w:rsid w:val="00205FD2"/>
    <w:rsid w:val="00206036"/>
    <w:rsid w:val="0020604E"/>
    <w:rsid w:val="00206128"/>
    <w:rsid w:val="0020635F"/>
    <w:rsid w:val="00206458"/>
    <w:rsid w:val="00206543"/>
    <w:rsid w:val="0020676B"/>
    <w:rsid w:val="00206928"/>
    <w:rsid w:val="0020694D"/>
    <w:rsid w:val="00206A4E"/>
    <w:rsid w:val="00206B95"/>
    <w:rsid w:val="00206CC7"/>
    <w:rsid w:val="00206CE2"/>
    <w:rsid w:val="00206D3F"/>
    <w:rsid w:val="00206F24"/>
    <w:rsid w:val="00206F3D"/>
    <w:rsid w:val="0020705B"/>
    <w:rsid w:val="00207137"/>
    <w:rsid w:val="00207158"/>
    <w:rsid w:val="002071CA"/>
    <w:rsid w:val="0020727D"/>
    <w:rsid w:val="0020727E"/>
    <w:rsid w:val="002072F7"/>
    <w:rsid w:val="002073CB"/>
    <w:rsid w:val="002073F9"/>
    <w:rsid w:val="0020747D"/>
    <w:rsid w:val="00207592"/>
    <w:rsid w:val="00207686"/>
    <w:rsid w:val="002076EA"/>
    <w:rsid w:val="0020789A"/>
    <w:rsid w:val="00207931"/>
    <w:rsid w:val="00207ADF"/>
    <w:rsid w:val="00207B5B"/>
    <w:rsid w:val="00207B5C"/>
    <w:rsid w:val="00207B78"/>
    <w:rsid w:val="00207C8F"/>
    <w:rsid w:val="00207CB5"/>
    <w:rsid w:val="00210038"/>
    <w:rsid w:val="00210091"/>
    <w:rsid w:val="002100C0"/>
    <w:rsid w:val="0021022B"/>
    <w:rsid w:val="0021030B"/>
    <w:rsid w:val="00210364"/>
    <w:rsid w:val="0021038D"/>
    <w:rsid w:val="002103E8"/>
    <w:rsid w:val="00210475"/>
    <w:rsid w:val="002104FC"/>
    <w:rsid w:val="00210596"/>
    <w:rsid w:val="002105AA"/>
    <w:rsid w:val="002105EA"/>
    <w:rsid w:val="00210637"/>
    <w:rsid w:val="002107C4"/>
    <w:rsid w:val="00210811"/>
    <w:rsid w:val="00210968"/>
    <w:rsid w:val="002109A3"/>
    <w:rsid w:val="002109AB"/>
    <w:rsid w:val="00210B33"/>
    <w:rsid w:val="00210B45"/>
    <w:rsid w:val="00210BF1"/>
    <w:rsid w:val="00210D07"/>
    <w:rsid w:val="00210DDF"/>
    <w:rsid w:val="00210E0D"/>
    <w:rsid w:val="00210FA5"/>
    <w:rsid w:val="00211108"/>
    <w:rsid w:val="00211129"/>
    <w:rsid w:val="0021131F"/>
    <w:rsid w:val="00211418"/>
    <w:rsid w:val="0021142D"/>
    <w:rsid w:val="002115BA"/>
    <w:rsid w:val="0021165F"/>
    <w:rsid w:val="0021183C"/>
    <w:rsid w:val="00211930"/>
    <w:rsid w:val="002119AD"/>
    <w:rsid w:val="00211A2A"/>
    <w:rsid w:val="00211A5C"/>
    <w:rsid w:val="00211B52"/>
    <w:rsid w:val="00211B8D"/>
    <w:rsid w:val="00211B93"/>
    <w:rsid w:val="00211C8A"/>
    <w:rsid w:val="00211E3D"/>
    <w:rsid w:val="00211E75"/>
    <w:rsid w:val="00211EB8"/>
    <w:rsid w:val="00211F65"/>
    <w:rsid w:val="00212088"/>
    <w:rsid w:val="00212090"/>
    <w:rsid w:val="002120C4"/>
    <w:rsid w:val="002123DD"/>
    <w:rsid w:val="00212416"/>
    <w:rsid w:val="00212465"/>
    <w:rsid w:val="00212504"/>
    <w:rsid w:val="00212513"/>
    <w:rsid w:val="00212518"/>
    <w:rsid w:val="0021256B"/>
    <w:rsid w:val="002126B9"/>
    <w:rsid w:val="002126C7"/>
    <w:rsid w:val="00212873"/>
    <w:rsid w:val="002128FB"/>
    <w:rsid w:val="00212AC0"/>
    <w:rsid w:val="00212B0D"/>
    <w:rsid w:val="00212B90"/>
    <w:rsid w:val="00212C1C"/>
    <w:rsid w:val="00212D6B"/>
    <w:rsid w:val="00212DAE"/>
    <w:rsid w:val="00212ED5"/>
    <w:rsid w:val="00212F0B"/>
    <w:rsid w:val="00212F14"/>
    <w:rsid w:val="00212FF1"/>
    <w:rsid w:val="002130BB"/>
    <w:rsid w:val="002131CA"/>
    <w:rsid w:val="002132D0"/>
    <w:rsid w:val="00213306"/>
    <w:rsid w:val="00213330"/>
    <w:rsid w:val="002133A1"/>
    <w:rsid w:val="002133ED"/>
    <w:rsid w:val="002133F5"/>
    <w:rsid w:val="0021342B"/>
    <w:rsid w:val="00213441"/>
    <w:rsid w:val="00213498"/>
    <w:rsid w:val="0021383B"/>
    <w:rsid w:val="0021393D"/>
    <w:rsid w:val="002139E2"/>
    <w:rsid w:val="00213B40"/>
    <w:rsid w:val="00213B85"/>
    <w:rsid w:val="00213BB1"/>
    <w:rsid w:val="00213C11"/>
    <w:rsid w:val="00213C5A"/>
    <w:rsid w:val="00213C92"/>
    <w:rsid w:val="00213C9C"/>
    <w:rsid w:val="00213D12"/>
    <w:rsid w:val="00213D88"/>
    <w:rsid w:val="00213D95"/>
    <w:rsid w:val="00213E56"/>
    <w:rsid w:val="00213EB5"/>
    <w:rsid w:val="00213ED4"/>
    <w:rsid w:val="00213EEF"/>
    <w:rsid w:val="00213FC3"/>
    <w:rsid w:val="00213FF2"/>
    <w:rsid w:val="00214118"/>
    <w:rsid w:val="00214188"/>
    <w:rsid w:val="002141D9"/>
    <w:rsid w:val="002141FC"/>
    <w:rsid w:val="002142E7"/>
    <w:rsid w:val="002143D8"/>
    <w:rsid w:val="0021449D"/>
    <w:rsid w:val="002145B2"/>
    <w:rsid w:val="00214618"/>
    <w:rsid w:val="002146B7"/>
    <w:rsid w:val="0021482E"/>
    <w:rsid w:val="0021495C"/>
    <w:rsid w:val="0021499F"/>
    <w:rsid w:val="002149C3"/>
    <w:rsid w:val="00214AD5"/>
    <w:rsid w:val="00214ADB"/>
    <w:rsid w:val="00214D87"/>
    <w:rsid w:val="00214E73"/>
    <w:rsid w:val="00214EF2"/>
    <w:rsid w:val="00214F29"/>
    <w:rsid w:val="00215084"/>
    <w:rsid w:val="002153D3"/>
    <w:rsid w:val="0021543B"/>
    <w:rsid w:val="0021553E"/>
    <w:rsid w:val="00215666"/>
    <w:rsid w:val="002156E8"/>
    <w:rsid w:val="00215789"/>
    <w:rsid w:val="002157A8"/>
    <w:rsid w:val="002157BD"/>
    <w:rsid w:val="002157E5"/>
    <w:rsid w:val="0021586A"/>
    <w:rsid w:val="0021592A"/>
    <w:rsid w:val="00215934"/>
    <w:rsid w:val="00215A4B"/>
    <w:rsid w:val="00215DC0"/>
    <w:rsid w:val="00215DC8"/>
    <w:rsid w:val="00215E05"/>
    <w:rsid w:val="00215F8B"/>
    <w:rsid w:val="002161BE"/>
    <w:rsid w:val="002162EE"/>
    <w:rsid w:val="002162FD"/>
    <w:rsid w:val="00216341"/>
    <w:rsid w:val="002165D1"/>
    <w:rsid w:val="002165DD"/>
    <w:rsid w:val="002165FE"/>
    <w:rsid w:val="00216680"/>
    <w:rsid w:val="00216683"/>
    <w:rsid w:val="0021677D"/>
    <w:rsid w:val="00216A8B"/>
    <w:rsid w:val="00216AA7"/>
    <w:rsid w:val="00216BB1"/>
    <w:rsid w:val="00216C04"/>
    <w:rsid w:val="00216C9D"/>
    <w:rsid w:val="00216CEC"/>
    <w:rsid w:val="00216D57"/>
    <w:rsid w:val="00216D59"/>
    <w:rsid w:val="00216E07"/>
    <w:rsid w:val="00216EFA"/>
    <w:rsid w:val="00217108"/>
    <w:rsid w:val="00217155"/>
    <w:rsid w:val="002172A3"/>
    <w:rsid w:val="002172DC"/>
    <w:rsid w:val="0021737D"/>
    <w:rsid w:val="002173AC"/>
    <w:rsid w:val="00217567"/>
    <w:rsid w:val="002175F7"/>
    <w:rsid w:val="002175FA"/>
    <w:rsid w:val="002177DF"/>
    <w:rsid w:val="002178E9"/>
    <w:rsid w:val="00217A4F"/>
    <w:rsid w:val="00217B71"/>
    <w:rsid w:val="00217BA2"/>
    <w:rsid w:val="00217D01"/>
    <w:rsid w:val="00217FD1"/>
    <w:rsid w:val="00220074"/>
    <w:rsid w:val="00220099"/>
    <w:rsid w:val="002200BE"/>
    <w:rsid w:val="002200C8"/>
    <w:rsid w:val="002201D4"/>
    <w:rsid w:val="00220201"/>
    <w:rsid w:val="002203AE"/>
    <w:rsid w:val="0022077B"/>
    <w:rsid w:val="0022089F"/>
    <w:rsid w:val="002208F1"/>
    <w:rsid w:val="00220929"/>
    <w:rsid w:val="002209E0"/>
    <w:rsid w:val="00220B95"/>
    <w:rsid w:val="00220C19"/>
    <w:rsid w:val="00220C7E"/>
    <w:rsid w:val="00220CDB"/>
    <w:rsid w:val="00220D97"/>
    <w:rsid w:val="00220DB0"/>
    <w:rsid w:val="00220DCD"/>
    <w:rsid w:val="00220E9B"/>
    <w:rsid w:val="00220EB9"/>
    <w:rsid w:val="00220F24"/>
    <w:rsid w:val="00220F79"/>
    <w:rsid w:val="002210B5"/>
    <w:rsid w:val="002212ED"/>
    <w:rsid w:val="00221318"/>
    <w:rsid w:val="00221454"/>
    <w:rsid w:val="002214CA"/>
    <w:rsid w:val="002214CB"/>
    <w:rsid w:val="002215E6"/>
    <w:rsid w:val="0022165E"/>
    <w:rsid w:val="00221705"/>
    <w:rsid w:val="002217F0"/>
    <w:rsid w:val="002218A8"/>
    <w:rsid w:val="002218BE"/>
    <w:rsid w:val="00221AAB"/>
    <w:rsid w:val="00221C46"/>
    <w:rsid w:val="00221D0E"/>
    <w:rsid w:val="00221E8E"/>
    <w:rsid w:val="00221EFD"/>
    <w:rsid w:val="00222085"/>
    <w:rsid w:val="002221D2"/>
    <w:rsid w:val="00222445"/>
    <w:rsid w:val="002224C1"/>
    <w:rsid w:val="002224EF"/>
    <w:rsid w:val="0022253F"/>
    <w:rsid w:val="00222638"/>
    <w:rsid w:val="002226BE"/>
    <w:rsid w:val="00222827"/>
    <w:rsid w:val="00222B3B"/>
    <w:rsid w:val="00222B70"/>
    <w:rsid w:val="00222D37"/>
    <w:rsid w:val="00222D69"/>
    <w:rsid w:val="00222E04"/>
    <w:rsid w:val="00222E18"/>
    <w:rsid w:val="00222F7F"/>
    <w:rsid w:val="00222F81"/>
    <w:rsid w:val="002231AD"/>
    <w:rsid w:val="002231F4"/>
    <w:rsid w:val="00223229"/>
    <w:rsid w:val="0022342F"/>
    <w:rsid w:val="00223452"/>
    <w:rsid w:val="00223554"/>
    <w:rsid w:val="0022359B"/>
    <w:rsid w:val="00223605"/>
    <w:rsid w:val="002236EC"/>
    <w:rsid w:val="002239A0"/>
    <w:rsid w:val="002239F9"/>
    <w:rsid w:val="00223B0F"/>
    <w:rsid w:val="00223F2F"/>
    <w:rsid w:val="002241B8"/>
    <w:rsid w:val="002244F6"/>
    <w:rsid w:val="002245E4"/>
    <w:rsid w:val="002247FE"/>
    <w:rsid w:val="00224807"/>
    <w:rsid w:val="0022495D"/>
    <w:rsid w:val="0022498B"/>
    <w:rsid w:val="00224B18"/>
    <w:rsid w:val="00224BE6"/>
    <w:rsid w:val="00224C9C"/>
    <w:rsid w:val="00224D0E"/>
    <w:rsid w:val="00224DFE"/>
    <w:rsid w:val="00224F1A"/>
    <w:rsid w:val="00224F26"/>
    <w:rsid w:val="00225226"/>
    <w:rsid w:val="00225381"/>
    <w:rsid w:val="00225584"/>
    <w:rsid w:val="00225878"/>
    <w:rsid w:val="0022594B"/>
    <w:rsid w:val="00225963"/>
    <w:rsid w:val="00225A05"/>
    <w:rsid w:val="00225A7F"/>
    <w:rsid w:val="00225ACE"/>
    <w:rsid w:val="00225B21"/>
    <w:rsid w:val="00225C29"/>
    <w:rsid w:val="00225CA6"/>
    <w:rsid w:val="00225E13"/>
    <w:rsid w:val="00225EC8"/>
    <w:rsid w:val="00226122"/>
    <w:rsid w:val="00226159"/>
    <w:rsid w:val="002261B6"/>
    <w:rsid w:val="002261DC"/>
    <w:rsid w:val="0022640D"/>
    <w:rsid w:val="00226493"/>
    <w:rsid w:val="002264D1"/>
    <w:rsid w:val="00226525"/>
    <w:rsid w:val="002265B6"/>
    <w:rsid w:val="00226667"/>
    <w:rsid w:val="00226740"/>
    <w:rsid w:val="002268D4"/>
    <w:rsid w:val="002268E5"/>
    <w:rsid w:val="00226989"/>
    <w:rsid w:val="002269EB"/>
    <w:rsid w:val="00226AA2"/>
    <w:rsid w:val="00226B06"/>
    <w:rsid w:val="00226C0A"/>
    <w:rsid w:val="00226CC5"/>
    <w:rsid w:val="00226CCF"/>
    <w:rsid w:val="00226DA6"/>
    <w:rsid w:val="00226E24"/>
    <w:rsid w:val="00226E30"/>
    <w:rsid w:val="00226E48"/>
    <w:rsid w:val="00226F19"/>
    <w:rsid w:val="00226F90"/>
    <w:rsid w:val="00226FF5"/>
    <w:rsid w:val="002270EB"/>
    <w:rsid w:val="00227157"/>
    <w:rsid w:val="00227187"/>
    <w:rsid w:val="00227205"/>
    <w:rsid w:val="00227264"/>
    <w:rsid w:val="002273CA"/>
    <w:rsid w:val="0022746F"/>
    <w:rsid w:val="00227678"/>
    <w:rsid w:val="002276E8"/>
    <w:rsid w:val="0022788A"/>
    <w:rsid w:val="002278F5"/>
    <w:rsid w:val="002279DF"/>
    <w:rsid w:val="00227ADD"/>
    <w:rsid w:val="00227B04"/>
    <w:rsid w:val="00227CC0"/>
    <w:rsid w:val="00227ED6"/>
    <w:rsid w:val="00227EEB"/>
    <w:rsid w:val="0023019A"/>
    <w:rsid w:val="002301AC"/>
    <w:rsid w:val="0023028D"/>
    <w:rsid w:val="00230378"/>
    <w:rsid w:val="00230602"/>
    <w:rsid w:val="0023067D"/>
    <w:rsid w:val="00230901"/>
    <w:rsid w:val="002309D7"/>
    <w:rsid w:val="00230B84"/>
    <w:rsid w:val="00230D05"/>
    <w:rsid w:val="00230D08"/>
    <w:rsid w:val="00230D80"/>
    <w:rsid w:val="00230DD3"/>
    <w:rsid w:val="00230DFE"/>
    <w:rsid w:val="00230E3F"/>
    <w:rsid w:val="00230E4E"/>
    <w:rsid w:val="00230F98"/>
    <w:rsid w:val="00230FB0"/>
    <w:rsid w:val="00230FB4"/>
    <w:rsid w:val="00231010"/>
    <w:rsid w:val="00231026"/>
    <w:rsid w:val="00231039"/>
    <w:rsid w:val="002310D8"/>
    <w:rsid w:val="0023121C"/>
    <w:rsid w:val="00231256"/>
    <w:rsid w:val="002313B1"/>
    <w:rsid w:val="002313CE"/>
    <w:rsid w:val="002313E1"/>
    <w:rsid w:val="0023142A"/>
    <w:rsid w:val="002314C8"/>
    <w:rsid w:val="00231540"/>
    <w:rsid w:val="00231594"/>
    <w:rsid w:val="002315AB"/>
    <w:rsid w:val="002316C5"/>
    <w:rsid w:val="002316E9"/>
    <w:rsid w:val="0023173F"/>
    <w:rsid w:val="002317B3"/>
    <w:rsid w:val="002317F7"/>
    <w:rsid w:val="0023183E"/>
    <w:rsid w:val="00231842"/>
    <w:rsid w:val="002318CD"/>
    <w:rsid w:val="00231908"/>
    <w:rsid w:val="00231CD5"/>
    <w:rsid w:val="00231D33"/>
    <w:rsid w:val="00231DAD"/>
    <w:rsid w:val="00231E24"/>
    <w:rsid w:val="00231E62"/>
    <w:rsid w:val="002321A2"/>
    <w:rsid w:val="00232249"/>
    <w:rsid w:val="002322CB"/>
    <w:rsid w:val="0023249E"/>
    <w:rsid w:val="002324AC"/>
    <w:rsid w:val="0023261F"/>
    <w:rsid w:val="00232711"/>
    <w:rsid w:val="0023299B"/>
    <w:rsid w:val="002329CD"/>
    <w:rsid w:val="00232B20"/>
    <w:rsid w:val="00232C0F"/>
    <w:rsid w:val="00232CC6"/>
    <w:rsid w:val="00232D03"/>
    <w:rsid w:val="00232D0F"/>
    <w:rsid w:val="00232DF9"/>
    <w:rsid w:val="00232F7A"/>
    <w:rsid w:val="0023307D"/>
    <w:rsid w:val="00233097"/>
    <w:rsid w:val="0023319B"/>
    <w:rsid w:val="00233221"/>
    <w:rsid w:val="00233232"/>
    <w:rsid w:val="00233234"/>
    <w:rsid w:val="00233271"/>
    <w:rsid w:val="00233479"/>
    <w:rsid w:val="0023367A"/>
    <w:rsid w:val="002337AC"/>
    <w:rsid w:val="002337D0"/>
    <w:rsid w:val="002339E1"/>
    <w:rsid w:val="00233A4F"/>
    <w:rsid w:val="00233AC4"/>
    <w:rsid w:val="00233B15"/>
    <w:rsid w:val="00233B41"/>
    <w:rsid w:val="00233C0E"/>
    <w:rsid w:val="00233D49"/>
    <w:rsid w:val="00234111"/>
    <w:rsid w:val="00234187"/>
    <w:rsid w:val="00234295"/>
    <w:rsid w:val="002342DD"/>
    <w:rsid w:val="0023433F"/>
    <w:rsid w:val="00234364"/>
    <w:rsid w:val="00234565"/>
    <w:rsid w:val="00234659"/>
    <w:rsid w:val="0023465C"/>
    <w:rsid w:val="00234770"/>
    <w:rsid w:val="002347A3"/>
    <w:rsid w:val="002347A6"/>
    <w:rsid w:val="002347F2"/>
    <w:rsid w:val="00234974"/>
    <w:rsid w:val="002349BE"/>
    <w:rsid w:val="00234A5A"/>
    <w:rsid w:val="00234B18"/>
    <w:rsid w:val="00234B51"/>
    <w:rsid w:val="00234BA5"/>
    <w:rsid w:val="00234BDC"/>
    <w:rsid w:val="00234BF2"/>
    <w:rsid w:val="00234D00"/>
    <w:rsid w:val="00234D2B"/>
    <w:rsid w:val="00234E85"/>
    <w:rsid w:val="00234EE5"/>
    <w:rsid w:val="00234F7A"/>
    <w:rsid w:val="00234FA9"/>
    <w:rsid w:val="00235030"/>
    <w:rsid w:val="00235099"/>
    <w:rsid w:val="002350BB"/>
    <w:rsid w:val="002351DF"/>
    <w:rsid w:val="00235265"/>
    <w:rsid w:val="00235297"/>
    <w:rsid w:val="00235476"/>
    <w:rsid w:val="00235617"/>
    <w:rsid w:val="002356AC"/>
    <w:rsid w:val="0023582E"/>
    <w:rsid w:val="00235B5A"/>
    <w:rsid w:val="00235DFF"/>
    <w:rsid w:val="00235EB8"/>
    <w:rsid w:val="00235EE1"/>
    <w:rsid w:val="00235F88"/>
    <w:rsid w:val="00235FC0"/>
    <w:rsid w:val="002360CD"/>
    <w:rsid w:val="00236140"/>
    <w:rsid w:val="0023616E"/>
    <w:rsid w:val="002361E6"/>
    <w:rsid w:val="0023631A"/>
    <w:rsid w:val="002363C1"/>
    <w:rsid w:val="00236478"/>
    <w:rsid w:val="00236483"/>
    <w:rsid w:val="00236502"/>
    <w:rsid w:val="002365FD"/>
    <w:rsid w:val="00236707"/>
    <w:rsid w:val="00236831"/>
    <w:rsid w:val="00236889"/>
    <w:rsid w:val="0023689E"/>
    <w:rsid w:val="00236C3B"/>
    <w:rsid w:val="00236C69"/>
    <w:rsid w:val="00236CBA"/>
    <w:rsid w:val="00236CD0"/>
    <w:rsid w:val="00236D25"/>
    <w:rsid w:val="00236D32"/>
    <w:rsid w:val="00236D5A"/>
    <w:rsid w:val="00236DCE"/>
    <w:rsid w:val="00236DD9"/>
    <w:rsid w:val="00236DFB"/>
    <w:rsid w:val="00236E19"/>
    <w:rsid w:val="00236FBB"/>
    <w:rsid w:val="00236FF2"/>
    <w:rsid w:val="0023700C"/>
    <w:rsid w:val="00237022"/>
    <w:rsid w:val="00237186"/>
    <w:rsid w:val="00237316"/>
    <w:rsid w:val="00237339"/>
    <w:rsid w:val="00237594"/>
    <w:rsid w:val="0023770B"/>
    <w:rsid w:val="00237776"/>
    <w:rsid w:val="0023785D"/>
    <w:rsid w:val="0023793C"/>
    <w:rsid w:val="002379D7"/>
    <w:rsid w:val="00237BE0"/>
    <w:rsid w:val="00237E44"/>
    <w:rsid w:val="00237EBB"/>
    <w:rsid w:val="00237F9F"/>
    <w:rsid w:val="00240053"/>
    <w:rsid w:val="002400E4"/>
    <w:rsid w:val="002401D0"/>
    <w:rsid w:val="002401ED"/>
    <w:rsid w:val="0024029D"/>
    <w:rsid w:val="002402AE"/>
    <w:rsid w:val="00240378"/>
    <w:rsid w:val="00240453"/>
    <w:rsid w:val="002404A2"/>
    <w:rsid w:val="002404BC"/>
    <w:rsid w:val="00240503"/>
    <w:rsid w:val="00240574"/>
    <w:rsid w:val="00240608"/>
    <w:rsid w:val="002406BD"/>
    <w:rsid w:val="0024072F"/>
    <w:rsid w:val="00240731"/>
    <w:rsid w:val="00240869"/>
    <w:rsid w:val="002408CC"/>
    <w:rsid w:val="00240A34"/>
    <w:rsid w:val="00240B9C"/>
    <w:rsid w:val="00240BCD"/>
    <w:rsid w:val="00240C52"/>
    <w:rsid w:val="00240CD9"/>
    <w:rsid w:val="00240CE7"/>
    <w:rsid w:val="00240D4F"/>
    <w:rsid w:val="00240D84"/>
    <w:rsid w:val="00240EBA"/>
    <w:rsid w:val="00240F1A"/>
    <w:rsid w:val="00240F3A"/>
    <w:rsid w:val="00240F42"/>
    <w:rsid w:val="0024101B"/>
    <w:rsid w:val="00241208"/>
    <w:rsid w:val="002413AA"/>
    <w:rsid w:val="00241490"/>
    <w:rsid w:val="002415BD"/>
    <w:rsid w:val="002415BE"/>
    <w:rsid w:val="002415D2"/>
    <w:rsid w:val="002416D2"/>
    <w:rsid w:val="0024180C"/>
    <w:rsid w:val="0024189F"/>
    <w:rsid w:val="002418CE"/>
    <w:rsid w:val="002418E6"/>
    <w:rsid w:val="0024191F"/>
    <w:rsid w:val="00241A11"/>
    <w:rsid w:val="00241A88"/>
    <w:rsid w:val="00241ADC"/>
    <w:rsid w:val="00241AF0"/>
    <w:rsid w:val="00241B03"/>
    <w:rsid w:val="00241B93"/>
    <w:rsid w:val="00241BCB"/>
    <w:rsid w:val="00241C81"/>
    <w:rsid w:val="00241C83"/>
    <w:rsid w:val="00241DC6"/>
    <w:rsid w:val="00241E21"/>
    <w:rsid w:val="00241EA7"/>
    <w:rsid w:val="00241F1A"/>
    <w:rsid w:val="00241F54"/>
    <w:rsid w:val="00241F8C"/>
    <w:rsid w:val="00241FEA"/>
    <w:rsid w:val="0024201A"/>
    <w:rsid w:val="0024215C"/>
    <w:rsid w:val="0024223C"/>
    <w:rsid w:val="00242406"/>
    <w:rsid w:val="0024248B"/>
    <w:rsid w:val="002425CB"/>
    <w:rsid w:val="00242684"/>
    <w:rsid w:val="002426FE"/>
    <w:rsid w:val="00242704"/>
    <w:rsid w:val="0024286F"/>
    <w:rsid w:val="00242BC1"/>
    <w:rsid w:val="00242BED"/>
    <w:rsid w:val="00242C17"/>
    <w:rsid w:val="00242D20"/>
    <w:rsid w:val="00242DDD"/>
    <w:rsid w:val="00242ED7"/>
    <w:rsid w:val="00242F3B"/>
    <w:rsid w:val="00243062"/>
    <w:rsid w:val="00243081"/>
    <w:rsid w:val="002430B5"/>
    <w:rsid w:val="0024314E"/>
    <w:rsid w:val="00243324"/>
    <w:rsid w:val="002433E4"/>
    <w:rsid w:val="002434B6"/>
    <w:rsid w:val="002434FE"/>
    <w:rsid w:val="00243532"/>
    <w:rsid w:val="002436A4"/>
    <w:rsid w:val="00243746"/>
    <w:rsid w:val="002437E0"/>
    <w:rsid w:val="002438E0"/>
    <w:rsid w:val="002439E5"/>
    <w:rsid w:val="00243B13"/>
    <w:rsid w:val="00243BA1"/>
    <w:rsid w:val="00243C96"/>
    <w:rsid w:val="00243E30"/>
    <w:rsid w:val="00243FB8"/>
    <w:rsid w:val="00244088"/>
    <w:rsid w:val="002440A1"/>
    <w:rsid w:val="00244216"/>
    <w:rsid w:val="00244228"/>
    <w:rsid w:val="0024423D"/>
    <w:rsid w:val="002442D0"/>
    <w:rsid w:val="00244366"/>
    <w:rsid w:val="002444F5"/>
    <w:rsid w:val="00244744"/>
    <w:rsid w:val="002447F0"/>
    <w:rsid w:val="00244841"/>
    <w:rsid w:val="00244B07"/>
    <w:rsid w:val="00244BC0"/>
    <w:rsid w:val="00244BE2"/>
    <w:rsid w:val="00244C5C"/>
    <w:rsid w:val="00244CB6"/>
    <w:rsid w:val="00244CFD"/>
    <w:rsid w:val="00244F84"/>
    <w:rsid w:val="0024504B"/>
    <w:rsid w:val="0024510E"/>
    <w:rsid w:val="0024522D"/>
    <w:rsid w:val="002452EF"/>
    <w:rsid w:val="002453B7"/>
    <w:rsid w:val="0024569D"/>
    <w:rsid w:val="00245792"/>
    <w:rsid w:val="002457EB"/>
    <w:rsid w:val="00245B3A"/>
    <w:rsid w:val="00245B5C"/>
    <w:rsid w:val="00245BCB"/>
    <w:rsid w:val="00245C18"/>
    <w:rsid w:val="00245C60"/>
    <w:rsid w:val="00245C9A"/>
    <w:rsid w:val="00245CE8"/>
    <w:rsid w:val="00245D1E"/>
    <w:rsid w:val="00245D77"/>
    <w:rsid w:val="00245E1E"/>
    <w:rsid w:val="00245F18"/>
    <w:rsid w:val="0024610C"/>
    <w:rsid w:val="002461BD"/>
    <w:rsid w:val="002461EA"/>
    <w:rsid w:val="0024626A"/>
    <w:rsid w:val="00246366"/>
    <w:rsid w:val="002467DF"/>
    <w:rsid w:val="00246881"/>
    <w:rsid w:val="00246A7C"/>
    <w:rsid w:val="00246AE1"/>
    <w:rsid w:val="00246C11"/>
    <w:rsid w:val="00246C17"/>
    <w:rsid w:val="00246C3D"/>
    <w:rsid w:val="00246C5C"/>
    <w:rsid w:val="00246D44"/>
    <w:rsid w:val="00246D94"/>
    <w:rsid w:val="00246E48"/>
    <w:rsid w:val="00246E49"/>
    <w:rsid w:val="0024704C"/>
    <w:rsid w:val="0024718C"/>
    <w:rsid w:val="002471EB"/>
    <w:rsid w:val="00247213"/>
    <w:rsid w:val="002472DF"/>
    <w:rsid w:val="002472F1"/>
    <w:rsid w:val="002473BB"/>
    <w:rsid w:val="002474C9"/>
    <w:rsid w:val="002474F6"/>
    <w:rsid w:val="0024753F"/>
    <w:rsid w:val="002475BC"/>
    <w:rsid w:val="002475C9"/>
    <w:rsid w:val="002477B5"/>
    <w:rsid w:val="002477B6"/>
    <w:rsid w:val="00247967"/>
    <w:rsid w:val="002479A4"/>
    <w:rsid w:val="002479C7"/>
    <w:rsid w:val="002479FC"/>
    <w:rsid w:val="00247A46"/>
    <w:rsid w:val="00247A54"/>
    <w:rsid w:val="00247C6E"/>
    <w:rsid w:val="00247CDE"/>
    <w:rsid w:val="00247D79"/>
    <w:rsid w:val="00247E21"/>
    <w:rsid w:val="00247E44"/>
    <w:rsid w:val="00247F8A"/>
    <w:rsid w:val="0025005B"/>
    <w:rsid w:val="0025011D"/>
    <w:rsid w:val="0025012F"/>
    <w:rsid w:val="002502D5"/>
    <w:rsid w:val="002503CB"/>
    <w:rsid w:val="002503EE"/>
    <w:rsid w:val="0025049B"/>
    <w:rsid w:val="002504E2"/>
    <w:rsid w:val="00250521"/>
    <w:rsid w:val="00250534"/>
    <w:rsid w:val="0025056C"/>
    <w:rsid w:val="002506C9"/>
    <w:rsid w:val="002506CD"/>
    <w:rsid w:val="00250769"/>
    <w:rsid w:val="0025085F"/>
    <w:rsid w:val="00250957"/>
    <w:rsid w:val="002509FC"/>
    <w:rsid w:val="00250C69"/>
    <w:rsid w:val="00250DF6"/>
    <w:rsid w:val="00250E5D"/>
    <w:rsid w:val="00250E73"/>
    <w:rsid w:val="00250E74"/>
    <w:rsid w:val="00250F3B"/>
    <w:rsid w:val="00251192"/>
    <w:rsid w:val="00251195"/>
    <w:rsid w:val="00251255"/>
    <w:rsid w:val="0025139E"/>
    <w:rsid w:val="002514A9"/>
    <w:rsid w:val="0025163C"/>
    <w:rsid w:val="0025178E"/>
    <w:rsid w:val="002519E4"/>
    <w:rsid w:val="00251A0F"/>
    <w:rsid w:val="00251A70"/>
    <w:rsid w:val="00251B6B"/>
    <w:rsid w:val="00251D29"/>
    <w:rsid w:val="00251FA4"/>
    <w:rsid w:val="00252232"/>
    <w:rsid w:val="0025225C"/>
    <w:rsid w:val="00252374"/>
    <w:rsid w:val="00252532"/>
    <w:rsid w:val="002525D9"/>
    <w:rsid w:val="002525E1"/>
    <w:rsid w:val="00252610"/>
    <w:rsid w:val="0025280C"/>
    <w:rsid w:val="002528DF"/>
    <w:rsid w:val="002529D9"/>
    <w:rsid w:val="002529EF"/>
    <w:rsid w:val="00252A3F"/>
    <w:rsid w:val="00252A59"/>
    <w:rsid w:val="00252A83"/>
    <w:rsid w:val="00252A96"/>
    <w:rsid w:val="00252B1F"/>
    <w:rsid w:val="00252BBA"/>
    <w:rsid w:val="00252BF3"/>
    <w:rsid w:val="00252D73"/>
    <w:rsid w:val="00252E2A"/>
    <w:rsid w:val="00252E8E"/>
    <w:rsid w:val="00252EE9"/>
    <w:rsid w:val="00252EEE"/>
    <w:rsid w:val="00253049"/>
    <w:rsid w:val="002530B2"/>
    <w:rsid w:val="00253155"/>
    <w:rsid w:val="00253161"/>
    <w:rsid w:val="00253349"/>
    <w:rsid w:val="002533C0"/>
    <w:rsid w:val="002533CE"/>
    <w:rsid w:val="0025350C"/>
    <w:rsid w:val="00253510"/>
    <w:rsid w:val="002535B0"/>
    <w:rsid w:val="00253604"/>
    <w:rsid w:val="0025362D"/>
    <w:rsid w:val="002537E4"/>
    <w:rsid w:val="0025382D"/>
    <w:rsid w:val="00253A08"/>
    <w:rsid w:val="00253AEA"/>
    <w:rsid w:val="00253B18"/>
    <w:rsid w:val="00253BC2"/>
    <w:rsid w:val="00253C88"/>
    <w:rsid w:val="00253EA7"/>
    <w:rsid w:val="002541CE"/>
    <w:rsid w:val="00254318"/>
    <w:rsid w:val="00254364"/>
    <w:rsid w:val="002543A8"/>
    <w:rsid w:val="002544B9"/>
    <w:rsid w:val="002545ED"/>
    <w:rsid w:val="00254627"/>
    <w:rsid w:val="0025463F"/>
    <w:rsid w:val="002546AC"/>
    <w:rsid w:val="0025474F"/>
    <w:rsid w:val="0025481A"/>
    <w:rsid w:val="002548E1"/>
    <w:rsid w:val="00254959"/>
    <w:rsid w:val="002549C6"/>
    <w:rsid w:val="00254A22"/>
    <w:rsid w:val="00254B6F"/>
    <w:rsid w:val="00254C18"/>
    <w:rsid w:val="00254D8D"/>
    <w:rsid w:val="00254DCD"/>
    <w:rsid w:val="00254EA6"/>
    <w:rsid w:val="00254EEE"/>
    <w:rsid w:val="00254F07"/>
    <w:rsid w:val="00254F1E"/>
    <w:rsid w:val="00254F52"/>
    <w:rsid w:val="0025522E"/>
    <w:rsid w:val="00255233"/>
    <w:rsid w:val="0025523F"/>
    <w:rsid w:val="00255268"/>
    <w:rsid w:val="00255306"/>
    <w:rsid w:val="00255635"/>
    <w:rsid w:val="00255683"/>
    <w:rsid w:val="002556C6"/>
    <w:rsid w:val="002556DB"/>
    <w:rsid w:val="002558BF"/>
    <w:rsid w:val="00255977"/>
    <w:rsid w:val="002559F7"/>
    <w:rsid w:val="002559FE"/>
    <w:rsid w:val="00255A1E"/>
    <w:rsid w:val="00255A56"/>
    <w:rsid w:val="00255A8F"/>
    <w:rsid w:val="00255B77"/>
    <w:rsid w:val="00255BC0"/>
    <w:rsid w:val="00255CD0"/>
    <w:rsid w:val="00255D25"/>
    <w:rsid w:val="00255D4A"/>
    <w:rsid w:val="00255D82"/>
    <w:rsid w:val="00255F90"/>
    <w:rsid w:val="002560B3"/>
    <w:rsid w:val="002561CC"/>
    <w:rsid w:val="002561DD"/>
    <w:rsid w:val="002563CE"/>
    <w:rsid w:val="00256533"/>
    <w:rsid w:val="0025670E"/>
    <w:rsid w:val="00256786"/>
    <w:rsid w:val="002568A1"/>
    <w:rsid w:val="002568C4"/>
    <w:rsid w:val="00256A7A"/>
    <w:rsid w:val="00256C5A"/>
    <w:rsid w:val="00256CCA"/>
    <w:rsid w:val="00256D2D"/>
    <w:rsid w:val="00256D8E"/>
    <w:rsid w:val="00256E66"/>
    <w:rsid w:val="00256EC6"/>
    <w:rsid w:val="00256FF9"/>
    <w:rsid w:val="0025704C"/>
    <w:rsid w:val="002570D6"/>
    <w:rsid w:val="00257455"/>
    <w:rsid w:val="00257540"/>
    <w:rsid w:val="00257541"/>
    <w:rsid w:val="00257547"/>
    <w:rsid w:val="0025758A"/>
    <w:rsid w:val="002575F4"/>
    <w:rsid w:val="00257605"/>
    <w:rsid w:val="002576A4"/>
    <w:rsid w:val="00257849"/>
    <w:rsid w:val="00257E41"/>
    <w:rsid w:val="00257E78"/>
    <w:rsid w:val="00257E8C"/>
    <w:rsid w:val="00257EA0"/>
    <w:rsid w:val="00257EA3"/>
    <w:rsid w:val="00257F1F"/>
    <w:rsid w:val="00257FC7"/>
    <w:rsid w:val="00257FE7"/>
    <w:rsid w:val="00260101"/>
    <w:rsid w:val="00260212"/>
    <w:rsid w:val="00260286"/>
    <w:rsid w:val="00260349"/>
    <w:rsid w:val="00260398"/>
    <w:rsid w:val="00260454"/>
    <w:rsid w:val="0026048C"/>
    <w:rsid w:val="0026068E"/>
    <w:rsid w:val="0026070D"/>
    <w:rsid w:val="00260742"/>
    <w:rsid w:val="002608C5"/>
    <w:rsid w:val="002608E0"/>
    <w:rsid w:val="0026091D"/>
    <w:rsid w:val="0026094B"/>
    <w:rsid w:val="002609BE"/>
    <w:rsid w:val="00260B4F"/>
    <w:rsid w:val="00260B67"/>
    <w:rsid w:val="00260C22"/>
    <w:rsid w:val="00260CD6"/>
    <w:rsid w:val="00260D04"/>
    <w:rsid w:val="00260DB1"/>
    <w:rsid w:val="00260E09"/>
    <w:rsid w:val="00260E0C"/>
    <w:rsid w:val="00260EFC"/>
    <w:rsid w:val="00260F47"/>
    <w:rsid w:val="00260FA8"/>
    <w:rsid w:val="00260FE2"/>
    <w:rsid w:val="0026101E"/>
    <w:rsid w:val="00261098"/>
    <w:rsid w:val="002610E3"/>
    <w:rsid w:val="00261230"/>
    <w:rsid w:val="00261235"/>
    <w:rsid w:val="002613C4"/>
    <w:rsid w:val="002613CD"/>
    <w:rsid w:val="002613F1"/>
    <w:rsid w:val="002614B7"/>
    <w:rsid w:val="0026167E"/>
    <w:rsid w:val="00261941"/>
    <w:rsid w:val="00261A44"/>
    <w:rsid w:val="00261A95"/>
    <w:rsid w:val="00261AAE"/>
    <w:rsid w:val="00261AB7"/>
    <w:rsid w:val="00261BAB"/>
    <w:rsid w:val="00261C1A"/>
    <w:rsid w:val="00261CD5"/>
    <w:rsid w:val="00261F2E"/>
    <w:rsid w:val="002620FE"/>
    <w:rsid w:val="00262116"/>
    <w:rsid w:val="00262293"/>
    <w:rsid w:val="002622A6"/>
    <w:rsid w:val="002623BD"/>
    <w:rsid w:val="00262586"/>
    <w:rsid w:val="0026258C"/>
    <w:rsid w:val="002628C4"/>
    <w:rsid w:val="00262952"/>
    <w:rsid w:val="00262A29"/>
    <w:rsid w:val="00262A30"/>
    <w:rsid w:val="00262A74"/>
    <w:rsid w:val="00262D30"/>
    <w:rsid w:val="00262D53"/>
    <w:rsid w:val="00262E55"/>
    <w:rsid w:val="00263012"/>
    <w:rsid w:val="0026302F"/>
    <w:rsid w:val="0026312A"/>
    <w:rsid w:val="0026319B"/>
    <w:rsid w:val="002634E6"/>
    <w:rsid w:val="002635A3"/>
    <w:rsid w:val="002636ED"/>
    <w:rsid w:val="00263A2B"/>
    <w:rsid w:val="00263AA6"/>
    <w:rsid w:val="00263BBF"/>
    <w:rsid w:val="00263BD1"/>
    <w:rsid w:val="00263BE4"/>
    <w:rsid w:val="00263BE8"/>
    <w:rsid w:val="00263DA3"/>
    <w:rsid w:val="00263E45"/>
    <w:rsid w:val="00263ED7"/>
    <w:rsid w:val="00264022"/>
    <w:rsid w:val="002641C3"/>
    <w:rsid w:val="00264270"/>
    <w:rsid w:val="0026435C"/>
    <w:rsid w:val="002643B6"/>
    <w:rsid w:val="00264439"/>
    <w:rsid w:val="0026448B"/>
    <w:rsid w:val="002645B5"/>
    <w:rsid w:val="0026465C"/>
    <w:rsid w:val="00264723"/>
    <w:rsid w:val="002647DC"/>
    <w:rsid w:val="002647FC"/>
    <w:rsid w:val="00264860"/>
    <w:rsid w:val="00264BAC"/>
    <w:rsid w:val="00264C2C"/>
    <w:rsid w:val="00264C44"/>
    <w:rsid w:val="00264D20"/>
    <w:rsid w:val="00264DE6"/>
    <w:rsid w:val="00264E3E"/>
    <w:rsid w:val="0026507C"/>
    <w:rsid w:val="002650A4"/>
    <w:rsid w:val="00265126"/>
    <w:rsid w:val="0026541C"/>
    <w:rsid w:val="0026544C"/>
    <w:rsid w:val="002654B7"/>
    <w:rsid w:val="0026565D"/>
    <w:rsid w:val="00265732"/>
    <w:rsid w:val="0026574B"/>
    <w:rsid w:val="002657C8"/>
    <w:rsid w:val="00265A14"/>
    <w:rsid w:val="00265A1C"/>
    <w:rsid w:val="00265AB0"/>
    <w:rsid w:val="00265AB6"/>
    <w:rsid w:val="00265C6C"/>
    <w:rsid w:val="00265C72"/>
    <w:rsid w:val="00265C79"/>
    <w:rsid w:val="00265CEE"/>
    <w:rsid w:val="00265D26"/>
    <w:rsid w:val="00265DC2"/>
    <w:rsid w:val="00265E25"/>
    <w:rsid w:val="00265E5E"/>
    <w:rsid w:val="00265F33"/>
    <w:rsid w:val="00265F4D"/>
    <w:rsid w:val="00265FD4"/>
    <w:rsid w:val="00265FDC"/>
    <w:rsid w:val="00265FE2"/>
    <w:rsid w:val="00266062"/>
    <w:rsid w:val="00266157"/>
    <w:rsid w:val="002661A7"/>
    <w:rsid w:val="00266343"/>
    <w:rsid w:val="0026642A"/>
    <w:rsid w:val="002666BB"/>
    <w:rsid w:val="00266793"/>
    <w:rsid w:val="0026687B"/>
    <w:rsid w:val="00266C1B"/>
    <w:rsid w:val="00266D81"/>
    <w:rsid w:val="00266E2E"/>
    <w:rsid w:val="00266EF0"/>
    <w:rsid w:val="00266EFF"/>
    <w:rsid w:val="00266F40"/>
    <w:rsid w:val="00266FBA"/>
    <w:rsid w:val="00267010"/>
    <w:rsid w:val="00267037"/>
    <w:rsid w:val="0026707D"/>
    <w:rsid w:val="00267184"/>
    <w:rsid w:val="002671B2"/>
    <w:rsid w:val="00267213"/>
    <w:rsid w:val="0026727C"/>
    <w:rsid w:val="002672FD"/>
    <w:rsid w:val="00267316"/>
    <w:rsid w:val="00267335"/>
    <w:rsid w:val="0026746F"/>
    <w:rsid w:val="002674FC"/>
    <w:rsid w:val="00267618"/>
    <w:rsid w:val="0026793C"/>
    <w:rsid w:val="00267992"/>
    <w:rsid w:val="00267A26"/>
    <w:rsid w:val="00267B24"/>
    <w:rsid w:val="00267C27"/>
    <w:rsid w:val="00267E13"/>
    <w:rsid w:val="00267E3F"/>
    <w:rsid w:val="00267E6D"/>
    <w:rsid w:val="00267F8B"/>
    <w:rsid w:val="00267F93"/>
    <w:rsid w:val="0027008B"/>
    <w:rsid w:val="0027011B"/>
    <w:rsid w:val="002701B6"/>
    <w:rsid w:val="00270292"/>
    <w:rsid w:val="0027045A"/>
    <w:rsid w:val="002704A4"/>
    <w:rsid w:val="00270666"/>
    <w:rsid w:val="0027067D"/>
    <w:rsid w:val="002707B9"/>
    <w:rsid w:val="002709B2"/>
    <w:rsid w:val="00270AE9"/>
    <w:rsid w:val="00270B31"/>
    <w:rsid w:val="00270C7B"/>
    <w:rsid w:val="00270D34"/>
    <w:rsid w:val="00270D4C"/>
    <w:rsid w:val="00270E27"/>
    <w:rsid w:val="00270E4C"/>
    <w:rsid w:val="00270E50"/>
    <w:rsid w:val="00270F1F"/>
    <w:rsid w:val="00270F9A"/>
    <w:rsid w:val="00270FA1"/>
    <w:rsid w:val="00271238"/>
    <w:rsid w:val="0027145E"/>
    <w:rsid w:val="002714B9"/>
    <w:rsid w:val="002714E8"/>
    <w:rsid w:val="00271817"/>
    <w:rsid w:val="002718D3"/>
    <w:rsid w:val="00271932"/>
    <w:rsid w:val="00271A77"/>
    <w:rsid w:val="00271B04"/>
    <w:rsid w:val="00271B7F"/>
    <w:rsid w:val="00271C46"/>
    <w:rsid w:val="00271CA6"/>
    <w:rsid w:val="00271CD9"/>
    <w:rsid w:val="00271D15"/>
    <w:rsid w:val="00271D95"/>
    <w:rsid w:val="00271E0E"/>
    <w:rsid w:val="00271EDD"/>
    <w:rsid w:val="00271F6E"/>
    <w:rsid w:val="00271FDE"/>
    <w:rsid w:val="0027204F"/>
    <w:rsid w:val="0027208C"/>
    <w:rsid w:val="00272207"/>
    <w:rsid w:val="0027228B"/>
    <w:rsid w:val="0027239B"/>
    <w:rsid w:val="002723E7"/>
    <w:rsid w:val="0027263F"/>
    <w:rsid w:val="0027268B"/>
    <w:rsid w:val="002726B6"/>
    <w:rsid w:val="002726ED"/>
    <w:rsid w:val="002727DD"/>
    <w:rsid w:val="0027285C"/>
    <w:rsid w:val="00272909"/>
    <w:rsid w:val="00272A7B"/>
    <w:rsid w:val="00272C1E"/>
    <w:rsid w:val="00272C59"/>
    <w:rsid w:val="00272CA8"/>
    <w:rsid w:val="00272CBD"/>
    <w:rsid w:val="00272D05"/>
    <w:rsid w:val="00272D54"/>
    <w:rsid w:val="00272E22"/>
    <w:rsid w:val="00272E40"/>
    <w:rsid w:val="00272F96"/>
    <w:rsid w:val="002730D1"/>
    <w:rsid w:val="002731DF"/>
    <w:rsid w:val="002731E8"/>
    <w:rsid w:val="00273265"/>
    <w:rsid w:val="00273322"/>
    <w:rsid w:val="0027340B"/>
    <w:rsid w:val="00273429"/>
    <w:rsid w:val="00273471"/>
    <w:rsid w:val="002737ED"/>
    <w:rsid w:val="0027398B"/>
    <w:rsid w:val="00273A06"/>
    <w:rsid w:val="00273A0C"/>
    <w:rsid w:val="00273A4C"/>
    <w:rsid w:val="00273BE5"/>
    <w:rsid w:val="00273C56"/>
    <w:rsid w:val="00273E6E"/>
    <w:rsid w:val="00273EB0"/>
    <w:rsid w:val="00273F22"/>
    <w:rsid w:val="00273F87"/>
    <w:rsid w:val="00273FCE"/>
    <w:rsid w:val="00274090"/>
    <w:rsid w:val="00274143"/>
    <w:rsid w:val="0027427A"/>
    <w:rsid w:val="0027429F"/>
    <w:rsid w:val="002742FC"/>
    <w:rsid w:val="002745CE"/>
    <w:rsid w:val="00274630"/>
    <w:rsid w:val="00274673"/>
    <w:rsid w:val="0027469C"/>
    <w:rsid w:val="0027472F"/>
    <w:rsid w:val="0027473B"/>
    <w:rsid w:val="00274777"/>
    <w:rsid w:val="0027486F"/>
    <w:rsid w:val="002748FD"/>
    <w:rsid w:val="002749DA"/>
    <w:rsid w:val="00274AC3"/>
    <w:rsid w:val="00274B58"/>
    <w:rsid w:val="00274B8A"/>
    <w:rsid w:val="00274C12"/>
    <w:rsid w:val="00274CF4"/>
    <w:rsid w:val="00274D2C"/>
    <w:rsid w:val="00274D8B"/>
    <w:rsid w:val="00274DB0"/>
    <w:rsid w:val="00274E8C"/>
    <w:rsid w:val="0027504A"/>
    <w:rsid w:val="002750D8"/>
    <w:rsid w:val="002750EE"/>
    <w:rsid w:val="002751FB"/>
    <w:rsid w:val="00275267"/>
    <w:rsid w:val="002752CC"/>
    <w:rsid w:val="0027531A"/>
    <w:rsid w:val="00275453"/>
    <w:rsid w:val="002756FA"/>
    <w:rsid w:val="00275717"/>
    <w:rsid w:val="00275773"/>
    <w:rsid w:val="00275799"/>
    <w:rsid w:val="00275810"/>
    <w:rsid w:val="002759A2"/>
    <w:rsid w:val="00275A35"/>
    <w:rsid w:val="00275AD6"/>
    <w:rsid w:val="00275B39"/>
    <w:rsid w:val="00275BA1"/>
    <w:rsid w:val="00275C09"/>
    <w:rsid w:val="00275ECA"/>
    <w:rsid w:val="00275ED2"/>
    <w:rsid w:val="002760F5"/>
    <w:rsid w:val="00276202"/>
    <w:rsid w:val="00276361"/>
    <w:rsid w:val="0027642A"/>
    <w:rsid w:val="0027644C"/>
    <w:rsid w:val="00276544"/>
    <w:rsid w:val="00276551"/>
    <w:rsid w:val="00276612"/>
    <w:rsid w:val="00276662"/>
    <w:rsid w:val="00276748"/>
    <w:rsid w:val="00276978"/>
    <w:rsid w:val="00276995"/>
    <w:rsid w:val="00276A21"/>
    <w:rsid w:val="00276A59"/>
    <w:rsid w:val="00276B2A"/>
    <w:rsid w:val="00276B8E"/>
    <w:rsid w:val="00276CE4"/>
    <w:rsid w:val="00276D6B"/>
    <w:rsid w:val="00276DF2"/>
    <w:rsid w:val="00276ECD"/>
    <w:rsid w:val="00276EF4"/>
    <w:rsid w:val="00276F10"/>
    <w:rsid w:val="00276F81"/>
    <w:rsid w:val="00276FE7"/>
    <w:rsid w:val="0027706E"/>
    <w:rsid w:val="0027727F"/>
    <w:rsid w:val="002772F0"/>
    <w:rsid w:val="00277328"/>
    <w:rsid w:val="00277382"/>
    <w:rsid w:val="0027748C"/>
    <w:rsid w:val="002774F9"/>
    <w:rsid w:val="00277536"/>
    <w:rsid w:val="0027780C"/>
    <w:rsid w:val="00277896"/>
    <w:rsid w:val="00277B3E"/>
    <w:rsid w:val="00277BE5"/>
    <w:rsid w:val="00277CF2"/>
    <w:rsid w:val="00277D1F"/>
    <w:rsid w:val="00277D68"/>
    <w:rsid w:val="00277DD3"/>
    <w:rsid w:val="0028007E"/>
    <w:rsid w:val="00280094"/>
    <w:rsid w:val="00280134"/>
    <w:rsid w:val="00280221"/>
    <w:rsid w:val="00280316"/>
    <w:rsid w:val="0028031F"/>
    <w:rsid w:val="00280423"/>
    <w:rsid w:val="0028054F"/>
    <w:rsid w:val="002805C6"/>
    <w:rsid w:val="0028060D"/>
    <w:rsid w:val="002806A8"/>
    <w:rsid w:val="002806DE"/>
    <w:rsid w:val="0028073D"/>
    <w:rsid w:val="00280874"/>
    <w:rsid w:val="002809C2"/>
    <w:rsid w:val="002809C4"/>
    <w:rsid w:val="00280A6F"/>
    <w:rsid w:val="00280A77"/>
    <w:rsid w:val="00280AF9"/>
    <w:rsid w:val="00280D05"/>
    <w:rsid w:val="002810CF"/>
    <w:rsid w:val="0028113C"/>
    <w:rsid w:val="0028135C"/>
    <w:rsid w:val="0028137D"/>
    <w:rsid w:val="0028155C"/>
    <w:rsid w:val="0028156A"/>
    <w:rsid w:val="00281626"/>
    <w:rsid w:val="002816D3"/>
    <w:rsid w:val="002816E2"/>
    <w:rsid w:val="00281740"/>
    <w:rsid w:val="002817FB"/>
    <w:rsid w:val="0028193B"/>
    <w:rsid w:val="002819F9"/>
    <w:rsid w:val="00281B01"/>
    <w:rsid w:val="00281C16"/>
    <w:rsid w:val="00281E26"/>
    <w:rsid w:val="00281E37"/>
    <w:rsid w:val="00281E8A"/>
    <w:rsid w:val="00281EC6"/>
    <w:rsid w:val="00281F5D"/>
    <w:rsid w:val="00281FBC"/>
    <w:rsid w:val="00282188"/>
    <w:rsid w:val="002821BF"/>
    <w:rsid w:val="00282219"/>
    <w:rsid w:val="0028222C"/>
    <w:rsid w:val="002822F6"/>
    <w:rsid w:val="00282393"/>
    <w:rsid w:val="002823FC"/>
    <w:rsid w:val="00282438"/>
    <w:rsid w:val="00282479"/>
    <w:rsid w:val="00282534"/>
    <w:rsid w:val="0028253B"/>
    <w:rsid w:val="002825A5"/>
    <w:rsid w:val="002825DC"/>
    <w:rsid w:val="002826D3"/>
    <w:rsid w:val="002827E6"/>
    <w:rsid w:val="002827F1"/>
    <w:rsid w:val="0028282E"/>
    <w:rsid w:val="00282913"/>
    <w:rsid w:val="00282941"/>
    <w:rsid w:val="00282A81"/>
    <w:rsid w:val="00282DE4"/>
    <w:rsid w:val="00282E45"/>
    <w:rsid w:val="00282E7D"/>
    <w:rsid w:val="00282ED1"/>
    <w:rsid w:val="00282F36"/>
    <w:rsid w:val="00282F5B"/>
    <w:rsid w:val="002830B0"/>
    <w:rsid w:val="00283106"/>
    <w:rsid w:val="0028315C"/>
    <w:rsid w:val="00283176"/>
    <w:rsid w:val="00283479"/>
    <w:rsid w:val="00283487"/>
    <w:rsid w:val="0028358A"/>
    <w:rsid w:val="00283653"/>
    <w:rsid w:val="00283788"/>
    <w:rsid w:val="00283813"/>
    <w:rsid w:val="00283882"/>
    <w:rsid w:val="0028388E"/>
    <w:rsid w:val="0028388F"/>
    <w:rsid w:val="002838F0"/>
    <w:rsid w:val="002839E2"/>
    <w:rsid w:val="00283A79"/>
    <w:rsid w:val="00283AC7"/>
    <w:rsid w:val="00283B72"/>
    <w:rsid w:val="00283C57"/>
    <w:rsid w:val="00283C80"/>
    <w:rsid w:val="00283DC9"/>
    <w:rsid w:val="00283EAD"/>
    <w:rsid w:val="00283F63"/>
    <w:rsid w:val="00283FC4"/>
    <w:rsid w:val="002840CA"/>
    <w:rsid w:val="002840E1"/>
    <w:rsid w:val="00284143"/>
    <w:rsid w:val="00284317"/>
    <w:rsid w:val="002843A2"/>
    <w:rsid w:val="00284586"/>
    <w:rsid w:val="002845DA"/>
    <w:rsid w:val="002846A3"/>
    <w:rsid w:val="002847E4"/>
    <w:rsid w:val="002847FF"/>
    <w:rsid w:val="0028484C"/>
    <w:rsid w:val="002849A8"/>
    <w:rsid w:val="002849FA"/>
    <w:rsid w:val="00284B1A"/>
    <w:rsid w:val="00284B9F"/>
    <w:rsid w:val="00284C37"/>
    <w:rsid w:val="00284C80"/>
    <w:rsid w:val="00284CF6"/>
    <w:rsid w:val="00284D1A"/>
    <w:rsid w:val="00284D90"/>
    <w:rsid w:val="00284F30"/>
    <w:rsid w:val="0028504F"/>
    <w:rsid w:val="002850A9"/>
    <w:rsid w:val="002853B3"/>
    <w:rsid w:val="002853BE"/>
    <w:rsid w:val="002853C2"/>
    <w:rsid w:val="00285510"/>
    <w:rsid w:val="002855CE"/>
    <w:rsid w:val="002856EB"/>
    <w:rsid w:val="00285851"/>
    <w:rsid w:val="00285889"/>
    <w:rsid w:val="00285B0C"/>
    <w:rsid w:val="00285B37"/>
    <w:rsid w:val="00285C71"/>
    <w:rsid w:val="00285CA8"/>
    <w:rsid w:val="00285DB3"/>
    <w:rsid w:val="00285E4C"/>
    <w:rsid w:val="00285EC0"/>
    <w:rsid w:val="00285ED3"/>
    <w:rsid w:val="00285F50"/>
    <w:rsid w:val="00286110"/>
    <w:rsid w:val="002861EB"/>
    <w:rsid w:val="00286345"/>
    <w:rsid w:val="002863A0"/>
    <w:rsid w:val="002863C8"/>
    <w:rsid w:val="002863D8"/>
    <w:rsid w:val="00286527"/>
    <w:rsid w:val="00286537"/>
    <w:rsid w:val="0028672A"/>
    <w:rsid w:val="00286730"/>
    <w:rsid w:val="00286739"/>
    <w:rsid w:val="0028679C"/>
    <w:rsid w:val="0028693D"/>
    <w:rsid w:val="00286990"/>
    <w:rsid w:val="00286B50"/>
    <w:rsid w:val="00286CC8"/>
    <w:rsid w:val="00286DC7"/>
    <w:rsid w:val="00286DF8"/>
    <w:rsid w:val="00286E1D"/>
    <w:rsid w:val="00286E59"/>
    <w:rsid w:val="00286F04"/>
    <w:rsid w:val="00286F28"/>
    <w:rsid w:val="00286FF0"/>
    <w:rsid w:val="0028704E"/>
    <w:rsid w:val="002872B7"/>
    <w:rsid w:val="00287343"/>
    <w:rsid w:val="002873EB"/>
    <w:rsid w:val="00287411"/>
    <w:rsid w:val="00287516"/>
    <w:rsid w:val="002875F2"/>
    <w:rsid w:val="00287608"/>
    <w:rsid w:val="0028761C"/>
    <w:rsid w:val="002876F6"/>
    <w:rsid w:val="00287771"/>
    <w:rsid w:val="00287811"/>
    <w:rsid w:val="002878AB"/>
    <w:rsid w:val="00287A05"/>
    <w:rsid w:val="00287C36"/>
    <w:rsid w:val="00287D63"/>
    <w:rsid w:val="00287DDD"/>
    <w:rsid w:val="00287E04"/>
    <w:rsid w:val="00287E9A"/>
    <w:rsid w:val="00287EE5"/>
    <w:rsid w:val="00290006"/>
    <w:rsid w:val="00290054"/>
    <w:rsid w:val="002900C8"/>
    <w:rsid w:val="0029015E"/>
    <w:rsid w:val="00290202"/>
    <w:rsid w:val="002902BB"/>
    <w:rsid w:val="002902C5"/>
    <w:rsid w:val="00290308"/>
    <w:rsid w:val="00290425"/>
    <w:rsid w:val="00290447"/>
    <w:rsid w:val="00290474"/>
    <w:rsid w:val="002904AE"/>
    <w:rsid w:val="002904B6"/>
    <w:rsid w:val="00290502"/>
    <w:rsid w:val="002905D3"/>
    <w:rsid w:val="00290C1D"/>
    <w:rsid w:val="00290C7C"/>
    <w:rsid w:val="00290DB2"/>
    <w:rsid w:val="00290DED"/>
    <w:rsid w:val="00290E0E"/>
    <w:rsid w:val="00290EB7"/>
    <w:rsid w:val="00290F82"/>
    <w:rsid w:val="00290F89"/>
    <w:rsid w:val="0029116C"/>
    <w:rsid w:val="0029127C"/>
    <w:rsid w:val="002913EC"/>
    <w:rsid w:val="002916D5"/>
    <w:rsid w:val="0029174B"/>
    <w:rsid w:val="0029187F"/>
    <w:rsid w:val="00291949"/>
    <w:rsid w:val="00291AE5"/>
    <w:rsid w:val="00291AEB"/>
    <w:rsid w:val="00291D3C"/>
    <w:rsid w:val="00291D4B"/>
    <w:rsid w:val="00291EB0"/>
    <w:rsid w:val="00291FA1"/>
    <w:rsid w:val="00291FDA"/>
    <w:rsid w:val="00292008"/>
    <w:rsid w:val="00292013"/>
    <w:rsid w:val="00292095"/>
    <w:rsid w:val="002920F7"/>
    <w:rsid w:val="00292176"/>
    <w:rsid w:val="0029229B"/>
    <w:rsid w:val="00292527"/>
    <w:rsid w:val="002925A3"/>
    <w:rsid w:val="002925EA"/>
    <w:rsid w:val="002926EC"/>
    <w:rsid w:val="0029281A"/>
    <w:rsid w:val="0029288B"/>
    <w:rsid w:val="002928EF"/>
    <w:rsid w:val="0029293F"/>
    <w:rsid w:val="00292A07"/>
    <w:rsid w:val="00292A09"/>
    <w:rsid w:val="00292A5D"/>
    <w:rsid w:val="00292AB2"/>
    <w:rsid w:val="00292C87"/>
    <w:rsid w:val="00292C8D"/>
    <w:rsid w:val="00292CA8"/>
    <w:rsid w:val="00292CD0"/>
    <w:rsid w:val="00292CDF"/>
    <w:rsid w:val="00292D32"/>
    <w:rsid w:val="00292D7F"/>
    <w:rsid w:val="00292D95"/>
    <w:rsid w:val="00292EF4"/>
    <w:rsid w:val="00292F2F"/>
    <w:rsid w:val="00292F40"/>
    <w:rsid w:val="00292FC6"/>
    <w:rsid w:val="00292FD8"/>
    <w:rsid w:val="0029303B"/>
    <w:rsid w:val="0029312E"/>
    <w:rsid w:val="00293146"/>
    <w:rsid w:val="00293185"/>
    <w:rsid w:val="0029321A"/>
    <w:rsid w:val="0029326A"/>
    <w:rsid w:val="0029327A"/>
    <w:rsid w:val="0029329C"/>
    <w:rsid w:val="00293341"/>
    <w:rsid w:val="0029338B"/>
    <w:rsid w:val="00293390"/>
    <w:rsid w:val="002933F3"/>
    <w:rsid w:val="00293404"/>
    <w:rsid w:val="00293405"/>
    <w:rsid w:val="00293788"/>
    <w:rsid w:val="0029381B"/>
    <w:rsid w:val="0029399F"/>
    <w:rsid w:val="00293AC3"/>
    <w:rsid w:val="00293BCF"/>
    <w:rsid w:val="00293C82"/>
    <w:rsid w:val="00293D53"/>
    <w:rsid w:val="00293E0C"/>
    <w:rsid w:val="00293E4B"/>
    <w:rsid w:val="00293F29"/>
    <w:rsid w:val="002941EB"/>
    <w:rsid w:val="00294299"/>
    <w:rsid w:val="00294331"/>
    <w:rsid w:val="00294462"/>
    <w:rsid w:val="002944F7"/>
    <w:rsid w:val="00294677"/>
    <w:rsid w:val="002946C3"/>
    <w:rsid w:val="00294741"/>
    <w:rsid w:val="002947F0"/>
    <w:rsid w:val="0029485A"/>
    <w:rsid w:val="002948A8"/>
    <w:rsid w:val="002948FF"/>
    <w:rsid w:val="00294914"/>
    <w:rsid w:val="0029493A"/>
    <w:rsid w:val="002949C3"/>
    <w:rsid w:val="002949C9"/>
    <w:rsid w:val="00294B59"/>
    <w:rsid w:val="00294B6A"/>
    <w:rsid w:val="00294F4C"/>
    <w:rsid w:val="002950D6"/>
    <w:rsid w:val="002953CC"/>
    <w:rsid w:val="002954DB"/>
    <w:rsid w:val="002954E1"/>
    <w:rsid w:val="00295728"/>
    <w:rsid w:val="0029574B"/>
    <w:rsid w:val="00295763"/>
    <w:rsid w:val="002957C7"/>
    <w:rsid w:val="002957D0"/>
    <w:rsid w:val="00295899"/>
    <w:rsid w:val="002958BC"/>
    <w:rsid w:val="00295973"/>
    <w:rsid w:val="00295A33"/>
    <w:rsid w:val="00295AAF"/>
    <w:rsid w:val="00295ADF"/>
    <w:rsid w:val="00295B5B"/>
    <w:rsid w:val="00295C65"/>
    <w:rsid w:val="00295C7F"/>
    <w:rsid w:val="00295E92"/>
    <w:rsid w:val="00295EE6"/>
    <w:rsid w:val="00295F5E"/>
    <w:rsid w:val="00295FB2"/>
    <w:rsid w:val="002960B0"/>
    <w:rsid w:val="002961EA"/>
    <w:rsid w:val="0029622F"/>
    <w:rsid w:val="0029626F"/>
    <w:rsid w:val="0029631E"/>
    <w:rsid w:val="00296323"/>
    <w:rsid w:val="00296360"/>
    <w:rsid w:val="002963AC"/>
    <w:rsid w:val="00296572"/>
    <w:rsid w:val="002965CA"/>
    <w:rsid w:val="0029661B"/>
    <w:rsid w:val="00296627"/>
    <w:rsid w:val="002966CE"/>
    <w:rsid w:val="0029680D"/>
    <w:rsid w:val="002968B2"/>
    <w:rsid w:val="00296A62"/>
    <w:rsid w:val="00296B36"/>
    <w:rsid w:val="00296B67"/>
    <w:rsid w:val="00296B83"/>
    <w:rsid w:val="00296C31"/>
    <w:rsid w:val="00296C89"/>
    <w:rsid w:val="00296DBF"/>
    <w:rsid w:val="00296DFD"/>
    <w:rsid w:val="00296E5F"/>
    <w:rsid w:val="00297033"/>
    <w:rsid w:val="002970D0"/>
    <w:rsid w:val="00297117"/>
    <w:rsid w:val="002971E9"/>
    <w:rsid w:val="00297404"/>
    <w:rsid w:val="00297541"/>
    <w:rsid w:val="002975A0"/>
    <w:rsid w:val="00297735"/>
    <w:rsid w:val="0029773F"/>
    <w:rsid w:val="002977E9"/>
    <w:rsid w:val="00297887"/>
    <w:rsid w:val="00297899"/>
    <w:rsid w:val="00297925"/>
    <w:rsid w:val="00297980"/>
    <w:rsid w:val="00297A7A"/>
    <w:rsid w:val="00297A89"/>
    <w:rsid w:val="00297C82"/>
    <w:rsid w:val="00297CEE"/>
    <w:rsid w:val="00297DA4"/>
    <w:rsid w:val="002A002D"/>
    <w:rsid w:val="002A0082"/>
    <w:rsid w:val="002A00F5"/>
    <w:rsid w:val="002A0362"/>
    <w:rsid w:val="002A0370"/>
    <w:rsid w:val="002A03D1"/>
    <w:rsid w:val="002A040E"/>
    <w:rsid w:val="002A0524"/>
    <w:rsid w:val="002A069F"/>
    <w:rsid w:val="002A07A1"/>
    <w:rsid w:val="002A07AC"/>
    <w:rsid w:val="002A081A"/>
    <w:rsid w:val="002A0840"/>
    <w:rsid w:val="002A0AA2"/>
    <w:rsid w:val="002A0B17"/>
    <w:rsid w:val="002A0B6B"/>
    <w:rsid w:val="002A0BCE"/>
    <w:rsid w:val="002A0BE6"/>
    <w:rsid w:val="002A0C32"/>
    <w:rsid w:val="002A0C4C"/>
    <w:rsid w:val="002A0C6E"/>
    <w:rsid w:val="002A0EA6"/>
    <w:rsid w:val="002A1068"/>
    <w:rsid w:val="002A113D"/>
    <w:rsid w:val="002A1153"/>
    <w:rsid w:val="002A115E"/>
    <w:rsid w:val="002A118A"/>
    <w:rsid w:val="002A1191"/>
    <w:rsid w:val="002A1347"/>
    <w:rsid w:val="002A137D"/>
    <w:rsid w:val="002A138D"/>
    <w:rsid w:val="002A14C1"/>
    <w:rsid w:val="002A14CB"/>
    <w:rsid w:val="002A1555"/>
    <w:rsid w:val="002A1849"/>
    <w:rsid w:val="002A1984"/>
    <w:rsid w:val="002A198F"/>
    <w:rsid w:val="002A1BD9"/>
    <w:rsid w:val="002A1D0D"/>
    <w:rsid w:val="002A1D17"/>
    <w:rsid w:val="002A1E59"/>
    <w:rsid w:val="002A1E9C"/>
    <w:rsid w:val="002A1EC7"/>
    <w:rsid w:val="002A1F99"/>
    <w:rsid w:val="002A2028"/>
    <w:rsid w:val="002A203A"/>
    <w:rsid w:val="002A21DF"/>
    <w:rsid w:val="002A23B7"/>
    <w:rsid w:val="002A243C"/>
    <w:rsid w:val="002A26C5"/>
    <w:rsid w:val="002A28AA"/>
    <w:rsid w:val="002A28C1"/>
    <w:rsid w:val="002A29EB"/>
    <w:rsid w:val="002A2A61"/>
    <w:rsid w:val="002A2B73"/>
    <w:rsid w:val="002A2BF8"/>
    <w:rsid w:val="002A2E0F"/>
    <w:rsid w:val="002A2ED6"/>
    <w:rsid w:val="002A2EF8"/>
    <w:rsid w:val="002A3204"/>
    <w:rsid w:val="002A3371"/>
    <w:rsid w:val="002A33EE"/>
    <w:rsid w:val="002A3464"/>
    <w:rsid w:val="002A3568"/>
    <w:rsid w:val="002A35F4"/>
    <w:rsid w:val="002A360E"/>
    <w:rsid w:val="002A3654"/>
    <w:rsid w:val="002A3730"/>
    <w:rsid w:val="002A3800"/>
    <w:rsid w:val="002A3874"/>
    <w:rsid w:val="002A38AF"/>
    <w:rsid w:val="002A38EC"/>
    <w:rsid w:val="002A38F1"/>
    <w:rsid w:val="002A3989"/>
    <w:rsid w:val="002A3A4C"/>
    <w:rsid w:val="002A3A63"/>
    <w:rsid w:val="002A3AE9"/>
    <w:rsid w:val="002A3AF1"/>
    <w:rsid w:val="002A3B0B"/>
    <w:rsid w:val="002A3B0F"/>
    <w:rsid w:val="002A3B6D"/>
    <w:rsid w:val="002A3BBE"/>
    <w:rsid w:val="002A3C16"/>
    <w:rsid w:val="002A3CCB"/>
    <w:rsid w:val="002A3F9E"/>
    <w:rsid w:val="002A4098"/>
    <w:rsid w:val="002A4160"/>
    <w:rsid w:val="002A425D"/>
    <w:rsid w:val="002A42A8"/>
    <w:rsid w:val="002A42B7"/>
    <w:rsid w:val="002A434B"/>
    <w:rsid w:val="002A4413"/>
    <w:rsid w:val="002A457E"/>
    <w:rsid w:val="002A4635"/>
    <w:rsid w:val="002A482F"/>
    <w:rsid w:val="002A4848"/>
    <w:rsid w:val="002A48A1"/>
    <w:rsid w:val="002A490D"/>
    <w:rsid w:val="002A4918"/>
    <w:rsid w:val="002A49F3"/>
    <w:rsid w:val="002A4A53"/>
    <w:rsid w:val="002A4C6E"/>
    <w:rsid w:val="002A4D18"/>
    <w:rsid w:val="002A4D84"/>
    <w:rsid w:val="002A4FD7"/>
    <w:rsid w:val="002A4FFF"/>
    <w:rsid w:val="002A5007"/>
    <w:rsid w:val="002A50B8"/>
    <w:rsid w:val="002A5121"/>
    <w:rsid w:val="002A5263"/>
    <w:rsid w:val="002A53B2"/>
    <w:rsid w:val="002A543B"/>
    <w:rsid w:val="002A54D2"/>
    <w:rsid w:val="002A557A"/>
    <w:rsid w:val="002A589F"/>
    <w:rsid w:val="002A59BE"/>
    <w:rsid w:val="002A5B01"/>
    <w:rsid w:val="002A5B1D"/>
    <w:rsid w:val="002A5BB2"/>
    <w:rsid w:val="002A5BF2"/>
    <w:rsid w:val="002A5C6D"/>
    <w:rsid w:val="002A5DC6"/>
    <w:rsid w:val="002A5E9D"/>
    <w:rsid w:val="002A5EE2"/>
    <w:rsid w:val="002A6188"/>
    <w:rsid w:val="002A6283"/>
    <w:rsid w:val="002A639D"/>
    <w:rsid w:val="002A63CC"/>
    <w:rsid w:val="002A63D7"/>
    <w:rsid w:val="002A6413"/>
    <w:rsid w:val="002A6537"/>
    <w:rsid w:val="002A6670"/>
    <w:rsid w:val="002A6761"/>
    <w:rsid w:val="002A68AB"/>
    <w:rsid w:val="002A6965"/>
    <w:rsid w:val="002A6A3D"/>
    <w:rsid w:val="002A6ABF"/>
    <w:rsid w:val="002A6AEE"/>
    <w:rsid w:val="002A6D03"/>
    <w:rsid w:val="002A6DFF"/>
    <w:rsid w:val="002A6E56"/>
    <w:rsid w:val="002A6F39"/>
    <w:rsid w:val="002A6F66"/>
    <w:rsid w:val="002A70BB"/>
    <w:rsid w:val="002A72C6"/>
    <w:rsid w:val="002A73CA"/>
    <w:rsid w:val="002A75F6"/>
    <w:rsid w:val="002A777F"/>
    <w:rsid w:val="002A77C5"/>
    <w:rsid w:val="002A7839"/>
    <w:rsid w:val="002A78A6"/>
    <w:rsid w:val="002A79C5"/>
    <w:rsid w:val="002A79D1"/>
    <w:rsid w:val="002A7A21"/>
    <w:rsid w:val="002A7A46"/>
    <w:rsid w:val="002A7B24"/>
    <w:rsid w:val="002A7D2F"/>
    <w:rsid w:val="002A7E7C"/>
    <w:rsid w:val="002A7EC4"/>
    <w:rsid w:val="002A7F18"/>
    <w:rsid w:val="002B001A"/>
    <w:rsid w:val="002B010D"/>
    <w:rsid w:val="002B0149"/>
    <w:rsid w:val="002B035C"/>
    <w:rsid w:val="002B0396"/>
    <w:rsid w:val="002B03A7"/>
    <w:rsid w:val="002B05A3"/>
    <w:rsid w:val="002B061E"/>
    <w:rsid w:val="002B06FC"/>
    <w:rsid w:val="002B073A"/>
    <w:rsid w:val="002B08CD"/>
    <w:rsid w:val="002B0920"/>
    <w:rsid w:val="002B0AA4"/>
    <w:rsid w:val="002B0AE4"/>
    <w:rsid w:val="002B0C99"/>
    <w:rsid w:val="002B0CC3"/>
    <w:rsid w:val="002B0E8F"/>
    <w:rsid w:val="002B0EAD"/>
    <w:rsid w:val="002B0F0E"/>
    <w:rsid w:val="002B0F89"/>
    <w:rsid w:val="002B1007"/>
    <w:rsid w:val="002B1031"/>
    <w:rsid w:val="002B112D"/>
    <w:rsid w:val="002B1164"/>
    <w:rsid w:val="002B1198"/>
    <w:rsid w:val="002B11AD"/>
    <w:rsid w:val="002B14E7"/>
    <w:rsid w:val="002B1641"/>
    <w:rsid w:val="002B1679"/>
    <w:rsid w:val="002B17AF"/>
    <w:rsid w:val="002B18A9"/>
    <w:rsid w:val="002B190C"/>
    <w:rsid w:val="002B19F0"/>
    <w:rsid w:val="002B1B16"/>
    <w:rsid w:val="002B1B4E"/>
    <w:rsid w:val="002B1B9C"/>
    <w:rsid w:val="002B1BC4"/>
    <w:rsid w:val="002B1CB7"/>
    <w:rsid w:val="002B1D38"/>
    <w:rsid w:val="002B1DAB"/>
    <w:rsid w:val="002B1E72"/>
    <w:rsid w:val="002B1E74"/>
    <w:rsid w:val="002B1EB2"/>
    <w:rsid w:val="002B218A"/>
    <w:rsid w:val="002B21AD"/>
    <w:rsid w:val="002B21CB"/>
    <w:rsid w:val="002B2219"/>
    <w:rsid w:val="002B237A"/>
    <w:rsid w:val="002B240D"/>
    <w:rsid w:val="002B256D"/>
    <w:rsid w:val="002B2593"/>
    <w:rsid w:val="002B26E6"/>
    <w:rsid w:val="002B2727"/>
    <w:rsid w:val="002B286B"/>
    <w:rsid w:val="002B2ABF"/>
    <w:rsid w:val="002B2B46"/>
    <w:rsid w:val="002B2CB3"/>
    <w:rsid w:val="002B2EB2"/>
    <w:rsid w:val="002B3087"/>
    <w:rsid w:val="002B3172"/>
    <w:rsid w:val="002B323E"/>
    <w:rsid w:val="002B3292"/>
    <w:rsid w:val="002B32EE"/>
    <w:rsid w:val="002B331D"/>
    <w:rsid w:val="002B3324"/>
    <w:rsid w:val="002B340E"/>
    <w:rsid w:val="002B3433"/>
    <w:rsid w:val="002B3451"/>
    <w:rsid w:val="002B34EA"/>
    <w:rsid w:val="002B34FC"/>
    <w:rsid w:val="002B35B3"/>
    <w:rsid w:val="002B3668"/>
    <w:rsid w:val="002B3774"/>
    <w:rsid w:val="002B38B9"/>
    <w:rsid w:val="002B398C"/>
    <w:rsid w:val="002B3A27"/>
    <w:rsid w:val="002B3A31"/>
    <w:rsid w:val="002B3BF6"/>
    <w:rsid w:val="002B3D4C"/>
    <w:rsid w:val="002B3E00"/>
    <w:rsid w:val="002B3F0F"/>
    <w:rsid w:val="002B3F12"/>
    <w:rsid w:val="002B3FE5"/>
    <w:rsid w:val="002B4027"/>
    <w:rsid w:val="002B40E0"/>
    <w:rsid w:val="002B414C"/>
    <w:rsid w:val="002B439B"/>
    <w:rsid w:val="002B44AE"/>
    <w:rsid w:val="002B46BD"/>
    <w:rsid w:val="002B477D"/>
    <w:rsid w:val="002B489D"/>
    <w:rsid w:val="002B48BF"/>
    <w:rsid w:val="002B493F"/>
    <w:rsid w:val="002B49D0"/>
    <w:rsid w:val="002B4B45"/>
    <w:rsid w:val="002B4DF3"/>
    <w:rsid w:val="002B4F3C"/>
    <w:rsid w:val="002B50B7"/>
    <w:rsid w:val="002B513E"/>
    <w:rsid w:val="002B516A"/>
    <w:rsid w:val="002B5170"/>
    <w:rsid w:val="002B5290"/>
    <w:rsid w:val="002B5321"/>
    <w:rsid w:val="002B5373"/>
    <w:rsid w:val="002B547F"/>
    <w:rsid w:val="002B5541"/>
    <w:rsid w:val="002B5606"/>
    <w:rsid w:val="002B569A"/>
    <w:rsid w:val="002B56EE"/>
    <w:rsid w:val="002B59A5"/>
    <w:rsid w:val="002B5A28"/>
    <w:rsid w:val="002B5A4D"/>
    <w:rsid w:val="002B5A4E"/>
    <w:rsid w:val="002B5A65"/>
    <w:rsid w:val="002B5B85"/>
    <w:rsid w:val="002B5C88"/>
    <w:rsid w:val="002B5D2B"/>
    <w:rsid w:val="002B5E8B"/>
    <w:rsid w:val="002B5EAF"/>
    <w:rsid w:val="002B5ED6"/>
    <w:rsid w:val="002B5FD8"/>
    <w:rsid w:val="002B6008"/>
    <w:rsid w:val="002B602E"/>
    <w:rsid w:val="002B608B"/>
    <w:rsid w:val="002B60A3"/>
    <w:rsid w:val="002B622E"/>
    <w:rsid w:val="002B622F"/>
    <w:rsid w:val="002B64DB"/>
    <w:rsid w:val="002B668D"/>
    <w:rsid w:val="002B66F2"/>
    <w:rsid w:val="002B673F"/>
    <w:rsid w:val="002B688A"/>
    <w:rsid w:val="002B68E5"/>
    <w:rsid w:val="002B6A15"/>
    <w:rsid w:val="002B6A40"/>
    <w:rsid w:val="002B6A79"/>
    <w:rsid w:val="002B6B37"/>
    <w:rsid w:val="002B6C0F"/>
    <w:rsid w:val="002B6C82"/>
    <w:rsid w:val="002B6DAF"/>
    <w:rsid w:val="002B6DD9"/>
    <w:rsid w:val="002B6FD0"/>
    <w:rsid w:val="002B7015"/>
    <w:rsid w:val="002B726C"/>
    <w:rsid w:val="002B741A"/>
    <w:rsid w:val="002B7436"/>
    <w:rsid w:val="002B753E"/>
    <w:rsid w:val="002B759B"/>
    <w:rsid w:val="002B75C7"/>
    <w:rsid w:val="002B7609"/>
    <w:rsid w:val="002B7614"/>
    <w:rsid w:val="002B7707"/>
    <w:rsid w:val="002B79E2"/>
    <w:rsid w:val="002B7A97"/>
    <w:rsid w:val="002B7AE5"/>
    <w:rsid w:val="002B7AFD"/>
    <w:rsid w:val="002B7B2F"/>
    <w:rsid w:val="002B7B3F"/>
    <w:rsid w:val="002B7CB9"/>
    <w:rsid w:val="002B7F27"/>
    <w:rsid w:val="002B7FC8"/>
    <w:rsid w:val="002B7FF7"/>
    <w:rsid w:val="002C0201"/>
    <w:rsid w:val="002C020C"/>
    <w:rsid w:val="002C0404"/>
    <w:rsid w:val="002C0431"/>
    <w:rsid w:val="002C045B"/>
    <w:rsid w:val="002C0508"/>
    <w:rsid w:val="002C0725"/>
    <w:rsid w:val="002C07FA"/>
    <w:rsid w:val="002C084C"/>
    <w:rsid w:val="002C095D"/>
    <w:rsid w:val="002C0C28"/>
    <w:rsid w:val="002C0CA1"/>
    <w:rsid w:val="002C0CA4"/>
    <w:rsid w:val="002C0CE8"/>
    <w:rsid w:val="002C0D8D"/>
    <w:rsid w:val="002C0DF2"/>
    <w:rsid w:val="002C0E90"/>
    <w:rsid w:val="002C0F29"/>
    <w:rsid w:val="002C0F70"/>
    <w:rsid w:val="002C0FED"/>
    <w:rsid w:val="002C1096"/>
    <w:rsid w:val="002C1389"/>
    <w:rsid w:val="002C146E"/>
    <w:rsid w:val="002C146F"/>
    <w:rsid w:val="002C1473"/>
    <w:rsid w:val="002C1732"/>
    <w:rsid w:val="002C1808"/>
    <w:rsid w:val="002C18EF"/>
    <w:rsid w:val="002C193F"/>
    <w:rsid w:val="002C19CC"/>
    <w:rsid w:val="002C1A12"/>
    <w:rsid w:val="002C1A2E"/>
    <w:rsid w:val="002C1A4B"/>
    <w:rsid w:val="002C1A9C"/>
    <w:rsid w:val="002C1B44"/>
    <w:rsid w:val="002C1BD0"/>
    <w:rsid w:val="002C1BE2"/>
    <w:rsid w:val="002C1DAB"/>
    <w:rsid w:val="002C1E29"/>
    <w:rsid w:val="002C1F86"/>
    <w:rsid w:val="002C1FB9"/>
    <w:rsid w:val="002C2084"/>
    <w:rsid w:val="002C20A0"/>
    <w:rsid w:val="002C2207"/>
    <w:rsid w:val="002C22BF"/>
    <w:rsid w:val="002C22E9"/>
    <w:rsid w:val="002C2436"/>
    <w:rsid w:val="002C256C"/>
    <w:rsid w:val="002C259F"/>
    <w:rsid w:val="002C2663"/>
    <w:rsid w:val="002C26B0"/>
    <w:rsid w:val="002C26B8"/>
    <w:rsid w:val="002C26DE"/>
    <w:rsid w:val="002C27BE"/>
    <w:rsid w:val="002C2823"/>
    <w:rsid w:val="002C28B2"/>
    <w:rsid w:val="002C29A3"/>
    <w:rsid w:val="002C29DC"/>
    <w:rsid w:val="002C2B4D"/>
    <w:rsid w:val="002C2D49"/>
    <w:rsid w:val="002C2DF9"/>
    <w:rsid w:val="002C2F1B"/>
    <w:rsid w:val="002C31E6"/>
    <w:rsid w:val="002C32CA"/>
    <w:rsid w:val="002C330C"/>
    <w:rsid w:val="002C331A"/>
    <w:rsid w:val="002C33DD"/>
    <w:rsid w:val="002C37A9"/>
    <w:rsid w:val="002C3822"/>
    <w:rsid w:val="002C3863"/>
    <w:rsid w:val="002C3870"/>
    <w:rsid w:val="002C3944"/>
    <w:rsid w:val="002C396B"/>
    <w:rsid w:val="002C39A8"/>
    <w:rsid w:val="002C3A77"/>
    <w:rsid w:val="002C3C72"/>
    <w:rsid w:val="002C3C7D"/>
    <w:rsid w:val="002C3D94"/>
    <w:rsid w:val="002C3DA7"/>
    <w:rsid w:val="002C3DAD"/>
    <w:rsid w:val="002C3E8E"/>
    <w:rsid w:val="002C3F3F"/>
    <w:rsid w:val="002C42A4"/>
    <w:rsid w:val="002C4585"/>
    <w:rsid w:val="002C4599"/>
    <w:rsid w:val="002C461E"/>
    <w:rsid w:val="002C475F"/>
    <w:rsid w:val="002C4788"/>
    <w:rsid w:val="002C4884"/>
    <w:rsid w:val="002C488E"/>
    <w:rsid w:val="002C489D"/>
    <w:rsid w:val="002C48C7"/>
    <w:rsid w:val="002C48F5"/>
    <w:rsid w:val="002C4AB1"/>
    <w:rsid w:val="002C4AD6"/>
    <w:rsid w:val="002C4AF2"/>
    <w:rsid w:val="002C4B0D"/>
    <w:rsid w:val="002C4C8B"/>
    <w:rsid w:val="002C4CB3"/>
    <w:rsid w:val="002C4D0B"/>
    <w:rsid w:val="002C4E64"/>
    <w:rsid w:val="002C51C4"/>
    <w:rsid w:val="002C51EB"/>
    <w:rsid w:val="002C521E"/>
    <w:rsid w:val="002C5258"/>
    <w:rsid w:val="002C5347"/>
    <w:rsid w:val="002C544A"/>
    <w:rsid w:val="002C54C3"/>
    <w:rsid w:val="002C5556"/>
    <w:rsid w:val="002C5694"/>
    <w:rsid w:val="002C569F"/>
    <w:rsid w:val="002C56C1"/>
    <w:rsid w:val="002C5A5E"/>
    <w:rsid w:val="002C5AD1"/>
    <w:rsid w:val="002C5B3B"/>
    <w:rsid w:val="002C5E73"/>
    <w:rsid w:val="002C6008"/>
    <w:rsid w:val="002C640A"/>
    <w:rsid w:val="002C652B"/>
    <w:rsid w:val="002C6533"/>
    <w:rsid w:val="002C658B"/>
    <w:rsid w:val="002C6610"/>
    <w:rsid w:val="002C6650"/>
    <w:rsid w:val="002C685B"/>
    <w:rsid w:val="002C68D7"/>
    <w:rsid w:val="002C69E2"/>
    <w:rsid w:val="002C6D40"/>
    <w:rsid w:val="002C6EDA"/>
    <w:rsid w:val="002C70F3"/>
    <w:rsid w:val="002C71B8"/>
    <w:rsid w:val="002C7254"/>
    <w:rsid w:val="002C72C3"/>
    <w:rsid w:val="002C7418"/>
    <w:rsid w:val="002C7579"/>
    <w:rsid w:val="002C7590"/>
    <w:rsid w:val="002C75A6"/>
    <w:rsid w:val="002C75D7"/>
    <w:rsid w:val="002C7705"/>
    <w:rsid w:val="002C7775"/>
    <w:rsid w:val="002C77C2"/>
    <w:rsid w:val="002C7834"/>
    <w:rsid w:val="002C7854"/>
    <w:rsid w:val="002C786B"/>
    <w:rsid w:val="002C78DE"/>
    <w:rsid w:val="002C792E"/>
    <w:rsid w:val="002C7933"/>
    <w:rsid w:val="002C7A7C"/>
    <w:rsid w:val="002C7C8C"/>
    <w:rsid w:val="002C7D51"/>
    <w:rsid w:val="002C7D9E"/>
    <w:rsid w:val="002C7FFE"/>
    <w:rsid w:val="002D005D"/>
    <w:rsid w:val="002D00B1"/>
    <w:rsid w:val="002D0278"/>
    <w:rsid w:val="002D030D"/>
    <w:rsid w:val="002D0326"/>
    <w:rsid w:val="002D03A9"/>
    <w:rsid w:val="002D03D6"/>
    <w:rsid w:val="002D05D0"/>
    <w:rsid w:val="002D0698"/>
    <w:rsid w:val="002D0727"/>
    <w:rsid w:val="002D07ED"/>
    <w:rsid w:val="002D07EF"/>
    <w:rsid w:val="002D0857"/>
    <w:rsid w:val="002D08F0"/>
    <w:rsid w:val="002D0A23"/>
    <w:rsid w:val="002D0C36"/>
    <w:rsid w:val="002D0C62"/>
    <w:rsid w:val="002D0C7B"/>
    <w:rsid w:val="002D0E6B"/>
    <w:rsid w:val="002D0E9C"/>
    <w:rsid w:val="002D0F07"/>
    <w:rsid w:val="002D0F6E"/>
    <w:rsid w:val="002D0FD9"/>
    <w:rsid w:val="002D100B"/>
    <w:rsid w:val="002D11F2"/>
    <w:rsid w:val="002D120A"/>
    <w:rsid w:val="002D1384"/>
    <w:rsid w:val="002D139A"/>
    <w:rsid w:val="002D15C1"/>
    <w:rsid w:val="002D1616"/>
    <w:rsid w:val="002D171B"/>
    <w:rsid w:val="002D1760"/>
    <w:rsid w:val="002D1B6C"/>
    <w:rsid w:val="002D1B94"/>
    <w:rsid w:val="002D1D1E"/>
    <w:rsid w:val="002D1EDB"/>
    <w:rsid w:val="002D1FA1"/>
    <w:rsid w:val="002D1FC1"/>
    <w:rsid w:val="002D20C0"/>
    <w:rsid w:val="002D2219"/>
    <w:rsid w:val="002D22DA"/>
    <w:rsid w:val="002D2303"/>
    <w:rsid w:val="002D2339"/>
    <w:rsid w:val="002D2448"/>
    <w:rsid w:val="002D2602"/>
    <w:rsid w:val="002D2641"/>
    <w:rsid w:val="002D26BA"/>
    <w:rsid w:val="002D26DF"/>
    <w:rsid w:val="002D2767"/>
    <w:rsid w:val="002D2799"/>
    <w:rsid w:val="002D27B2"/>
    <w:rsid w:val="002D281C"/>
    <w:rsid w:val="002D28AF"/>
    <w:rsid w:val="002D2945"/>
    <w:rsid w:val="002D29C8"/>
    <w:rsid w:val="002D2A6C"/>
    <w:rsid w:val="002D2A80"/>
    <w:rsid w:val="002D2AC9"/>
    <w:rsid w:val="002D2ACD"/>
    <w:rsid w:val="002D2BE5"/>
    <w:rsid w:val="002D2C37"/>
    <w:rsid w:val="002D2CD4"/>
    <w:rsid w:val="002D2D68"/>
    <w:rsid w:val="002D2DA1"/>
    <w:rsid w:val="002D2E18"/>
    <w:rsid w:val="002D308B"/>
    <w:rsid w:val="002D316C"/>
    <w:rsid w:val="002D3170"/>
    <w:rsid w:val="002D317D"/>
    <w:rsid w:val="002D3314"/>
    <w:rsid w:val="002D3354"/>
    <w:rsid w:val="002D3374"/>
    <w:rsid w:val="002D34D7"/>
    <w:rsid w:val="002D35EC"/>
    <w:rsid w:val="002D3773"/>
    <w:rsid w:val="002D3894"/>
    <w:rsid w:val="002D38E2"/>
    <w:rsid w:val="002D3948"/>
    <w:rsid w:val="002D3AC0"/>
    <w:rsid w:val="002D3C15"/>
    <w:rsid w:val="002D3CF2"/>
    <w:rsid w:val="002D3D0D"/>
    <w:rsid w:val="002D3D44"/>
    <w:rsid w:val="002D3DC5"/>
    <w:rsid w:val="002D3E7A"/>
    <w:rsid w:val="002D4067"/>
    <w:rsid w:val="002D4070"/>
    <w:rsid w:val="002D407D"/>
    <w:rsid w:val="002D40AA"/>
    <w:rsid w:val="002D40BD"/>
    <w:rsid w:val="002D40C1"/>
    <w:rsid w:val="002D4188"/>
    <w:rsid w:val="002D41DA"/>
    <w:rsid w:val="002D436A"/>
    <w:rsid w:val="002D4431"/>
    <w:rsid w:val="002D44CE"/>
    <w:rsid w:val="002D44FD"/>
    <w:rsid w:val="002D458C"/>
    <w:rsid w:val="002D45A8"/>
    <w:rsid w:val="002D4616"/>
    <w:rsid w:val="002D46FB"/>
    <w:rsid w:val="002D4772"/>
    <w:rsid w:val="002D4790"/>
    <w:rsid w:val="002D479D"/>
    <w:rsid w:val="002D47B5"/>
    <w:rsid w:val="002D47C2"/>
    <w:rsid w:val="002D4946"/>
    <w:rsid w:val="002D498A"/>
    <w:rsid w:val="002D4B11"/>
    <w:rsid w:val="002D4DA0"/>
    <w:rsid w:val="002D4F3A"/>
    <w:rsid w:val="002D4F99"/>
    <w:rsid w:val="002D4FE5"/>
    <w:rsid w:val="002D5045"/>
    <w:rsid w:val="002D52B6"/>
    <w:rsid w:val="002D5446"/>
    <w:rsid w:val="002D5471"/>
    <w:rsid w:val="002D5499"/>
    <w:rsid w:val="002D54BD"/>
    <w:rsid w:val="002D5585"/>
    <w:rsid w:val="002D57C4"/>
    <w:rsid w:val="002D5829"/>
    <w:rsid w:val="002D58B7"/>
    <w:rsid w:val="002D5A97"/>
    <w:rsid w:val="002D5B4B"/>
    <w:rsid w:val="002D5B6B"/>
    <w:rsid w:val="002D5D12"/>
    <w:rsid w:val="002D5D45"/>
    <w:rsid w:val="002D5D9F"/>
    <w:rsid w:val="002D607E"/>
    <w:rsid w:val="002D620F"/>
    <w:rsid w:val="002D6254"/>
    <w:rsid w:val="002D627E"/>
    <w:rsid w:val="002D62A2"/>
    <w:rsid w:val="002D62C1"/>
    <w:rsid w:val="002D6376"/>
    <w:rsid w:val="002D63FF"/>
    <w:rsid w:val="002D6451"/>
    <w:rsid w:val="002D64ED"/>
    <w:rsid w:val="002D653D"/>
    <w:rsid w:val="002D65AE"/>
    <w:rsid w:val="002D66DE"/>
    <w:rsid w:val="002D671B"/>
    <w:rsid w:val="002D682A"/>
    <w:rsid w:val="002D6855"/>
    <w:rsid w:val="002D6883"/>
    <w:rsid w:val="002D68DC"/>
    <w:rsid w:val="002D6914"/>
    <w:rsid w:val="002D6945"/>
    <w:rsid w:val="002D6A09"/>
    <w:rsid w:val="002D6A1F"/>
    <w:rsid w:val="002D6C02"/>
    <w:rsid w:val="002D6C36"/>
    <w:rsid w:val="002D6C7D"/>
    <w:rsid w:val="002D6CC5"/>
    <w:rsid w:val="002D6DAD"/>
    <w:rsid w:val="002D6EA9"/>
    <w:rsid w:val="002D6F5C"/>
    <w:rsid w:val="002D6F65"/>
    <w:rsid w:val="002D7000"/>
    <w:rsid w:val="002D70A4"/>
    <w:rsid w:val="002D718C"/>
    <w:rsid w:val="002D73A5"/>
    <w:rsid w:val="002D73AC"/>
    <w:rsid w:val="002D7510"/>
    <w:rsid w:val="002D753D"/>
    <w:rsid w:val="002D7603"/>
    <w:rsid w:val="002D7A13"/>
    <w:rsid w:val="002D7A91"/>
    <w:rsid w:val="002D7ACE"/>
    <w:rsid w:val="002D7AF4"/>
    <w:rsid w:val="002D7B2A"/>
    <w:rsid w:val="002D7B95"/>
    <w:rsid w:val="002D7CCC"/>
    <w:rsid w:val="002D7D57"/>
    <w:rsid w:val="002D7DFA"/>
    <w:rsid w:val="002D7E4B"/>
    <w:rsid w:val="002D7ED3"/>
    <w:rsid w:val="002E00D9"/>
    <w:rsid w:val="002E013E"/>
    <w:rsid w:val="002E0183"/>
    <w:rsid w:val="002E01CC"/>
    <w:rsid w:val="002E02D5"/>
    <w:rsid w:val="002E02E3"/>
    <w:rsid w:val="002E0435"/>
    <w:rsid w:val="002E048A"/>
    <w:rsid w:val="002E0490"/>
    <w:rsid w:val="002E05D3"/>
    <w:rsid w:val="002E0678"/>
    <w:rsid w:val="002E0682"/>
    <w:rsid w:val="002E0828"/>
    <w:rsid w:val="002E0862"/>
    <w:rsid w:val="002E090A"/>
    <w:rsid w:val="002E0A4D"/>
    <w:rsid w:val="002E0C45"/>
    <w:rsid w:val="002E0C88"/>
    <w:rsid w:val="002E0DD0"/>
    <w:rsid w:val="002E0E14"/>
    <w:rsid w:val="002E0EAE"/>
    <w:rsid w:val="002E1114"/>
    <w:rsid w:val="002E1127"/>
    <w:rsid w:val="002E1186"/>
    <w:rsid w:val="002E118F"/>
    <w:rsid w:val="002E11BF"/>
    <w:rsid w:val="002E13AD"/>
    <w:rsid w:val="002E1417"/>
    <w:rsid w:val="002E14E3"/>
    <w:rsid w:val="002E1691"/>
    <w:rsid w:val="002E16C1"/>
    <w:rsid w:val="002E185B"/>
    <w:rsid w:val="002E1934"/>
    <w:rsid w:val="002E1967"/>
    <w:rsid w:val="002E19A5"/>
    <w:rsid w:val="002E1A13"/>
    <w:rsid w:val="002E1B90"/>
    <w:rsid w:val="002E1C82"/>
    <w:rsid w:val="002E1CD0"/>
    <w:rsid w:val="002E1E20"/>
    <w:rsid w:val="002E1E94"/>
    <w:rsid w:val="002E1E9C"/>
    <w:rsid w:val="002E1FAB"/>
    <w:rsid w:val="002E1FD0"/>
    <w:rsid w:val="002E2008"/>
    <w:rsid w:val="002E200B"/>
    <w:rsid w:val="002E2036"/>
    <w:rsid w:val="002E20D1"/>
    <w:rsid w:val="002E2160"/>
    <w:rsid w:val="002E2265"/>
    <w:rsid w:val="002E2386"/>
    <w:rsid w:val="002E23E5"/>
    <w:rsid w:val="002E2531"/>
    <w:rsid w:val="002E2723"/>
    <w:rsid w:val="002E2855"/>
    <w:rsid w:val="002E29E9"/>
    <w:rsid w:val="002E29F6"/>
    <w:rsid w:val="002E2A24"/>
    <w:rsid w:val="002E2A42"/>
    <w:rsid w:val="002E2C50"/>
    <w:rsid w:val="002E2CA8"/>
    <w:rsid w:val="002E2CF6"/>
    <w:rsid w:val="002E2D58"/>
    <w:rsid w:val="002E2D84"/>
    <w:rsid w:val="002E2DC4"/>
    <w:rsid w:val="002E2F71"/>
    <w:rsid w:val="002E31BF"/>
    <w:rsid w:val="002E31F2"/>
    <w:rsid w:val="002E32BF"/>
    <w:rsid w:val="002E32ED"/>
    <w:rsid w:val="002E333C"/>
    <w:rsid w:val="002E334F"/>
    <w:rsid w:val="002E338A"/>
    <w:rsid w:val="002E3478"/>
    <w:rsid w:val="002E34E6"/>
    <w:rsid w:val="002E3573"/>
    <w:rsid w:val="002E35E9"/>
    <w:rsid w:val="002E3818"/>
    <w:rsid w:val="002E3917"/>
    <w:rsid w:val="002E3A94"/>
    <w:rsid w:val="002E3AB5"/>
    <w:rsid w:val="002E3CF6"/>
    <w:rsid w:val="002E3D92"/>
    <w:rsid w:val="002E3DCA"/>
    <w:rsid w:val="002E3EC0"/>
    <w:rsid w:val="002E3F63"/>
    <w:rsid w:val="002E402B"/>
    <w:rsid w:val="002E409C"/>
    <w:rsid w:val="002E41AD"/>
    <w:rsid w:val="002E438A"/>
    <w:rsid w:val="002E43A3"/>
    <w:rsid w:val="002E445E"/>
    <w:rsid w:val="002E452B"/>
    <w:rsid w:val="002E4590"/>
    <w:rsid w:val="002E470E"/>
    <w:rsid w:val="002E48C2"/>
    <w:rsid w:val="002E48CC"/>
    <w:rsid w:val="002E48DD"/>
    <w:rsid w:val="002E497A"/>
    <w:rsid w:val="002E4A9B"/>
    <w:rsid w:val="002E4AAB"/>
    <w:rsid w:val="002E4BEC"/>
    <w:rsid w:val="002E4CD6"/>
    <w:rsid w:val="002E4D95"/>
    <w:rsid w:val="002E4DAC"/>
    <w:rsid w:val="002E4ECF"/>
    <w:rsid w:val="002E4F18"/>
    <w:rsid w:val="002E4FAF"/>
    <w:rsid w:val="002E504F"/>
    <w:rsid w:val="002E518F"/>
    <w:rsid w:val="002E520F"/>
    <w:rsid w:val="002E5250"/>
    <w:rsid w:val="002E5259"/>
    <w:rsid w:val="002E525A"/>
    <w:rsid w:val="002E5263"/>
    <w:rsid w:val="002E5543"/>
    <w:rsid w:val="002E5575"/>
    <w:rsid w:val="002E557B"/>
    <w:rsid w:val="002E5590"/>
    <w:rsid w:val="002E5643"/>
    <w:rsid w:val="002E571C"/>
    <w:rsid w:val="002E57F8"/>
    <w:rsid w:val="002E5879"/>
    <w:rsid w:val="002E592C"/>
    <w:rsid w:val="002E59A9"/>
    <w:rsid w:val="002E5AAF"/>
    <w:rsid w:val="002E5AB6"/>
    <w:rsid w:val="002E5AB8"/>
    <w:rsid w:val="002E5B4C"/>
    <w:rsid w:val="002E5B80"/>
    <w:rsid w:val="002E5C1A"/>
    <w:rsid w:val="002E5C3A"/>
    <w:rsid w:val="002E5C9D"/>
    <w:rsid w:val="002E5DAE"/>
    <w:rsid w:val="002E5DF0"/>
    <w:rsid w:val="002E5DFD"/>
    <w:rsid w:val="002E5E51"/>
    <w:rsid w:val="002E5F55"/>
    <w:rsid w:val="002E5F79"/>
    <w:rsid w:val="002E5FD6"/>
    <w:rsid w:val="002E6028"/>
    <w:rsid w:val="002E605B"/>
    <w:rsid w:val="002E60BA"/>
    <w:rsid w:val="002E60E6"/>
    <w:rsid w:val="002E62FD"/>
    <w:rsid w:val="002E6454"/>
    <w:rsid w:val="002E653B"/>
    <w:rsid w:val="002E658A"/>
    <w:rsid w:val="002E65EE"/>
    <w:rsid w:val="002E68BB"/>
    <w:rsid w:val="002E68F6"/>
    <w:rsid w:val="002E6B0B"/>
    <w:rsid w:val="002E6B58"/>
    <w:rsid w:val="002E6BA7"/>
    <w:rsid w:val="002E6BB3"/>
    <w:rsid w:val="002E6C76"/>
    <w:rsid w:val="002E6D8F"/>
    <w:rsid w:val="002E6DC9"/>
    <w:rsid w:val="002E6DFE"/>
    <w:rsid w:val="002E6E13"/>
    <w:rsid w:val="002E6EDA"/>
    <w:rsid w:val="002E6FD2"/>
    <w:rsid w:val="002E7118"/>
    <w:rsid w:val="002E7155"/>
    <w:rsid w:val="002E7338"/>
    <w:rsid w:val="002E7374"/>
    <w:rsid w:val="002E738D"/>
    <w:rsid w:val="002E7427"/>
    <w:rsid w:val="002E74BB"/>
    <w:rsid w:val="002E763F"/>
    <w:rsid w:val="002E7697"/>
    <w:rsid w:val="002E7748"/>
    <w:rsid w:val="002E7849"/>
    <w:rsid w:val="002E79D4"/>
    <w:rsid w:val="002E7A46"/>
    <w:rsid w:val="002E7A6C"/>
    <w:rsid w:val="002E7A90"/>
    <w:rsid w:val="002E7B9D"/>
    <w:rsid w:val="002E7BDC"/>
    <w:rsid w:val="002E7CE8"/>
    <w:rsid w:val="002E7D1E"/>
    <w:rsid w:val="002E7EC3"/>
    <w:rsid w:val="002E7EC6"/>
    <w:rsid w:val="002E7F27"/>
    <w:rsid w:val="002E7F9C"/>
    <w:rsid w:val="002F0007"/>
    <w:rsid w:val="002F000F"/>
    <w:rsid w:val="002F009E"/>
    <w:rsid w:val="002F0146"/>
    <w:rsid w:val="002F0218"/>
    <w:rsid w:val="002F03A4"/>
    <w:rsid w:val="002F0463"/>
    <w:rsid w:val="002F04BE"/>
    <w:rsid w:val="002F07E9"/>
    <w:rsid w:val="002F08D6"/>
    <w:rsid w:val="002F0944"/>
    <w:rsid w:val="002F09DD"/>
    <w:rsid w:val="002F0A9F"/>
    <w:rsid w:val="002F0C2D"/>
    <w:rsid w:val="002F0D44"/>
    <w:rsid w:val="002F0E53"/>
    <w:rsid w:val="002F0FA5"/>
    <w:rsid w:val="002F0FD1"/>
    <w:rsid w:val="002F116E"/>
    <w:rsid w:val="002F138F"/>
    <w:rsid w:val="002F13E0"/>
    <w:rsid w:val="002F141F"/>
    <w:rsid w:val="002F148D"/>
    <w:rsid w:val="002F1625"/>
    <w:rsid w:val="002F16CF"/>
    <w:rsid w:val="002F1702"/>
    <w:rsid w:val="002F192E"/>
    <w:rsid w:val="002F197C"/>
    <w:rsid w:val="002F199A"/>
    <w:rsid w:val="002F19F2"/>
    <w:rsid w:val="002F1A22"/>
    <w:rsid w:val="002F1A48"/>
    <w:rsid w:val="002F1A61"/>
    <w:rsid w:val="002F1B00"/>
    <w:rsid w:val="002F1B25"/>
    <w:rsid w:val="002F1BFB"/>
    <w:rsid w:val="002F1DC2"/>
    <w:rsid w:val="002F1DCC"/>
    <w:rsid w:val="002F1E76"/>
    <w:rsid w:val="002F1FE0"/>
    <w:rsid w:val="002F2064"/>
    <w:rsid w:val="002F2138"/>
    <w:rsid w:val="002F21CC"/>
    <w:rsid w:val="002F22EB"/>
    <w:rsid w:val="002F243F"/>
    <w:rsid w:val="002F2499"/>
    <w:rsid w:val="002F24E5"/>
    <w:rsid w:val="002F253F"/>
    <w:rsid w:val="002F2632"/>
    <w:rsid w:val="002F270E"/>
    <w:rsid w:val="002F27B8"/>
    <w:rsid w:val="002F283C"/>
    <w:rsid w:val="002F287E"/>
    <w:rsid w:val="002F28B2"/>
    <w:rsid w:val="002F295A"/>
    <w:rsid w:val="002F2B0A"/>
    <w:rsid w:val="002F2CD9"/>
    <w:rsid w:val="002F2D15"/>
    <w:rsid w:val="002F2D3A"/>
    <w:rsid w:val="002F2D94"/>
    <w:rsid w:val="002F2E4D"/>
    <w:rsid w:val="002F2F7D"/>
    <w:rsid w:val="002F2FB2"/>
    <w:rsid w:val="002F31C7"/>
    <w:rsid w:val="002F327C"/>
    <w:rsid w:val="002F32DE"/>
    <w:rsid w:val="002F3332"/>
    <w:rsid w:val="002F337C"/>
    <w:rsid w:val="002F3563"/>
    <w:rsid w:val="002F35E2"/>
    <w:rsid w:val="002F36B9"/>
    <w:rsid w:val="002F3761"/>
    <w:rsid w:val="002F3773"/>
    <w:rsid w:val="002F3A32"/>
    <w:rsid w:val="002F3BB4"/>
    <w:rsid w:val="002F3C40"/>
    <w:rsid w:val="002F3E80"/>
    <w:rsid w:val="002F3EBE"/>
    <w:rsid w:val="002F3ED3"/>
    <w:rsid w:val="002F3F87"/>
    <w:rsid w:val="002F4100"/>
    <w:rsid w:val="002F41E0"/>
    <w:rsid w:val="002F4329"/>
    <w:rsid w:val="002F4453"/>
    <w:rsid w:val="002F449E"/>
    <w:rsid w:val="002F44A1"/>
    <w:rsid w:val="002F4508"/>
    <w:rsid w:val="002F451D"/>
    <w:rsid w:val="002F451E"/>
    <w:rsid w:val="002F4651"/>
    <w:rsid w:val="002F46E3"/>
    <w:rsid w:val="002F4749"/>
    <w:rsid w:val="002F47C5"/>
    <w:rsid w:val="002F47CF"/>
    <w:rsid w:val="002F4804"/>
    <w:rsid w:val="002F489D"/>
    <w:rsid w:val="002F48C8"/>
    <w:rsid w:val="002F4945"/>
    <w:rsid w:val="002F49AC"/>
    <w:rsid w:val="002F4A06"/>
    <w:rsid w:val="002F4B0E"/>
    <w:rsid w:val="002F4D2E"/>
    <w:rsid w:val="002F4DEA"/>
    <w:rsid w:val="002F4E26"/>
    <w:rsid w:val="002F4F34"/>
    <w:rsid w:val="002F50A2"/>
    <w:rsid w:val="002F5197"/>
    <w:rsid w:val="002F5303"/>
    <w:rsid w:val="002F5452"/>
    <w:rsid w:val="002F56EA"/>
    <w:rsid w:val="002F57D0"/>
    <w:rsid w:val="002F588F"/>
    <w:rsid w:val="002F5894"/>
    <w:rsid w:val="002F58FB"/>
    <w:rsid w:val="002F596A"/>
    <w:rsid w:val="002F5971"/>
    <w:rsid w:val="002F59F3"/>
    <w:rsid w:val="002F59F9"/>
    <w:rsid w:val="002F5B0F"/>
    <w:rsid w:val="002F5EA1"/>
    <w:rsid w:val="002F5EEE"/>
    <w:rsid w:val="002F5F01"/>
    <w:rsid w:val="002F6210"/>
    <w:rsid w:val="002F63E3"/>
    <w:rsid w:val="002F6548"/>
    <w:rsid w:val="002F6622"/>
    <w:rsid w:val="002F684C"/>
    <w:rsid w:val="002F6989"/>
    <w:rsid w:val="002F6A85"/>
    <w:rsid w:val="002F6C44"/>
    <w:rsid w:val="002F6E3F"/>
    <w:rsid w:val="002F6E4B"/>
    <w:rsid w:val="002F6F4E"/>
    <w:rsid w:val="002F6F91"/>
    <w:rsid w:val="002F7087"/>
    <w:rsid w:val="002F70B2"/>
    <w:rsid w:val="002F70DB"/>
    <w:rsid w:val="002F712F"/>
    <w:rsid w:val="002F719F"/>
    <w:rsid w:val="002F721C"/>
    <w:rsid w:val="002F7256"/>
    <w:rsid w:val="002F7421"/>
    <w:rsid w:val="002F750A"/>
    <w:rsid w:val="002F754B"/>
    <w:rsid w:val="002F7580"/>
    <w:rsid w:val="002F771A"/>
    <w:rsid w:val="002F778D"/>
    <w:rsid w:val="002F780D"/>
    <w:rsid w:val="002F782A"/>
    <w:rsid w:val="002F792D"/>
    <w:rsid w:val="002F79E0"/>
    <w:rsid w:val="002F7B14"/>
    <w:rsid w:val="002F7C06"/>
    <w:rsid w:val="002F7CBE"/>
    <w:rsid w:val="002F7F80"/>
    <w:rsid w:val="00300143"/>
    <w:rsid w:val="00300157"/>
    <w:rsid w:val="00300187"/>
    <w:rsid w:val="00300234"/>
    <w:rsid w:val="003002C9"/>
    <w:rsid w:val="00300345"/>
    <w:rsid w:val="00300594"/>
    <w:rsid w:val="00300652"/>
    <w:rsid w:val="00300666"/>
    <w:rsid w:val="0030069E"/>
    <w:rsid w:val="003007A7"/>
    <w:rsid w:val="00300808"/>
    <w:rsid w:val="00300989"/>
    <w:rsid w:val="003009F4"/>
    <w:rsid w:val="00300BD7"/>
    <w:rsid w:val="00300C0E"/>
    <w:rsid w:val="00300C46"/>
    <w:rsid w:val="00300D5B"/>
    <w:rsid w:val="00300F44"/>
    <w:rsid w:val="00300F81"/>
    <w:rsid w:val="00301011"/>
    <w:rsid w:val="003011EC"/>
    <w:rsid w:val="00301272"/>
    <w:rsid w:val="00301392"/>
    <w:rsid w:val="0030140E"/>
    <w:rsid w:val="00301413"/>
    <w:rsid w:val="003014C1"/>
    <w:rsid w:val="00301512"/>
    <w:rsid w:val="0030164C"/>
    <w:rsid w:val="003017E1"/>
    <w:rsid w:val="003018AF"/>
    <w:rsid w:val="0030190C"/>
    <w:rsid w:val="003019C6"/>
    <w:rsid w:val="00301A1F"/>
    <w:rsid w:val="0030200C"/>
    <w:rsid w:val="00302014"/>
    <w:rsid w:val="00302056"/>
    <w:rsid w:val="0030219B"/>
    <w:rsid w:val="003021CC"/>
    <w:rsid w:val="00302286"/>
    <w:rsid w:val="003022CC"/>
    <w:rsid w:val="003023AB"/>
    <w:rsid w:val="003023CB"/>
    <w:rsid w:val="003023F6"/>
    <w:rsid w:val="00302426"/>
    <w:rsid w:val="0030243B"/>
    <w:rsid w:val="00302A0E"/>
    <w:rsid w:val="00302B5A"/>
    <w:rsid w:val="00302C04"/>
    <w:rsid w:val="00302C0A"/>
    <w:rsid w:val="00302C2A"/>
    <w:rsid w:val="00302E06"/>
    <w:rsid w:val="00302E6F"/>
    <w:rsid w:val="00302EF3"/>
    <w:rsid w:val="00302F1D"/>
    <w:rsid w:val="00303048"/>
    <w:rsid w:val="003030E1"/>
    <w:rsid w:val="0030316B"/>
    <w:rsid w:val="0030316F"/>
    <w:rsid w:val="0030326B"/>
    <w:rsid w:val="0030331B"/>
    <w:rsid w:val="00303456"/>
    <w:rsid w:val="003034BB"/>
    <w:rsid w:val="00303512"/>
    <w:rsid w:val="0030365F"/>
    <w:rsid w:val="003036A1"/>
    <w:rsid w:val="003038C0"/>
    <w:rsid w:val="0030397C"/>
    <w:rsid w:val="00303B31"/>
    <w:rsid w:val="00303CAE"/>
    <w:rsid w:val="00303D59"/>
    <w:rsid w:val="00303E6A"/>
    <w:rsid w:val="00303F1C"/>
    <w:rsid w:val="00303F96"/>
    <w:rsid w:val="003040C4"/>
    <w:rsid w:val="003041D1"/>
    <w:rsid w:val="00304214"/>
    <w:rsid w:val="003042F5"/>
    <w:rsid w:val="00304334"/>
    <w:rsid w:val="00304371"/>
    <w:rsid w:val="0030438B"/>
    <w:rsid w:val="003043AA"/>
    <w:rsid w:val="00304428"/>
    <w:rsid w:val="00304483"/>
    <w:rsid w:val="00304497"/>
    <w:rsid w:val="003044E0"/>
    <w:rsid w:val="00304663"/>
    <w:rsid w:val="00304822"/>
    <w:rsid w:val="003048FA"/>
    <w:rsid w:val="00304B97"/>
    <w:rsid w:val="00304BA2"/>
    <w:rsid w:val="00304BA9"/>
    <w:rsid w:val="00304BC5"/>
    <w:rsid w:val="00304CA4"/>
    <w:rsid w:val="00304CC9"/>
    <w:rsid w:val="00304EEA"/>
    <w:rsid w:val="00304F4A"/>
    <w:rsid w:val="00304F93"/>
    <w:rsid w:val="003050ED"/>
    <w:rsid w:val="00305300"/>
    <w:rsid w:val="00305382"/>
    <w:rsid w:val="003053DB"/>
    <w:rsid w:val="00305401"/>
    <w:rsid w:val="003055B8"/>
    <w:rsid w:val="003055D4"/>
    <w:rsid w:val="003055E8"/>
    <w:rsid w:val="003056FB"/>
    <w:rsid w:val="00305724"/>
    <w:rsid w:val="003057C2"/>
    <w:rsid w:val="0030581A"/>
    <w:rsid w:val="0030581D"/>
    <w:rsid w:val="00305867"/>
    <w:rsid w:val="003059B4"/>
    <w:rsid w:val="003059FA"/>
    <w:rsid w:val="00305A71"/>
    <w:rsid w:val="00305A74"/>
    <w:rsid w:val="00305C66"/>
    <w:rsid w:val="00305C71"/>
    <w:rsid w:val="00305D42"/>
    <w:rsid w:val="00305D79"/>
    <w:rsid w:val="00305EAB"/>
    <w:rsid w:val="00305F17"/>
    <w:rsid w:val="00305F6F"/>
    <w:rsid w:val="0030602F"/>
    <w:rsid w:val="00306486"/>
    <w:rsid w:val="00306657"/>
    <w:rsid w:val="00306679"/>
    <w:rsid w:val="0030687B"/>
    <w:rsid w:val="0030694E"/>
    <w:rsid w:val="003069F5"/>
    <w:rsid w:val="00306A5A"/>
    <w:rsid w:val="00306B1F"/>
    <w:rsid w:val="00306CEF"/>
    <w:rsid w:val="00306D61"/>
    <w:rsid w:val="00306D97"/>
    <w:rsid w:val="00306DA0"/>
    <w:rsid w:val="00306DB8"/>
    <w:rsid w:val="00306DF0"/>
    <w:rsid w:val="00306E2C"/>
    <w:rsid w:val="00306E65"/>
    <w:rsid w:val="00306EB1"/>
    <w:rsid w:val="00306ED3"/>
    <w:rsid w:val="00306EDF"/>
    <w:rsid w:val="00306F47"/>
    <w:rsid w:val="00306FCD"/>
    <w:rsid w:val="0030709A"/>
    <w:rsid w:val="003070F7"/>
    <w:rsid w:val="0030712C"/>
    <w:rsid w:val="00307184"/>
    <w:rsid w:val="003071C2"/>
    <w:rsid w:val="003072A6"/>
    <w:rsid w:val="003072E6"/>
    <w:rsid w:val="00307300"/>
    <w:rsid w:val="003073C0"/>
    <w:rsid w:val="0030744B"/>
    <w:rsid w:val="0030745A"/>
    <w:rsid w:val="00307461"/>
    <w:rsid w:val="0030747A"/>
    <w:rsid w:val="0030758A"/>
    <w:rsid w:val="003075D0"/>
    <w:rsid w:val="00307605"/>
    <w:rsid w:val="0030771F"/>
    <w:rsid w:val="0030772D"/>
    <w:rsid w:val="0030777E"/>
    <w:rsid w:val="003077A3"/>
    <w:rsid w:val="003078D6"/>
    <w:rsid w:val="003079CB"/>
    <w:rsid w:val="00307ABF"/>
    <w:rsid w:val="00307B62"/>
    <w:rsid w:val="00307BFB"/>
    <w:rsid w:val="00307CAC"/>
    <w:rsid w:val="00307D3D"/>
    <w:rsid w:val="00307D4F"/>
    <w:rsid w:val="00307D6B"/>
    <w:rsid w:val="00307DEF"/>
    <w:rsid w:val="0031000D"/>
    <w:rsid w:val="00310012"/>
    <w:rsid w:val="0031003B"/>
    <w:rsid w:val="00310144"/>
    <w:rsid w:val="00310151"/>
    <w:rsid w:val="003101BC"/>
    <w:rsid w:val="00310278"/>
    <w:rsid w:val="0031028A"/>
    <w:rsid w:val="003102C3"/>
    <w:rsid w:val="00310333"/>
    <w:rsid w:val="00310449"/>
    <w:rsid w:val="00310518"/>
    <w:rsid w:val="003105A9"/>
    <w:rsid w:val="0031078C"/>
    <w:rsid w:val="003107B9"/>
    <w:rsid w:val="00310846"/>
    <w:rsid w:val="003108AD"/>
    <w:rsid w:val="003108B7"/>
    <w:rsid w:val="003108C4"/>
    <w:rsid w:val="00310937"/>
    <w:rsid w:val="003109A1"/>
    <w:rsid w:val="00310B5F"/>
    <w:rsid w:val="00310BBA"/>
    <w:rsid w:val="00310C27"/>
    <w:rsid w:val="00310C43"/>
    <w:rsid w:val="00310D5C"/>
    <w:rsid w:val="00310D95"/>
    <w:rsid w:val="00310E10"/>
    <w:rsid w:val="00310EF0"/>
    <w:rsid w:val="00310F11"/>
    <w:rsid w:val="00310F9B"/>
    <w:rsid w:val="00310FD9"/>
    <w:rsid w:val="0031104D"/>
    <w:rsid w:val="00311085"/>
    <w:rsid w:val="00311165"/>
    <w:rsid w:val="003111F3"/>
    <w:rsid w:val="00311201"/>
    <w:rsid w:val="0031124A"/>
    <w:rsid w:val="00311251"/>
    <w:rsid w:val="00311268"/>
    <w:rsid w:val="00311331"/>
    <w:rsid w:val="00311392"/>
    <w:rsid w:val="00311413"/>
    <w:rsid w:val="003114EA"/>
    <w:rsid w:val="00311520"/>
    <w:rsid w:val="00311777"/>
    <w:rsid w:val="003117B6"/>
    <w:rsid w:val="003117D8"/>
    <w:rsid w:val="0031199E"/>
    <w:rsid w:val="00311AB2"/>
    <w:rsid w:val="00311AC1"/>
    <w:rsid w:val="00311D96"/>
    <w:rsid w:val="00311DB9"/>
    <w:rsid w:val="00311E0E"/>
    <w:rsid w:val="00311E52"/>
    <w:rsid w:val="00311E87"/>
    <w:rsid w:val="00312071"/>
    <w:rsid w:val="003120B1"/>
    <w:rsid w:val="003120E7"/>
    <w:rsid w:val="0031211A"/>
    <w:rsid w:val="00312325"/>
    <w:rsid w:val="00312337"/>
    <w:rsid w:val="003123E7"/>
    <w:rsid w:val="0031249E"/>
    <w:rsid w:val="00312538"/>
    <w:rsid w:val="00312635"/>
    <w:rsid w:val="003128D1"/>
    <w:rsid w:val="00312910"/>
    <w:rsid w:val="00312958"/>
    <w:rsid w:val="003129AB"/>
    <w:rsid w:val="00312A3E"/>
    <w:rsid w:val="00312AE4"/>
    <w:rsid w:val="00312B7E"/>
    <w:rsid w:val="00312C90"/>
    <w:rsid w:val="00312DBA"/>
    <w:rsid w:val="00312E28"/>
    <w:rsid w:val="00312F2B"/>
    <w:rsid w:val="00312F79"/>
    <w:rsid w:val="00312FE7"/>
    <w:rsid w:val="0031305A"/>
    <w:rsid w:val="0031314D"/>
    <w:rsid w:val="00313267"/>
    <w:rsid w:val="003132B3"/>
    <w:rsid w:val="0031330A"/>
    <w:rsid w:val="003133A3"/>
    <w:rsid w:val="003133E0"/>
    <w:rsid w:val="00313405"/>
    <w:rsid w:val="0031341C"/>
    <w:rsid w:val="00313428"/>
    <w:rsid w:val="00313594"/>
    <w:rsid w:val="0031368B"/>
    <w:rsid w:val="00313752"/>
    <w:rsid w:val="0031377F"/>
    <w:rsid w:val="00313899"/>
    <w:rsid w:val="0031399E"/>
    <w:rsid w:val="00313A06"/>
    <w:rsid w:val="00313AE4"/>
    <w:rsid w:val="00313BF7"/>
    <w:rsid w:val="00313E2E"/>
    <w:rsid w:val="00314107"/>
    <w:rsid w:val="0031414C"/>
    <w:rsid w:val="003142C6"/>
    <w:rsid w:val="003143D4"/>
    <w:rsid w:val="003143E1"/>
    <w:rsid w:val="00314415"/>
    <w:rsid w:val="0031445B"/>
    <w:rsid w:val="0031468B"/>
    <w:rsid w:val="003146AE"/>
    <w:rsid w:val="0031471B"/>
    <w:rsid w:val="00314841"/>
    <w:rsid w:val="003148A7"/>
    <w:rsid w:val="0031493C"/>
    <w:rsid w:val="0031496B"/>
    <w:rsid w:val="0031498C"/>
    <w:rsid w:val="00314A76"/>
    <w:rsid w:val="00314BA8"/>
    <w:rsid w:val="00314C14"/>
    <w:rsid w:val="00314DEA"/>
    <w:rsid w:val="00314F86"/>
    <w:rsid w:val="00314FA1"/>
    <w:rsid w:val="00314FF3"/>
    <w:rsid w:val="003150A9"/>
    <w:rsid w:val="00315167"/>
    <w:rsid w:val="0031529D"/>
    <w:rsid w:val="0031564F"/>
    <w:rsid w:val="00315804"/>
    <w:rsid w:val="00315829"/>
    <w:rsid w:val="00315885"/>
    <w:rsid w:val="00315962"/>
    <w:rsid w:val="00315A17"/>
    <w:rsid w:val="00315B0F"/>
    <w:rsid w:val="00315BC0"/>
    <w:rsid w:val="00315CFE"/>
    <w:rsid w:val="00315D70"/>
    <w:rsid w:val="00315DEB"/>
    <w:rsid w:val="00315E6B"/>
    <w:rsid w:val="00315F6B"/>
    <w:rsid w:val="00316019"/>
    <w:rsid w:val="0031609E"/>
    <w:rsid w:val="0031615B"/>
    <w:rsid w:val="003161C2"/>
    <w:rsid w:val="00316235"/>
    <w:rsid w:val="0031637A"/>
    <w:rsid w:val="003163F8"/>
    <w:rsid w:val="003164C9"/>
    <w:rsid w:val="00316507"/>
    <w:rsid w:val="0031665E"/>
    <w:rsid w:val="003168CA"/>
    <w:rsid w:val="00316963"/>
    <w:rsid w:val="00316A16"/>
    <w:rsid w:val="00316BE1"/>
    <w:rsid w:val="00316C2B"/>
    <w:rsid w:val="00316D13"/>
    <w:rsid w:val="00316F4B"/>
    <w:rsid w:val="0031725E"/>
    <w:rsid w:val="00317265"/>
    <w:rsid w:val="00317379"/>
    <w:rsid w:val="003173A7"/>
    <w:rsid w:val="00317598"/>
    <w:rsid w:val="00317602"/>
    <w:rsid w:val="0031764D"/>
    <w:rsid w:val="003177CE"/>
    <w:rsid w:val="003178F2"/>
    <w:rsid w:val="00317935"/>
    <w:rsid w:val="00317943"/>
    <w:rsid w:val="0031795C"/>
    <w:rsid w:val="00317992"/>
    <w:rsid w:val="003179FB"/>
    <w:rsid w:val="00317A2F"/>
    <w:rsid w:val="00317AC2"/>
    <w:rsid w:val="00317B74"/>
    <w:rsid w:val="00317B88"/>
    <w:rsid w:val="00317BA5"/>
    <w:rsid w:val="00317C54"/>
    <w:rsid w:val="00317C87"/>
    <w:rsid w:val="00317D85"/>
    <w:rsid w:val="003200EC"/>
    <w:rsid w:val="003202C4"/>
    <w:rsid w:val="00320380"/>
    <w:rsid w:val="00320429"/>
    <w:rsid w:val="00320455"/>
    <w:rsid w:val="00320485"/>
    <w:rsid w:val="0032065F"/>
    <w:rsid w:val="003206C3"/>
    <w:rsid w:val="00320749"/>
    <w:rsid w:val="00320A46"/>
    <w:rsid w:val="00320ABE"/>
    <w:rsid w:val="00320ABF"/>
    <w:rsid w:val="00320AE6"/>
    <w:rsid w:val="00320B19"/>
    <w:rsid w:val="00320C6B"/>
    <w:rsid w:val="00320F7E"/>
    <w:rsid w:val="00320FC1"/>
    <w:rsid w:val="00320FC7"/>
    <w:rsid w:val="003211E5"/>
    <w:rsid w:val="0032129A"/>
    <w:rsid w:val="003213D0"/>
    <w:rsid w:val="0032154C"/>
    <w:rsid w:val="003215F3"/>
    <w:rsid w:val="003215F7"/>
    <w:rsid w:val="003216DA"/>
    <w:rsid w:val="00321746"/>
    <w:rsid w:val="00321A17"/>
    <w:rsid w:val="00321C34"/>
    <w:rsid w:val="00321FCF"/>
    <w:rsid w:val="0032210D"/>
    <w:rsid w:val="003221DF"/>
    <w:rsid w:val="0032223B"/>
    <w:rsid w:val="00322543"/>
    <w:rsid w:val="0032297E"/>
    <w:rsid w:val="00322B0E"/>
    <w:rsid w:val="00322B1D"/>
    <w:rsid w:val="00322B4A"/>
    <w:rsid w:val="00322E9F"/>
    <w:rsid w:val="00322EFB"/>
    <w:rsid w:val="00322FAB"/>
    <w:rsid w:val="00323002"/>
    <w:rsid w:val="00323081"/>
    <w:rsid w:val="00323145"/>
    <w:rsid w:val="003231AE"/>
    <w:rsid w:val="00323241"/>
    <w:rsid w:val="003232DB"/>
    <w:rsid w:val="00323843"/>
    <w:rsid w:val="0032391A"/>
    <w:rsid w:val="0032397C"/>
    <w:rsid w:val="003239B5"/>
    <w:rsid w:val="00323A62"/>
    <w:rsid w:val="00323A8A"/>
    <w:rsid w:val="00323BCE"/>
    <w:rsid w:val="00323D99"/>
    <w:rsid w:val="00323DCF"/>
    <w:rsid w:val="00323E0D"/>
    <w:rsid w:val="00323E57"/>
    <w:rsid w:val="00323F47"/>
    <w:rsid w:val="003240BD"/>
    <w:rsid w:val="003240EC"/>
    <w:rsid w:val="00324133"/>
    <w:rsid w:val="0032438F"/>
    <w:rsid w:val="003247D2"/>
    <w:rsid w:val="00324B67"/>
    <w:rsid w:val="00324BBD"/>
    <w:rsid w:val="00324DCA"/>
    <w:rsid w:val="00324EAE"/>
    <w:rsid w:val="00324ECD"/>
    <w:rsid w:val="00324F45"/>
    <w:rsid w:val="00324F7D"/>
    <w:rsid w:val="00325229"/>
    <w:rsid w:val="0032526B"/>
    <w:rsid w:val="00325518"/>
    <w:rsid w:val="00325705"/>
    <w:rsid w:val="0032571A"/>
    <w:rsid w:val="0032590B"/>
    <w:rsid w:val="00325A62"/>
    <w:rsid w:val="00325A82"/>
    <w:rsid w:val="00325BDD"/>
    <w:rsid w:val="00325BF2"/>
    <w:rsid w:val="00325D51"/>
    <w:rsid w:val="00325F06"/>
    <w:rsid w:val="00325F0A"/>
    <w:rsid w:val="0032604E"/>
    <w:rsid w:val="00326087"/>
    <w:rsid w:val="003260E1"/>
    <w:rsid w:val="003261F1"/>
    <w:rsid w:val="0032626A"/>
    <w:rsid w:val="003263CD"/>
    <w:rsid w:val="00326406"/>
    <w:rsid w:val="00326521"/>
    <w:rsid w:val="0032660E"/>
    <w:rsid w:val="00326785"/>
    <w:rsid w:val="00326788"/>
    <w:rsid w:val="003268CE"/>
    <w:rsid w:val="0032697B"/>
    <w:rsid w:val="00326AAE"/>
    <w:rsid w:val="00326B76"/>
    <w:rsid w:val="00326C12"/>
    <w:rsid w:val="00326C92"/>
    <w:rsid w:val="00326DA7"/>
    <w:rsid w:val="00326F51"/>
    <w:rsid w:val="00326F6F"/>
    <w:rsid w:val="003270AD"/>
    <w:rsid w:val="003271BD"/>
    <w:rsid w:val="003271BF"/>
    <w:rsid w:val="003272F1"/>
    <w:rsid w:val="00327493"/>
    <w:rsid w:val="003275EC"/>
    <w:rsid w:val="003276C5"/>
    <w:rsid w:val="003276D6"/>
    <w:rsid w:val="00327861"/>
    <w:rsid w:val="00327895"/>
    <w:rsid w:val="003278AB"/>
    <w:rsid w:val="003278D6"/>
    <w:rsid w:val="00327923"/>
    <w:rsid w:val="00327A1B"/>
    <w:rsid w:val="00327A83"/>
    <w:rsid w:val="00327A8A"/>
    <w:rsid w:val="00327AF9"/>
    <w:rsid w:val="00327BF1"/>
    <w:rsid w:val="00327C54"/>
    <w:rsid w:val="00327C72"/>
    <w:rsid w:val="00327D5C"/>
    <w:rsid w:val="00327E50"/>
    <w:rsid w:val="00327E92"/>
    <w:rsid w:val="00327EBE"/>
    <w:rsid w:val="00327F38"/>
    <w:rsid w:val="00330044"/>
    <w:rsid w:val="00330237"/>
    <w:rsid w:val="0033033A"/>
    <w:rsid w:val="00330381"/>
    <w:rsid w:val="00330455"/>
    <w:rsid w:val="003304CD"/>
    <w:rsid w:val="003305BB"/>
    <w:rsid w:val="00330611"/>
    <w:rsid w:val="003306AA"/>
    <w:rsid w:val="003307F0"/>
    <w:rsid w:val="0033080B"/>
    <w:rsid w:val="00330857"/>
    <w:rsid w:val="00330890"/>
    <w:rsid w:val="00330B4F"/>
    <w:rsid w:val="00330B8C"/>
    <w:rsid w:val="00330B9D"/>
    <w:rsid w:val="00330BB9"/>
    <w:rsid w:val="00330D4C"/>
    <w:rsid w:val="0033110E"/>
    <w:rsid w:val="00331349"/>
    <w:rsid w:val="003314C3"/>
    <w:rsid w:val="003314EB"/>
    <w:rsid w:val="003315A9"/>
    <w:rsid w:val="003315E8"/>
    <w:rsid w:val="00331654"/>
    <w:rsid w:val="0033170C"/>
    <w:rsid w:val="0033171C"/>
    <w:rsid w:val="0033174E"/>
    <w:rsid w:val="00331835"/>
    <w:rsid w:val="00331934"/>
    <w:rsid w:val="00331945"/>
    <w:rsid w:val="003319E4"/>
    <w:rsid w:val="00331A11"/>
    <w:rsid w:val="00331A36"/>
    <w:rsid w:val="00331A68"/>
    <w:rsid w:val="00331B31"/>
    <w:rsid w:val="00331BA0"/>
    <w:rsid w:val="00331C42"/>
    <w:rsid w:val="00331C55"/>
    <w:rsid w:val="00331CB3"/>
    <w:rsid w:val="00331D03"/>
    <w:rsid w:val="00331E3D"/>
    <w:rsid w:val="00331E61"/>
    <w:rsid w:val="00331F7F"/>
    <w:rsid w:val="00332010"/>
    <w:rsid w:val="00332044"/>
    <w:rsid w:val="003320AF"/>
    <w:rsid w:val="0033211E"/>
    <w:rsid w:val="003321CE"/>
    <w:rsid w:val="003322CB"/>
    <w:rsid w:val="003322F1"/>
    <w:rsid w:val="00332327"/>
    <w:rsid w:val="0033234B"/>
    <w:rsid w:val="003323AE"/>
    <w:rsid w:val="003324F5"/>
    <w:rsid w:val="00332583"/>
    <w:rsid w:val="0033259A"/>
    <w:rsid w:val="003325CA"/>
    <w:rsid w:val="003326D8"/>
    <w:rsid w:val="00332785"/>
    <w:rsid w:val="00332A81"/>
    <w:rsid w:val="00332A86"/>
    <w:rsid w:val="00332AC7"/>
    <w:rsid w:val="00332B20"/>
    <w:rsid w:val="00332B84"/>
    <w:rsid w:val="00332CED"/>
    <w:rsid w:val="00332D2F"/>
    <w:rsid w:val="00332D95"/>
    <w:rsid w:val="00332E43"/>
    <w:rsid w:val="00332FA3"/>
    <w:rsid w:val="00332FCE"/>
    <w:rsid w:val="0033303C"/>
    <w:rsid w:val="00333115"/>
    <w:rsid w:val="00333159"/>
    <w:rsid w:val="003331B4"/>
    <w:rsid w:val="00333207"/>
    <w:rsid w:val="00333247"/>
    <w:rsid w:val="00333390"/>
    <w:rsid w:val="003333BD"/>
    <w:rsid w:val="003334AA"/>
    <w:rsid w:val="00333511"/>
    <w:rsid w:val="00333564"/>
    <w:rsid w:val="00333626"/>
    <w:rsid w:val="00333627"/>
    <w:rsid w:val="00333666"/>
    <w:rsid w:val="0033386D"/>
    <w:rsid w:val="00333B0A"/>
    <w:rsid w:val="00333C25"/>
    <w:rsid w:val="00333D8C"/>
    <w:rsid w:val="00333DE9"/>
    <w:rsid w:val="00333DF9"/>
    <w:rsid w:val="00333EE5"/>
    <w:rsid w:val="003340EB"/>
    <w:rsid w:val="00334200"/>
    <w:rsid w:val="003342B8"/>
    <w:rsid w:val="003342FA"/>
    <w:rsid w:val="0033435F"/>
    <w:rsid w:val="00334495"/>
    <w:rsid w:val="0033459B"/>
    <w:rsid w:val="0033469B"/>
    <w:rsid w:val="00334762"/>
    <w:rsid w:val="00334783"/>
    <w:rsid w:val="003348F6"/>
    <w:rsid w:val="00334951"/>
    <w:rsid w:val="003349AC"/>
    <w:rsid w:val="00334A21"/>
    <w:rsid w:val="00334A8E"/>
    <w:rsid w:val="00334AA9"/>
    <w:rsid w:val="00334B5F"/>
    <w:rsid w:val="00334B92"/>
    <w:rsid w:val="00334BC2"/>
    <w:rsid w:val="00334EAA"/>
    <w:rsid w:val="00334F51"/>
    <w:rsid w:val="0033510D"/>
    <w:rsid w:val="0033512F"/>
    <w:rsid w:val="003351BB"/>
    <w:rsid w:val="0033521E"/>
    <w:rsid w:val="00335246"/>
    <w:rsid w:val="003352A7"/>
    <w:rsid w:val="003353B1"/>
    <w:rsid w:val="00335457"/>
    <w:rsid w:val="00335492"/>
    <w:rsid w:val="00335543"/>
    <w:rsid w:val="003355E4"/>
    <w:rsid w:val="00335684"/>
    <w:rsid w:val="00335851"/>
    <w:rsid w:val="00335975"/>
    <w:rsid w:val="00335B08"/>
    <w:rsid w:val="00335B10"/>
    <w:rsid w:val="00335B29"/>
    <w:rsid w:val="00335D78"/>
    <w:rsid w:val="00335F8D"/>
    <w:rsid w:val="00335FD5"/>
    <w:rsid w:val="00336145"/>
    <w:rsid w:val="0033636F"/>
    <w:rsid w:val="0033638F"/>
    <w:rsid w:val="003365BC"/>
    <w:rsid w:val="003368BF"/>
    <w:rsid w:val="00336B20"/>
    <w:rsid w:val="00336BD6"/>
    <w:rsid w:val="00336BF0"/>
    <w:rsid w:val="00336F18"/>
    <w:rsid w:val="0033718D"/>
    <w:rsid w:val="00337286"/>
    <w:rsid w:val="003372D3"/>
    <w:rsid w:val="00337350"/>
    <w:rsid w:val="0033735A"/>
    <w:rsid w:val="00337441"/>
    <w:rsid w:val="003374C1"/>
    <w:rsid w:val="00337545"/>
    <w:rsid w:val="0033764B"/>
    <w:rsid w:val="0033779C"/>
    <w:rsid w:val="00337816"/>
    <w:rsid w:val="003378A8"/>
    <w:rsid w:val="00337957"/>
    <w:rsid w:val="003379CE"/>
    <w:rsid w:val="00337A8D"/>
    <w:rsid w:val="00337B36"/>
    <w:rsid w:val="00337BE4"/>
    <w:rsid w:val="00337D8D"/>
    <w:rsid w:val="00337DF7"/>
    <w:rsid w:val="00337F5B"/>
    <w:rsid w:val="0034003A"/>
    <w:rsid w:val="0034005D"/>
    <w:rsid w:val="003400AF"/>
    <w:rsid w:val="00340142"/>
    <w:rsid w:val="00340153"/>
    <w:rsid w:val="003402D6"/>
    <w:rsid w:val="003403FC"/>
    <w:rsid w:val="003404F5"/>
    <w:rsid w:val="003404F7"/>
    <w:rsid w:val="003404F8"/>
    <w:rsid w:val="0034051B"/>
    <w:rsid w:val="00340527"/>
    <w:rsid w:val="0034081E"/>
    <w:rsid w:val="00340838"/>
    <w:rsid w:val="003408FB"/>
    <w:rsid w:val="00340B6E"/>
    <w:rsid w:val="00340BB7"/>
    <w:rsid w:val="00340CC0"/>
    <w:rsid w:val="00340D7C"/>
    <w:rsid w:val="00340DC6"/>
    <w:rsid w:val="00340F5D"/>
    <w:rsid w:val="00341044"/>
    <w:rsid w:val="00341104"/>
    <w:rsid w:val="00341161"/>
    <w:rsid w:val="003412DE"/>
    <w:rsid w:val="003414BD"/>
    <w:rsid w:val="0034161C"/>
    <w:rsid w:val="0034170A"/>
    <w:rsid w:val="00341735"/>
    <w:rsid w:val="00341836"/>
    <w:rsid w:val="0034199E"/>
    <w:rsid w:val="00341AD7"/>
    <w:rsid w:val="00341CE8"/>
    <w:rsid w:val="00341D72"/>
    <w:rsid w:val="00341EE0"/>
    <w:rsid w:val="00341F94"/>
    <w:rsid w:val="00342101"/>
    <w:rsid w:val="0034211D"/>
    <w:rsid w:val="00342160"/>
    <w:rsid w:val="003422B6"/>
    <w:rsid w:val="003422BC"/>
    <w:rsid w:val="003422F1"/>
    <w:rsid w:val="0034234E"/>
    <w:rsid w:val="003423DF"/>
    <w:rsid w:val="003424BA"/>
    <w:rsid w:val="00342532"/>
    <w:rsid w:val="00342828"/>
    <w:rsid w:val="00342C46"/>
    <w:rsid w:val="00342CAA"/>
    <w:rsid w:val="00342CB8"/>
    <w:rsid w:val="00342E5C"/>
    <w:rsid w:val="00342ED1"/>
    <w:rsid w:val="0034300D"/>
    <w:rsid w:val="0034302F"/>
    <w:rsid w:val="0034304F"/>
    <w:rsid w:val="0034306F"/>
    <w:rsid w:val="003430ED"/>
    <w:rsid w:val="0034311D"/>
    <w:rsid w:val="0034316B"/>
    <w:rsid w:val="003432BB"/>
    <w:rsid w:val="003432D0"/>
    <w:rsid w:val="003432FE"/>
    <w:rsid w:val="00343404"/>
    <w:rsid w:val="00343573"/>
    <w:rsid w:val="003435F8"/>
    <w:rsid w:val="00343645"/>
    <w:rsid w:val="003436B2"/>
    <w:rsid w:val="00343936"/>
    <w:rsid w:val="00343A09"/>
    <w:rsid w:val="00343A7A"/>
    <w:rsid w:val="00343AAD"/>
    <w:rsid w:val="00343AD9"/>
    <w:rsid w:val="00343B00"/>
    <w:rsid w:val="00343B23"/>
    <w:rsid w:val="00343B4A"/>
    <w:rsid w:val="00343C17"/>
    <w:rsid w:val="00343C8B"/>
    <w:rsid w:val="00343DA0"/>
    <w:rsid w:val="00343E35"/>
    <w:rsid w:val="00343E3B"/>
    <w:rsid w:val="00344008"/>
    <w:rsid w:val="00344084"/>
    <w:rsid w:val="003440FB"/>
    <w:rsid w:val="003441BA"/>
    <w:rsid w:val="0034420C"/>
    <w:rsid w:val="003442CF"/>
    <w:rsid w:val="00344315"/>
    <w:rsid w:val="0034436D"/>
    <w:rsid w:val="00344812"/>
    <w:rsid w:val="0034485D"/>
    <w:rsid w:val="003448A3"/>
    <w:rsid w:val="00344A2C"/>
    <w:rsid w:val="00344B5E"/>
    <w:rsid w:val="00344D7D"/>
    <w:rsid w:val="00344D82"/>
    <w:rsid w:val="00344EE2"/>
    <w:rsid w:val="00344EF9"/>
    <w:rsid w:val="00345006"/>
    <w:rsid w:val="0034503A"/>
    <w:rsid w:val="003450BC"/>
    <w:rsid w:val="003450D0"/>
    <w:rsid w:val="0034526C"/>
    <w:rsid w:val="003453EB"/>
    <w:rsid w:val="0034543F"/>
    <w:rsid w:val="00345542"/>
    <w:rsid w:val="0034561D"/>
    <w:rsid w:val="00345662"/>
    <w:rsid w:val="00345787"/>
    <w:rsid w:val="0034578E"/>
    <w:rsid w:val="00345823"/>
    <w:rsid w:val="00345958"/>
    <w:rsid w:val="00345AB2"/>
    <w:rsid w:val="00345B9A"/>
    <w:rsid w:val="00345BC3"/>
    <w:rsid w:val="00345C2C"/>
    <w:rsid w:val="00345CD3"/>
    <w:rsid w:val="00345D34"/>
    <w:rsid w:val="00345D71"/>
    <w:rsid w:val="00345E3D"/>
    <w:rsid w:val="00345F16"/>
    <w:rsid w:val="00345FA9"/>
    <w:rsid w:val="003461EF"/>
    <w:rsid w:val="003461FE"/>
    <w:rsid w:val="00346230"/>
    <w:rsid w:val="00346323"/>
    <w:rsid w:val="0034632B"/>
    <w:rsid w:val="0034646F"/>
    <w:rsid w:val="003464DA"/>
    <w:rsid w:val="0034654D"/>
    <w:rsid w:val="00346558"/>
    <w:rsid w:val="003465CB"/>
    <w:rsid w:val="00346683"/>
    <w:rsid w:val="003466DD"/>
    <w:rsid w:val="00346711"/>
    <w:rsid w:val="00346736"/>
    <w:rsid w:val="00346A92"/>
    <w:rsid w:val="00346B0C"/>
    <w:rsid w:val="00346CB6"/>
    <w:rsid w:val="00346D30"/>
    <w:rsid w:val="00346E67"/>
    <w:rsid w:val="00346EA9"/>
    <w:rsid w:val="00346F1B"/>
    <w:rsid w:val="00346F2E"/>
    <w:rsid w:val="00346FAA"/>
    <w:rsid w:val="003471B3"/>
    <w:rsid w:val="003471D5"/>
    <w:rsid w:val="003472D0"/>
    <w:rsid w:val="003473DB"/>
    <w:rsid w:val="00347453"/>
    <w:rsid w:val="00347510"/>
    <w:rsid w:val="00347511"/>
    <w:rsid w:val="00347514"/>
    <w:rsid w:val="003476DE"/>
    <w:rsid w:val="00347757"/>
    <w:rsid w:val="003478DA"/>
    <w:rsid w:val="003478E2"/>
    <w:rsid w:val="0034790B"/>
    <w:rsid w:val="0034797C"/>
    <w:rsid w:val="003479A8"/>
    <w:rsid w:val="003479E4"/>
    <w:rsid w:val="003479F2"/>
    <w:rsid w:val="00347A40"/>
    <w:rsid w:val="00347A42"/>
    <w:rsid w:val="00347A65"/>
    <w:rsid w:val="00347A7F"/>
    <w:rsid w:val="00347B51"/>
    <w:rsid w:val="00347C4D"/>
    <w:rsid w:val="00347CB8"/>
    <w:rsid w:val="00347CCF"/>
    <w:rsid w:val="00347CDD"/>
    <w:rsid w:val="00347D4F"/>
    <w:rsid w:val="00347DCA"/>
    <w:rsid w:val="00347E0E"/>
    <w:rsid w:val="00347E1A"/>
    <w:rsid w:val="00347EDB"/>
    <w:rsid w:val="00347F82"/>
    <w:rsid w:val="00350043"/>
    <w:rsid w:val="00350102"/>
    <w:rsid w:val="0035014C"/>
    <w:rsid w:val="00350185"/>
    <w:rsid w:val="00350236"/>
    <w:rsid w:val="003502F2"/>
    <w:rsid w:val="00350415"/>
    <w:rsid w:val="00350484"/>
    <w:rsid w:val="003505C9"/>
    <w:rsid w:val="003506AF"/>
    <w:rsid w:val="003506E9"/>
    <w:rsid w:val="0035073E"/>
    <w:rsid w:val="00350757"/>
    <w:rsid w:val="003507E7"/>
    <w:rsid w:val="00350916"/>
    <w:rsid w:val="00350960"/>
    <w:rsid w:val="003509BF"/>
    <w:rsid w:val="003509DD"/>
    <w:rsid w:val="00350B34"/>
    <w:rsid w:val="00350B61"/>
    <w:rsid w:val="00350B6A"/>
    <w:rsid w:val="00350E72"/>
    <w:rsid w:val="00350F37"/>
    <w:rsid w:val="00350F6D"/>
    <w:rsid w:val="00351070"/>
    <w:rsid w:val="003510B9"/>
    <w:rsid w:val="003510E9"/>
    <w:rsid w:val="003511E7"/>
    <w:rsid w:val="0035120B"/>
    <w:rsid w:val="003512FB"/>
    <w:rsid w:val="003512FD"/>
    <w:rsid w:val="003514F0"/>
    <w:rsid w:val="00351519"/>
    <w:rsid w:val="003515F4"/>
    <w:rsid w:val="00351698"/>
    <w:rsid w:val="00351783"/>
    <w:rsid w:val="003517AF"/>
    <w:rsid w:val="003517E0"/>
    <w:rsid w:val="00351A3C"/>
    <w:rsid w:val="00351B18"/>
    <w:rsid w:val="00351BE1"/>
    <w:rsid w:val="00351C40"/>
    <w:rsid w:val="00351E38"/>
    <w:rsid w:val="00351EEC"/>
    <w:rsid w:val="00351EFD"/>
    <w:rsid w:val="00351F40"/>
    <w:rsid w:val="00351F5C"/>
    <w:rsid w:val="003520F5"/>
    <w:rsid w:val="003522BB"/>
    <w:rsid w:val="003522E4"/>
    <w:rsid w:val="0035231B"/>
    <w:rsid w:val="0035238A"/>
    <w:rsid w:val="003523C8"/>
    <w:rsid w:val="00352497"/>
    <w:rsid w:val="003524AC"/>
    <w:rsid w:val="003524B7"/>
    <w:rsid w:val="003524E5"/>
    <w:rsid w:val="00352545"/>
    <w:rsid w:val="003525E8"/>
    <w:rsid w:val="00352758"/>
    <w:rsid w:val="003527E3"/>
    <w:rsid w:val="00352853"/>
    <w:rsid w:val="00352ABF"/>
    <w:rsid w:val="00352B57"/>
    <w:rsid w:val="00352C96"/>
    <w:rsid w:val="00352D65"/>
    <w:rsid w:val="00352E08"/>
    <w:rsid w:val="003531B8"/>
    <w:rsid w:val="0035335F"/>
    <w:rsid w:val="003533DC"/>
    <w:rsid w:val="003533EB"/>
    <w:rsid w:val="00353481"/>
    <w:rsid w:val="00353655"/>
    <w:rsid w:val="0035367E"/>
    <w:rsid w:val="00353693"/>
    <w:rsid w:val="00353887"/>
    <w:rsid w:val="003538D9"/>
    <w:rsid w:val="003539DD"/>
    <w:rsid w:val="00353A1B"/>
    <w:rsid w:val="00353B26"/>
    <w:rsid w:val="00353BCC"/>
    <w:rsid w:val="00353CBB"/>
    <w:rsid w:val="00353F24"/>
    <w:rsid w:val="00353F97"/>
    <w:rsid w:val="00353FFC"/>
    <w:rsid w:val="00354015"/>
    <w:rsid w:val="00354057"/>
    <w:rsid w:val="00354211"/>
    <w:rsid w:val="0035427E"/>
    <w:rsid w:val="003543B9"/>
    <w:rsid w:val="003543C2"/>
    <w:rsid w:val="0035445C"/>
    <w:rsid w:val="003544FB"/>
    <w:rsid w:val="0035467E"/>
    <w:rsid w:val="00354719"/>
    <w:rsid w:val="00354918"/>
    <w:rsid w:val="003549B6"/>
    <w:rsid w:val="00354C1F"/>
    <w:rsid w:val="00354E2A"/>
    <w:rsid w:val="00354E74"/>
    <w:rsid w:val="00354FAC"/>
    <w:rsid w:val="0035504C"/>
    <w:rsid w:val="0035514D"/>
    <w:rsid w:val="0035519B"/>
    <w:rsid w:val="003551A9"/>
    <w:rsid w:val="00355309"/>
    <w:rsid w:val="003553D4"/>
    <w:rsid w:val="00355401"/>
    <w:rsid w:val="00355932"/>
    <w:rsid w:val="00355981"/>
    <w:rsid w:val="00355A0E"/>
    <w:rsid w:val="00355A46"/>
    <w:rsid w:val="00355BF1"/>
    <w:rsid w:val="00355C09"/>
    <w:rsid w:val="00355D25"/>
    <w:rsid w:val="00355EEE"/>
    <w:rsid w:val="00355FD2"/>
    <w:rsid w:val="00355FD4"/>
    <w:rsid w:val="00356062"/>
    <w:rsid w:val="00356293"/>
    <w:rsid w:val="003563CC"/>
    <w:rsid w:val="0035643E"/>
    <w:rsid w:val="00356661"/>
    <w:rsid w:val="00356731"/>
    <w:rsid w:val="0035673D"/>
    <w:rsid w:val="003567F0"/>
    <w:rsid w:val="003567F9"/>
    <w:rsid w:val="003569B4"/>
    <w:rsid w:val="00356A79"/>
    <w:rsid w:val="00356AD4"/>
    <w:rsid w:val="00356ADC"/>
    <w:rsid w:val="00356B2A"/>
    <w:rsid w:val="00356BEF"/>
    <w:rsid w:val="00356C1D"/>
    <w:rsid w:val="00356C6E"/>
    <w:rsid w:val="00356CA3"/>
    <w:rsid w:val="00356D98"/>
    <w:rsid w:val="00356DAF"/>
    <w:rsid w:val="00356DBA"/>
    <w:rsid w:val="00356DDC"/>
    <w:rsid w:val="00356DFF"/>
    <w:rsid w:val="00356E39"/>
    <w:rsid w:val="00356E6A"/>
    <w:rsid w:val="00356F34"/>
    <w:rsid w:val="00356FDE"/>
    <w:rsid w:val="003571BB"/>
    <w:rsid w:val="003573D0"/>
    <w:rsid w:val="00357451"/>
    <w:rsid w:val="003575BC"/>
    <w:rsid w:val="003575F5"/>
    <w:rsid w:val="00357742"/>
    <w:rsid w:val="003577BC"/>
    <w:rsid w:val="003577E7"/>
    <w:rsid w:val="0035785B"/>
    <w:rsid w:val="00357ADB"/>
    <w:rsid w:val="00357B41"/>
    <w:rsid w:val="00357C0D"/>
    <w:rsid w:val="00357C19"/>
    <w:rsid w:val="00357C78"/>
    <w:rsid w:val="00357CA1"/>
    <w:rsid w:val="00357CAD"/>
    <w:rsid w:val="00357D00"/>
    <w:rsid w:val="00357D24"/>
    <w:rsid w:val="00357F65"/>
    <w:rsid w:val="00357FBF"/>
    <w:rsid w:val="00360033"/>
    <w:rsid w:val="0036006D"/>
    <w:rsid w:val="003600B0"/>
    <w:rsid w:val="003601D6"/>
    <w:rsid w:val="00360257"/>
    <w:rsid w:val="00360280"/>
    <w:rsid w:val="003602B6"/>
    <w:rsid w:val="003602C7"/>
    <w:rsid w:val="00360340"/>
    <w:rsid w:val="0036036E"/>
    <w:rsid w:val="003603ED"/>
    <w:rsid w:val="0036062F"/>
    <w:rsid w:val="003606B0"/>
    <w:rsid w:val="00360748"/>
    <w:rsid w:val="0036074E"/>
    <w:rsid w:val="00360937"/>
    <w:rsid w:val="00360B93"/>
    <w:rsid w:val="00360C1E"/>
    <w:rsid w:val="00360C7E"/>
    <w:rsid w:val="00360D13"/>
    <w:rsid w:val="00360D60"/>
    <w:rsid w:val="003611FF"/>
    <w:rsid w:val="00361212"/>
    <w:rsid w:val="003612BE"/>
    <w:rsid w:val="0036132D"/>
    <w:rsid w:val="0036144A"/>
    <w:rsid w:val="0036156B"/>
    <w:rsid w:val="00361578"/>
    <w:rsid w:val="00361594"/>
    <w:rsid w:val="00361624"/>
    <w:rsid w:val="00361638"/>
    <w:rsid w:val="0036177F"/>
    <w:rsid w:val="00361883"/>
    <w:rsid w:val="003618B6"/>
    <w:rsid w:val="0036199E"/>
    <w:rsid w:val="00361A74"/>
    <w:rsid w:val="00361B0B"/>
    <w:rsid w:val="00361B6B"/>
    <w:rsid w:val="00361BBD"/>
    <w:rsid w:val="00361BF9"/>
    <w:rsid w:val="00361CAD"/>
    <w:rsid w:val="00361DDF"/>
    <w:rsid w:val="00361DF1"/>
    <w:rsid w:val="00361E12"/>
    <w:rsid w:val="00361E37"/>
    <w:rsid w:val="00361EB8"/>
    <w:rsid w:val="00361F34"/>
    <w:rsid w:val="00361F75"/>
    <w:rsid w:val="003623B4"/>
    <w:rsid w:val="003627CF"/>
    <w:rsid w:val="0036288C"/>
    <w:rsid w:val="00362996"/>
    <w:rsid w:val="003629E6"/>
    <w:rsid w:val="00362A82"/>
    <w:rsid w:val="00362B88"/>
    <w:rsid w:val="00362C28"/>
    <w:rsid w:val="00362D08"/>
    <w:rsid w:val="00362D1B"/>
    <w:rsid w:val="00362DA1"/>
    <w:rsid w:val="00362E0F"/>
    <w:rsid w:val="00362EE9"/>
    <w:rsid w:val="00362F6E"/>
    <w:rsid w:val="00362FA3"/>
    <w:rsid w:val="00363035"/>
    <w:rsid w:val="003630C8"/>
    <w:rsid w:val="003630FD"/>
    <w:rsid w:val="003631C3"/>
    <w:rsid w:val="00363280"/>
    <w:rsid w:val="0036342A"/>
    <w:rsid w:val="0036377F"/>
    <w:rsid w:val="00363824"/>
    <w:rsid w:val="00363B7A"/>
    <w:rsid w:val="00363B9C"/>
    <w:rsid w:val="00363BE8"/>
    <w:rsid w:val="00363C65"/>
    <w:rsid w:val="00363D5E"/>
    <w:rsid w:val="00363E4F"/>
    <w:rsid w:val="00363E8C"/>
    <w:rsid w:val="0036408F"/>
    <w:rsid w:val="003640C7"/>
    <w:rsid w:val="003640F0"/>
    <w:rsid w:val="00364182"/>
    <w:rsid w:val="00364307"/>
    <w:rsid w:val="0036441A"/>
    <w:rsid w:val="00364561"/>
    <w:rsid w:val="003645BF"/>
    <w:rsid w:val="00364674"/>
    <w:rsid w:val="003647E8"/>
    <w:rsid w:val="00364867"/>
    <w:rsid w:val="00364B70"/>
    <w:rsid w:val="00364E07"/>
    <w:rsid w:val="00364FA8"/>
    <w:rsid w:val="003650D7"/>
    <w:rsid w:val="00365211"/>
    <w:rsid w:val="00365215"/>
    <w:rsid w:val="0036525B"/>
    <w:rsid w:val="003653E7"/>
    <w:rsid w:val="003655FB"/>
    <w:rsid w:val="003656E1"/>
    <w:rsid w:val="00365715"/>
    <w:rsid w:val="00365726"/>
    <w:rsid w:val="00365750"/>
    <w:rsid w:val="0036578B"/>
    <w:rsid w:val="00365905"/>
    <w:rsid w:val="0036593A"/>
    <w:rsid w:val="00365A64"/>
    <w:rsid w:val="00365B1B"/>
    <w:rsid w:val="00365C66"/>
    <w:rsid w:val="00365EFC"/>
    <w:rsid w:val="00365F7B"/>
    <w:rsid w:val="00366459"/>
    <w:rsid w:val="0036655D"/>
    <w:rsid w:val="003665A3"/>
    <w:rsid w:val="0036681D"/>
    <w:rsid w:val="00366954"/>
    <w:rsid w:val="00366A4E"/>
    <w:rsid w:val="00366AEF"/>
    <w:rsid w:val="00366D58"/>
    <w:rsid w:val="00366DE0"/>
    <w:rsid w:val="00366EFD"/>
    <w:rsid w:val="00366FC8"/>
    <w:rsid w:val="003671B6"/>
    <w:rsid w:val="003671BA"/>
    <w:rsid w:val="003671E6"/>
    <w:rsid w:val="0036729C"/>
    <w:rsid w:val="003673E1"/>
    <w:rsid w:val="003673E4"/>
    <w:rsid w:val="003674F4"/>
    <w:rsid w:val="00367671"/>
    <w:rsid w:val="00367775"/>
    <w:rsid w:val="003677FA"/>
    <w:rsid w:val="00367823"/>
    <w:rsid w:val="00367920"/>
    <w:rsid w:val="0036797D"/>
    <w:rsid w:val="00367AAB"/>
    <w:rsid w:val="00367B5C"/>
    <w:rsid w:val="00367BE5"/>
    <w:rsid w:val="00367C8A"/>
    <w:rsid w:val="00367CB0"/>
    <w:rsid w:val="00367D6A"/>
    <w:rsid w:val="00367DB1"/>
    <w:rsid w:val="00367F64"/>
    <w:rsid w:val="00367F9D"/>
    <w:rsid w:val="00367FDC"/>
    <w:rsid w:val="003700A4"/>
    <w:rsid w:val="003700E1"/>
    <w:rsid w:val="00370154"/>
    <w:rsid w:val="003702AA"/>
    <w:rsid w:val="0037034E"/>
    <w:rsid w:val="00370525"/>
    <w:rsid w:val="003705A5"/>
    <w:rsid w:val="00370624"/>
    <w:rsid w:val="0037062B"/>
    <w:rsid w:val="003706AA"/>
    <w:rsid w:val="0037075B"/>
    <w:rsid w:val="0037091D"/>
    <w:rsid w:val="003709BA"/>
    <w:rsid w:val="00370B78"/>
    <w:rsid w:val="00370DDD"/>
    <w:rsid w:val="00370E6A"/>
    <w:rsid w:val="00371098"/>
    <w:rsid w:val="003710D1"/>
    <w:rsid w:val="00371218"/>
    <w:rsid w:val="0037122D"/>
    <w:rsid w:val="00371334"/>
    <w:rsid w:val="003715AF"/>
    <w:rsid w:val="00371651"/>
    <w:rsid w:val="0037167D"/>
    <w:rsid w:val="00371750"/>
    <w:rsid w:val="00371810"/>
    <w:rsid w:val="0037190C"/>
    <w:rsid w:val="003719B4"/>
    <w:rsid w:val="00371A3B"/>
    <w:rsid w:val="00371A8D"/>
    <w:rsid w:val="00371ABF"/>
    <w:rsid w:val="00371AD5"/>
    <w:rsid w:val="00371AD6"/>
    <w:rsid w:val="00371C1C"/>
    <w:rsid w:val="00371D9D"/>
    <w:rsid w:val="00371EC3"/>
    <w:rsid w:val="00371ED0"/>
    <w:rsid w:val="00371FD2"/>
    <w:rsid w:val="003720DF"/>
    <w:rsid w:val="003722F7"/>
    <w:rsid w:val="0037243E"/>
    <w:rsid w:val="003725E8"/>
    <w:rsid w:val="00372637"/>
    <w:rsid w:val="00372674"/>
    <w:rsid w:val="003726C6"/>
    <w:rsid w:val="003726E0"/>
    <w:rsid w:val="00372858"/>
    <w:rsid w:val="003728CC"/>
    <w:rsid w:val="003729EB"/>
    <w:rsid w:val="00372A5F"/>
    <w:rsid w:val="00372A6F"/>
    <w:rsid w:val="00372C0C"/>
    <w:rsid w:val="00372CEE"/>
    <w:rsid w:val="00372E09"/>
    <w:rsid w:val="00372E11"/>
    <w:rsid w:val="0037309C"/>
    <w:rsid w:val="00373147"/>
    <w:rsid w:val="003731AE"/>
    <w:rsid w:val="00373280"/>
    <w:rsid w:val="00373285"/>
    <w:rsid w:val="00373286"/>
    <w:rsid w:val="00373386"/>
    <w:rsid w:val="00373450"/>
    <w:rsid w:val="003735CD"/>
    <w:rsid w:val="003736B8"/>
    <w:rsid w:val="00373713"/>
    <w:rsid w:val="00373792"/>
    <w:rsid w:val="00373845"/>
    <w:rsid w:val="003738FE"/>
    <w:rsid w:val="00373904"/>
    <w:rsid w:val="0037393A"/>
    <w:rsid w:val="003739AC"/>
    <w:rsid w:val="00373D36"/>
    <w:rsid w:val="00373DB0"/>
    <w:rsid w:val="00373E70"/>
    <w:rsid w:val="00373E89"/>
    <w:rsid w:val="00373F50"/>
    <w:rsid w:val="003740DF"/>
    <w:rsid w:val="003741A7"/>
    <w:rsid w:val="003741CF"/>
    <w:rsid w:val="0037427E"/>
    <w:rsid w:val="003742E1"/>
    <w:rsid w:val="00374396"/>
    <w:rsid w:val="0037445F"/>
    <w:rsid w:val="003747CD"/>
    <w:rsid w:val="00374808"/>
    <w:rsid w:val="0037499B"/>
    <w:rsid w:val="003749EF"/>
    <w:rsid w:val="00374A05"/>
    <w:rsid w:val="00374AE4"/>
    <w:rsid w:val="00374BB7"/>
    <w:rsid w:val="00374CEC"/>
    <w:rsid w:val="00374D6F"/>
    <w:rsid w:val="00374D92"/>
    <w:rsid w:val="00374EA0"/>
    <w:rsid w:val="00374ECE"/>
    <w:rsid w:val="00374FE3"/>
    <w:rsid w:val="0037500B"/>
    <w:rsid w:val="00375087"/>
    <w:rsid w:val="00375152"/>
    <w:rsid w:val="00375238"/>
    <w:rsid w:val="0037541A"/>
    <w:rsid w:val="0037569C"/>
    <w:rsid w:val="0037582D"/>
    <w:rsid w:val="003759D8"/>
    <w:rsid w:val="00375A84"/>
    <w:rsid w:val="00375AF4"/>
    <w:rsid w:val="00375B45"/>
    <w:rsid w:val="00375C6C"/>
    <w:rsid w:val="00375CB0"/>
    <w:rsid w:val="00375CE6"/>
    <w:rsid w:val="00375D72"/>
    <w:rsid w:val="00375E91"/>
    <w:rsid w:val="00375F9D"/>
    <w:rsid w:val="00376050"/>
    <w:rsid w:val="003760DC"/>
    <w:rsid w:val="00376185"/>
    <w:rsid w:val="003761D1"/>
    <w:rsid w:val="003762BE"/>
    <w:rsid w:val="003763BD"/>
    <w:rsid w:val="00376418"/>
    <w:rsid w:val="003764CC"/>
    <w:rsid w:val="00376625"/>
    <w:rsid w:val="003766FF"/>
    <w:rsid w:val="00376715"/>
    <w:rsid w:val="003767BA"/>
    <w:rsid w:val="00376831"/>
    <w:rsid w:val="00376876"/>
    <w:rsid w:val="003768F7"/>
    <w:rsid w:val="003769A8"/>
    <w:rsid w:val="00376B3C"/>
    <w:rsid w:val="00376B70"/>
    <w:rsid w:val="00376B90"/>
    <w:rsid w:val="00376BA5"/>
    <w:rsid w:val="00376BA7"/>
    <w:rsid w:val="00376C22"/>
    <w:rsid w:val="00376C35"/>
    <w:rsid w:val="00376C7A"/>
    <w:rsid w:val="00376DC3"/>
    <w:rsid w:val="00376F22"/>
    <w:rsid w:val="00376FA2"/>
    <w:rsid w:val="00377004"/>
    <w:rsid w:val="0037704E"/>
    <w:rsid w:val="0037705F"/>
    <w:rsid w:val="003770B1"/>
    <w:rsid w:val="00377189"/>
    <w:rsid w:val="003771FC"/>
    <w:rsid w:val="003772F7"/>
    <w:rsid w:val="003773D2"/>
    <w:rsid w:val="00377462"/>
    <w:rsid w:val="003774CB"/>
    <w:rsid w:val="003774ED"/>
    <w:rsid w:val="00377542"/>
    <w:rsid w:val="00377620"/>
    <w:rsid w:val="00377887"/>
    <w:rsid w:val="00377A5F"/>
    <w:rsid w:val="00377B79"/>
    <w:rsid w:val="00377C14"/>
    <w:rsid w:val="00377C2F"/>
    <w:rsid w:val="00377C47"/>
    <w:rsid w:val="00377C9F"/>
    <w:rsid w:val="00377D89"/>
    <w:rsid w:val="00377DB4"/>
    <w:rsid w:val="00377F2F"/>
    <w:rsid w:val="003800E2"/>
    <w:rsid w:val="003802D8"/>
    <w:rsid w:val="003803CC"/>
    <w:rsid w:val="0038044E"/>
    <w:rsid w:val="00380501"/>
    <w:rsid w:val="0038051D"/>
    <w:rsid w:val="00380540"/>
    <w:rsid w:val="0038057D"/>
    <w:rsid w:val="003809B1"/>
    <w:rsid w:val="00380A19"/>
    <w:rsid w:val="00380A4D"/>
    <w:rsid w:val="00380AC4"/>
    <w:rsid w:val="00380B65"/>
    <w:rsid w:val="00380BE5"/>
    <w:rsid w:val="00380C31"/>
    <w:rsid w:val="00380D69"/>
    <w:rsid w:val="00380D6C"/>
    <w:rsid w:val="00380F12"/>
    <w:rsid w:val="00380FDB"/>
    <w:rsid w:val="003810AE"/>
    <w:rsid w:val="003810EB"/>
    <w:rsid w:val="00381102"/>
    <w:rsid w:val="00381146"/>
    <w:rsid w:val="003811AB"/>
    <w:rsid w:val="003812B1"/>
    <w:rsid w:val="0038140B"/>
    <w:rsid w:val="00381411"/>
    <w:rsid w:val="00381468"/>
    <w:rsid w:val="00381491"/>
    <w:rsid w:val="003814E5"/>
    <w:rsid w:val="00381654"/>
    <w:rsid w:val="00381677"/>
    <w:rsid w:val="003817B1"/>
    <w:rsid w:val="003818AD"/>
    <w:rsid w:val="003818DA"/>
    <w:rsid w:val="0038193D"/>
    <w:rsid w:val="003819FA"/>
    <w:rsid w:val="00381B63"/>
    <w:rsid w:val="00381C1F"/>
    <w:rsid w:val="00381C23"/>
    <w:rsid w:val="00381C77"/>
    <w:rsid w:val="00381CA6"/>
    <w:rsid w:val="00381CB8"/>
    <w:rsid w:val="00381D15"/>
    <w:rsid w:val="00381D9B"/>
    <w:rsid w:val="00381DEE"/>
    <w:rsid w:val="00381EE4"/>
    <w:rsid w:val="00381F57"/>
    <w:rsid w:val="00382078"/>
    <w:rsid w:val="003820DE"/>
    <w:rsid w:val="0038236D"/>
    <w:rsid w:val="00382720"/>
    <w:rsid w:val="00382754"/>
    <w:rsid w:val="003828F2"/>
    <w:rsid w:val="00382B84"/>
    <w:rsid w:val="00382BB3"/>
    <w:rsid w:val="00382C18"/>
    <w:rsid w:val="00382E1E"/>
    <w:rsid w:val="00382FF1"/>
    <w:rsid w:val="003830AA"/>
    <w:rsid w:val="0038318F"/>
    <w:rsid w:val="0038322C"/>
    <w:rsid w:val="003832CD"/>
    <w:rsid w:val="00383335"/>
    <w:rsid w:val="0038334D"/>
    <w:rsid w:val="00383714"/>
    <w:rsid w:val="00383742"/>
    <w:rsid w:val="003837C7"/>
    <w:rsid w:val="0038390F"/>
    <w:rsid w:val="0038396D"/>
    <w:rsid w:val="00383AC0"/>
    <w:rsid w:val="00383C57"/>
    <w:rsid w:val="00383D8B"/>
    <w:rsid w:val="00383EF0"/>
    <w:rsid w:val="00383F42"/>
    <w:rsid w:val="00383FC6"/>
    <w:rsid w:val="00384095"/>
    <w:rsid w:val="003840C0"/>
    <w:rsid w:val="00384274"/>
    <w:rsid w:val="0038441E"/>
    <w:rsid w:val="003844BE"/>
    <w:rsid w:val="0038450D"/>
    <w:rsid w:val="00384580"/>
    <w:rsid w:val="0038480F"/>
    <w:rsid w:val="00384875"/>
    <w:rsid w:val="00384887"/>
    <w:rsid w:val="003848B7"/>
    <w:rsid w:val="003849A0"/>
    <w:rsid w:val="00384A0D"/>
    <w:rsid w:val="00384A23"/>
    <w:rsid w:val="00384A26"/>
    <w:rsid w:val="00384AF5"/>
    <w:rsid w:val="00384B50"/>
    <w:rsid w:val="00384CD4"/>
    <w:rsid w:val="00384DD1"/>
    <w:rsid w:val="00384E11"/>
    <w:rsid w:val="00384F8B"/>
    <w:rsid w:val="00385079"/>
    <w:rsid w:val="00385084"/>
    <w:rsid w:val="0038516C"/>
    <w:rsid w:val="003851CD"/>
    <w:rsid w:val="003853BF"/>
    <w:rsid w:val="00385478"/>
    <w:rsid w:val="0038547A"/>
    <w:rsid w:val="003854E1"/>
    <w:rsid w:val="003854F7"/>
    <w:rsid w:val="0038556C"/>
    <w:rsid w:val="0038588B"/>
    <w:rsid w:val="0038590F"/>
    <w:rsid w:val="00385934"/>
    <w:rsid w:val="00385991"/>
    <w:rsid w:val="00385A76"/>
    <w:rsid w:val="00385ADD"/>
    <w:rsid w:val="00385CDB"/>
    <w:rsid w:val="00385CF8"/>
    <w:rsid w:val="00385DFB"/>
    <w:rsid w:val="00385E6E"/>
    <w:rsid w:val="00385E78"/>
    <w:rsid w:val="00386064"/>
    <w:rsid w:val="0038611D"/>
    <w:rsid w:val="0038612A"/>
    <w:rsid w:val="003861A8"/>
    <w:rsid w:val="00386219"/>
    <w:rsid w:val="00386246"/>
    <w:rsid w:val="0038646D"/>
    <w:rsid w:val="00386471"/>
    <w:rsid w:val="00386493"/>
    <w:rsid w:val="003865BB"/>
    <w:rsid w:val="003865F4"/>
    <w:rsid w:val="0038668D"/>
    <w:rsid w:val="00386838"/>
    <w:rsid w:val="0038685D"/>
    <w:rsid w:val="003868D3"/>
    <w:rsid w:val="00386975"/>
    <w:rsid w:val="00386AAD"/>
    <w:rsid w:val="00386BAD"/>
    <w:rsid w:val="00386C01"/>
    <w:rsid w:val="00386C2A"/>
    <w:rsid w:val="00386EEC"/>
    <w:rsid w:val="00386F15"/>
    <w:rsid w:val="00386F7A"/>
    <w:rsid w:val="00387002"/>
    <w:rsid w:val="0038736F"/>
    <w:rsid w:val="00387385"/>
    <w:rsid w:val="003873AF"/>
    <w:rsid w:val="003873E5"/>
    <w:rsid w:val="0038747D"/>
    <w:rsid w:val="0038749B"/>
    <w:rsid w:val="00387527"/>
    <w:rsid w:val="00387629"/>
    <w:rsid w:val="003876EA"/>
    <w:rsid w:val="003878AB"/>
    <w:rsid w:val="00387993"/>
    <w:rsid w:val="003879B7"/>
    <w:rsid w:val="00387ACE"/>
    <w:rsid w:val="00387BFA"/>
    <w:rsid w:val="00387C38"/>
    <w:rsid w:val="00387C9E"/>
    <w:rsid w:val="00387D26"/>
    <w:rsid w:val="00387D9B"/>
    <w:rsid w:val="00387E52"/>
    <w:rsid w:val="00387EF1"/>
    <w:rsid w:val="00387FFD"/>
    <w:rsid w:val="003900A5"/>
    <w:rsid w:val="003900D4"/>
    <w:rsid w:val="003901F8"/>
    <w:rsid w:val="00390308"/>
    <w:rsid w:val="00390381"/>
    <w:rsid w:val="0039038A"/>
    <w:rsid w:val="0039040E"/>
    <w:rsid w:val="003905FF"/>
    <w:rsid w:val="00390644"/>
    <w:rsid w:val="00390768"/>
    <w:rsid w:val="003907A0"/>
    <w:rsid w:val="003908E8"/>
    <w:rsid w:val="003909D3"/>
    <w:rsid w:val="00390A3A"/>
    <w:rsid w:val="00390A6A"/>
    <w:rsid w:val="00390AE2"/>
    <w:rsid w:val="00390B1B"/>
    <w:rsid w:val="00390B6D"/>
    <w:rsid w:val="00390BE7"/>
    <w:rsid w:val="00390BF3"/>
    <w:rsid w:val="00390CDE"/>
    <w:rsid w:val="00390D5B"/>
    <w:rsid w:val="003910B2"/>
    <w:rsid w:val="003910BE"/>
    <w:rsid w:val="00391110"/>
    <w:rsid w:val="0039113E"/>
    <w:rsid w:val="003911EE"/>
    <w:rsid w:val="00391353"/>
    <w:rsid w:val="0039141F"/>
    <w:rsid w:val="0039145E"/>
    <w:rsid w:val="003914DB"/>
    <w:rsid w:val="003914EB"/>
    <w:rsid w:val="00391548"/>
    <w:rsid w:val="003915C7"/>
    <w:rsid w:val="00391729"/>
    <w:rsid w:val="00391965"/>
    <w:rsid w:val="003919B4"/>
    <w:rsid w:val="003919DE"/>
    <w:rsid w:val="00391A3D"/>
    <w:rsid w:val="00391A74"/>
    <w:rsid w:val="00391ADD"/>
    <w:rsid w:val="00391B3C"/>
    <w:rsid w:val="00391B88"/>
    <w:rsid w:val="00391C6B"/>
    <w:rsid w:val="00391D1A"/>
    <w:rsid w:val="00391DE1"/>
    <w:rsid w:val="00391E2A"/>
    <w:rsid w:val="00391E92"/>
    <w:rsid w:val="00391EEC"/>
    <w:rsid w:val="00391F12"/>
    <w:rsid w:val="00392183"/>
    <w:rsid w:val="003921E8"/>
    <w:rsid w:val="00392202"/>
    <w:rsid w:val="0039249F"/>
    <w:rsid w:val="00392547"/>
    <w:rsid w:val="0039259A"/>
    <w:rsid w:val="003925A9"/>
    <w:rsid w:val="003925EA"/>
    <w:rsid w:val="00392717"/>
    <w:rsid w:val="00392762"/>
    <w:rsid w:val="00392846"/>
    <w:rsid w:val="00392ABF"/>
    <w:rsid w:val="00392ADA"/>
    <w:rsid w:val="00392D79"/>
    <w:rsid w:val="00392F81"/>
    <w:rsid w:val="00392FFE"/>
    <w:rsid w:val="003931D1"/>
    <w:rsid w:val="003931DB"/>
    <w:rsid w:val="0039345E"/>
    <w:rsid w:val="00393465"/>
    <w:rsid w:val="003934DF"/>
    <w:rsid w:val="00393502"/>
    <w:rsid w:val="00393553"/>
    <w:rsid w:val="003935CE"/>
    <w:rsid w:val="00393AFC"/>
    <w:rsid w:val="00393B6A"/>
    <w:rsid w:val="00393D59"/>
    <w:rsid w:val="00393DB8"/>
    <w:rsid w:val="00393E45"/>
    <w:rsid w:val="00393E62"/>
    <w:rsid w:val="00393E7F"/>
    <w:rsid w:val="00393EA0"/>
    <w:rsid w:val="0039426E"/>
    <w:rsid w:val="003942E2"/>
    <w:rsid w:val="003942FF"/>
    <w:rsid w:val="00394406"/>
    <w:rsid w:val="00394430"/>
    <w:rsid w:val="003944E8"/>
    <w:rsid w:val="003945CC"/>
    <w:rsid w:val="00394785"/>
    <w:rsid w:val="003949CB"/>
    <w:rsid w:val="003949D3"/>
    <w:rsid w:val="003949EA"/>
    <w:rsid w:val="00394B78"/>
    <w:rsid w:val="00394CA7"/>
    <w:rsid w:val="00394D70"/>
    <w:rsid w:val="00394E24"/>
    <w:rsid w:val="00394F89"/>
    <w:rsid w:val="00395158"/>
    <w:rsid w:val="00395180"/>
    <w:rsid w:val="003952DB"/>
    <w:rsid w:val="003953B8"/>
    <w:rsid w:val="00395515"/>
    <w:rsid w:val="00395553"/>
    <w:rsid w:val="003955B5"/>
    <w:rsid w:val="003957A3"/>
    <w:rsid w:val="00395804"/>
    <w:rsid w:val="00395962"/>
    <w:rsid w:val="00395994"/>
    <w:rsid w:val="003959BD"/>
    <w:rsid w:val="003959E6"/>
    <w:rsid w:val="00395A64"/>
    <w:rsid w:val="00395AE5"/>
    <w:rsid w:val="00395B3F"/>
    <w:rsid w:val="00395C8A"/>
    <w:rsid w:val="00395C8B"/>
    <w:rsid w:val="00395E8F"/>
    <w:rsid w:val="00395ED4"/>
    <w:rsid w:val="00395EF7"/>
    <w:rsid w:val="0039618F"/>
    <w:rsid w:val="003961F1"/>
    <w:rsid w:val="003963D3"/>
    <w:rsid w:val="003966D9"/>
    <w:rsid w:val="00396776"/>
    <w:rsid w:val="00396875"/>
    <w:rsid w:val="00396893"/>
    <w:rsid w:val="00396AD4"/>
    <w:rsid w:val="00396B5E"/>
    <w:rsid w:val="00396C3F"/>
    <w:rsid w:val="00396C63"/>
    <w:rsid w:val="00396C92"/>
    <w:rsid w:val="00396D26"/>
    <w:rsid w:val="00396DB8"/>
    <w:rsid w:val="00396DCE"/>
    <w:rsid w:val="00396E3C"/>
    <w:rsid w:val="00396E4E"/>
    <w:rsid w:val="00396E68"/>
    <w:rsid w:val="00397084"/>
    <w:rsid w:val="00397231"/>
    <w:rsid w:val="00397354"/>
    <w:rsid w:val="003973D1"/>
    <w:rsid w:val="003973F0"/>
    <w:rsid w:val="00397405"/>
    <w:rsid w:val="0039742F"/>
    <w:rsid w:val="00397450"/>
    <w:rsid w:val="003974AD"/>
    <w:rsid w:val="003975B7"/>
    <w:rsid w:val="003976A7"/>
    <w:rsid w:val="00397757"/>
    <w:rsid w:val="00397760"/>
    <w:rsid w:val="003977FF"/>
    <w:rsid w:val="003978CE"/>
    <w:rsid w:val="003979A9"/>
    <w:rsid w:val="00397A2B"/>
    <w:rsid w:val="00397A57"/>
    <w:rsid w:val="00397B42"/>
    <w:rsid w:val="00397CBB"/>
    <w:rsid w:val="00397DE1"/>
    <w:rsid w:val="00397E08"/>
    <w:rsid w:val="00397E94"/>
    <w:rsid w:val="00397EA7"/>
    <w:rsid w:val="003A0003"/>
    <w:rsid w:val="003A0004"/>
    <w:rsid w:val="003A0048"/>
    <w:rsid w:val="003A0092"/>
    <w:rsid w:val="003A00ED"/>
    <w:rsid w:val="003A0158"/>
    <w:rsid w:val="003A01F5"/>
    <w:rsid w:val="003A024D"/>
    <w:rsid w:val="003A02D3"/>
    <w:rsid w:val="003A04EF"/>
    <w:rsid w:val="003A04F0"/>
    <w:rsid w:val="003A0514"/>
    <w:rsid w:val="003A05ED"/>
    <w:rsid w:val="003A06BA"/>
    <w:rsid w:val="003A08CA"/>
    <w:rsid w:val="003A0995"/>
    <w:rsid w:val="003A0A2C"/>
    <w:rsid w:val="003A0A55"/>
    <w:rsid w:val="003A0AF1"/>
    <w:rsid w:val="003A0B50"/>
    <w:rsid w:val="003A0C20"/>
    <w:rsid w:val="003A0E1A"/>
    <w:rsid w:val="003A0ECF"/>
    <w:rsid w:val="003A0F58"/>
    <w:rsid w:val="003A0F6C"/>
    <w:rsid w:val="003A0F87"/>
    <w:rsid w:val="003A0FF1"/>
    <w:rsid w:val="003A1080"/>
    <w:rsid w:val="003A11AB"/>
    <w:rsid w:val="003A131E"/>
    <w:rsid w:val="003A1340"/>
    <w:rsid w:val="003A1464"/>
    <w:rsid w:val="003A14D0"/>
    <w:rsid w:val="003A1519"/>
    <w:rsid w:val="003A162D"/>
    <w:rsid w:val="003A1651"/>
    <w:rsid w:val="003A1659"/>
    <w:rsid w:val="003A16E4"/>
    <w:rsid w:val="003A196A"/>
    <w:rsid w:val="003A1A16"/>
    <w:rsid w:val="003A1AA9"/>
    <w:rsid w:val="003A1AFD"/>
    <w:rsid w:val="003A1C4B"/>
    <w:rsid w:val="003A1D3C"/>
    <w:rsid w:val="003A1E6B"/>
    <w:rsid w:val="003A1ED5"/>
    <w:rsid w:val="003A1EF7"/>
    <w:rsid w:val="003A1F51"/>
    <w:rsid w:val="003A202D"/>
    <w:rsid w:val="003A2033"/>
    <w:rsid w:val="003A204F"/>
    <w:rsid w:val="003A20A1"/>
    <w:rsid w:val="003A2152"/>
    <w:rsid w:val="003A2229"/>
    <w:rsid w:val="003A247E"/>
    <w:rsid w:val="003A25C8"/>
    <w:rsid w:val="003A284F"/>
    <w:rsid w:val="003A29F0"/>
    <w:rsid w:val="003A2AC6"/>
    <w:rsid w:val="003A2CA2"/>
    <w:rsid w:val="003A2CDB"/>
    <w:rsid w:val="003A2D32"/>
    <w:rsid w:val="003A2E16"/>
    <w:rsid w:val="003A3018"/>
    <w:rsid w:val="003A3216"/>
    <w:rsid w:val="003A3257"/>
    <w:rsid w:val="003A3277"/>
    <w:rsid w:val="003A32AF"/>
    <w:rsid w:val="003A3368"/>
    <w:rsid w:val="003A33F5"/>
    <w:rsid w:val="003A3447"/>
    <w:rsid w:val="003A36F1"/>
    <w:rsid w:val="003A3711"/>
    <w:rsid w:val="003A37DB"/>
    <w:rsid w:val="003A3A0A"/>
    <w:rsid w:val="003A3AAB"/>
    <w:rsid w:val="003A3AEE"/>
    <w:rsid w:val="003A3B17"/>
    <w:rsid w:val="003A3E29"/>
    <w:rsid w:val="003A4087"/>
    <w:rsid w:val="003A4222"/>
    <w:rsid w:val="003A423D"/>
    <w:rsid w:val="003A425D"/>
    <w:rsid w:val="003A438C"/>
    <w:rsid w:val="003A44F4"/>
    <w:rsid w:val="003A4943"/>
    <w:rsid w:val="003A49C8"/>
    <w:rsid w:val="003A4A64"/>
    <w:rsid w:val="003A4B84"/>
    <w:rsid w:val="003A4C29"/>
    <w:rsid w:val="003A4C7A"/>
    <w:rsid w:val="003A4CD9"/>
    <w:rsid w:val="003A4D23"/>
    <w:rsid w:val="003A4E3B"/>
    <w:rsid w:val="003A4EAF"/>
    <w:rsid w:val="003A4EF9"/>
    <w:rsid w:val="003A52AF"/>
    <w:rsid w:val="003A52BE"/>
    <w:rsid w:val="003A5378"/>
    <w:rsid w:val="003A53FC"/>
    <w:rsid w:val="003A5476"/>
    <w:rsid w:val="003A559F"/>
    <w:rsid w:val="003A55A4"/>
    <w:rsid w:val="003A5657"/>
    <w:rsid w:val="003A57BC"/>
    <w:rsid w:val="003A58E1"/>
    <w:rsid w:val="003A58F2"/>
    <w:rsid w:val="003A591A"/>
    <w:rsid w:val="003A591E"/>
    <w:rsid w:val="003A5922"/>
    <w:rsid w:val="003A59BE"/>
    <w:rsid w:val="003A5A0F"/>
    <w:rsid w:val="003A5A55"/>
    <w:rsid w:val="003A5B7B"/>
    <w:rsid w:val="003A5B7D"/>
    <w:rsid w:val="003A5CB7"/>
    <w:rsid w:val="003A5DF3"/>
    <w:rsid w:val="003A5E46"/>
    <w:rsid w:val="003A60EC"/>
    <w:rsid w:val="003A611C"/>
    <w:rsid w:val="003A6122"/>
    <w:rsid w:val="003A6395"/>
    <w:rsid w:val="003A63CD"/>
    <w:rsid w:val="003A63D1"/>
    <w:rsid w:val="003A642A"/>
    <w:rsid w:val="003A64C4"/>
    <w:rsid w:val="003A6527"/>
    <w:rsid w:val="003A66D8"/>
    <w:rsid w:val="003A67C3"/>
    <w:rsid w:val="003A6928"/>
    <w:rsid w:val="003A6AAC"/>
    <w:rsid w:val="003A6B9C"/>
    <w:rsid w:val="003A6D8B"/>
    <w:rsid w:val="003A6D8F"/>
    <w:rsid w:val="003A6DB3"/>
    <w:rsid w:val="003A6E22"/>
    <w:rsid w:val="003A6E44"/>
    <w:rsid w:val="003A6E5F"/>
    <w:rsid w:val="003A6F30"/>
    <w:rsid w:val="003A6F42"/>
    <w:rsid w:val="003A7249"/>
    <w:rsid w:val="003A730A"/>
    <w:rsid w:val="003A736A"/>
    <w:rsid w:val="003A74EE"/>
    <w:rsid w:val="003A7618"/>
    <w:rsid w:val="003A76E2"/>
    <w:rsid w:val="003A77B3"/>
    <w:rsid w:val="003A788C"/>
    <w:rsid w:val="003A7891"/>
    <w:rsid w:val="003A7AA8"/>
    <w:rsid w:val="003A7B3A"/>
    <w:rsid w:val="003A7B69"/>
    <w:rsid w:val="003A7CDB"/>
    <w:rsid w:val="003A7E02"/>
    <w:rsid w:val="003A7EA4"/>
    <w:rsid w:val="003A7EDB"/>
    <w:rsid w:val="003A7F64"/>
    <w:rsid w:val="003A7FE4"/>
    <w:rsid w:val="003B0271"/>
    <w:rsid w:val="003B0385"/>
    <w:rsid w:val="003B0458"/>
    <w:rsid w:val="003B057C"/>
    <w:rsid w:val="003B0590"/>
    <w:rsid w:val="003B0595"/>
    <w:rsid w:val="003B063E"/>
    <w:rsid w:val="003B0691"/>
    <w:rsid w:val="003B0790"/>
    <w:rsid w:val="003B0853"/>
    <w:rsid w:val="003B091B"/>
    <w:rsid w:val="003B0965"/>
    <w:rsid w:val="003B0C09"/>
    <w:rsid w:val="003B0CC5"/>
    <w:rsid w:val="003B0CDF"/>
    <w:rsid w:val="003B0D68"/>
    <w:rsid w:val="003B0DE4"/>
    <w:rsid w:val="003B0E6F"/>
    <w:rsid w:val="003B0F79"/>
    <w:rsid w:val="003B0FB4"/>
    <w:rsid w:val="003B1082"/>
    <w:rsid w:val="003B119B"/>
    <w:rsid w:val="003B1265"/>
    <w:rsid w:val="003B12FE"/>
    <w:rsid w:val="003B13ED"/>
    <w:rsid w:val="003B13FC"/>
    <w:rsid w:val="003B1401"/>
    <w:rsid w:val="003B142B"/>
    <w:rsid w:val="003B14A8"/>
    <w:rsid w:val="003B14CE"/>
    <w:rsid w:val="003B14FE"/>
    <w:rsid w:val="003B16F1"/>
    <w:rsid w:val="003B1742"/>
    <w:rsid w:val="003B17A9"/>
    <w:rsid w:val="003B17EB"/>
    <w:rsid w:val="003B18F6"/>
    <w:rsid w:val="003B1969"/>
    <w:rsid w:val="003B1A1D"/>
    <w:rsid w:val="003B1B56"/>
    <w:rsid w:val="003B1B7A"/>
    <w:rsid w:val="003B1C34"/>
    <w:rsid w:val="003B1C7E"/>
    <w:rsid w:val="003B1C92"/>
    <w:rsid w:val="003B1CD0"/>
    <w:rsid w:val="003B1D11"/>
    <w:rsid w:val="003B1DC7"/>
    <w:rsid w:val="003B1E78"/>
    <w:rsid w:val="003B1E7D"/>
    <w:rsid w:val="003B1EC3"/>
    <w:rsid w:val="003B1ED5"/>
    <w:rsid w:val="003B2007"/>
    <w:rsid w:val="003B2072"/>
    <w:rsid w:val="003B2078"/>
    <w:rsid w:val="003B2106"/>
    <w:rsid w:val="003B2109"/>
    <w:rsid w:val="003B227D"/>
    <w:rsid w:val="003B2323"/>
    <w:rsid w:val="003B23EA"/>
    <w:rsid w:val="003B2537"/>
    <w:rsid w:val="003B2605"/>
    <w:rsid w:val="003B268C"/>
    <w:rsid w:val="003B2818"/>
    <w:rsid w:val="003B28ED"/>
    <w:rsid w:val="003B28FF"/>
    <w:rsid w:val="003B2920"/>
    <w:rsid w:val="003B2928"/>
    <w:rsid w:val="003B29EF"/>
    <w:rsid w:val="003B2A61"/>
    <w:rsid w:val="003B2C9B"/>
    <w:rsid w:val="003B2CB9"/>
    <w:rsid w:val="003B2CEE"/>
    <w:rsid w:val="003B2E13"/>
    <w:rsid w:val="003B3159"/>
    <w:rsid w:val="003B334A"/>
    <w:rsid w:val="003B359A"/>
    <w:rsid w:val="003B3601"/>
    <w:rsid w:val="003B361B"/>
    <w:rsid w:val="003B36E4"/>
    <w:rsid w:val="003B3754"/>
    <w:rsid w:val="003B3757"/>
    <w:rsid w:val="003B379E"/>
    <w:rsid w:val="003B37A6"/>
    <w:rsid w:val="003B382E"/>
    <w:rsid w:val="003B38A9"/>
    <w:rsid w:val="003B38D2"/>
    <w:rsid w:val="003B3909"/>
    <w:rsid w:val="003B39E6"/>
    <w:rsid w:val="003B3BAD"/>
    <w:rsid w:val="003B3CD8"/>
    <w:rsid w:val="003B3DA5"/>
    <w:rsid w:val="003B3E91"/>
    <w:rsid w:val="003B3EFD"/>
    <w:rsid w:val="003B405B"/>
    <w:rsid w:val="003B417D"/>
    <w:rsid w:val="003B4230"/>
    <w:rsid w:val="003B423B"/>
    <w:rsid w:val="003B4244"/>
    <w:rsid w:val="003B4269"/>
    <w:rsid w:val="003B42D9"/>
    <w:rsid w:val="003B4344"/>
    <w:rsid w:val="003B4385"/>
    <w:rsid w:val="003B43C4"/>
    <w:rsid w:val="003B43C5"/>
    <w:rsid w:val="003B4619"/>
    <w:rsid w:val="003B47B0"/>
    <w:rsid w:val="003B483C"/>
    <w:rsid w:val="003B4948"/>
    <w:rsid w:val="003B4AB1"/>
    <w:rsid w:val="003B4B1F"/>
    <w:rsid w:val="003B4BDF"/>
    <w:rsid w:val="003B4C55"/>
    <w:rsid w:val="003B4E66"/>
    <w:rsid w:val="003B4EFA"/>
    <w:rsid w:val="003B4FC0"/>
    <w:rsid w:val="003B5277"/>
    <w:rsid w:val="003B527F"/>
    <w:rsid w:val="003B52EF"/>
    <w:rsid w:val="003B53E2"/>
    <w:rsid w:val="003B5417"/>
    <w:rsid w:val="003B544E"/>
    <w:rsid w:val="003B5839"/>
    <w:rsid w:val="003B587A"/>
    <w:rsid w:val="003B58BB"/>
    <w:rsid w:val="003B58D5"/>
    <w:rsid w:val="003B5920"/>
    <w:rsid w:val="003B5B5D"/>
    <w:rsid w:val="003B5B94"/>
    <w:rsid w:val="003B5BD9"/>
    <w:rsid w:val="003B5C4A"/>
    <w:rsid w:val="003B5C71"/>
    <w:rsid w:val="003B5D38"/>
    <w:rsid w:val="003B5F45"/>
    <w:rsid w:val="003B5F89"/>
    <w:rsid w:val="003B60A0"/>
    <w:rsid w:val="003B612D"/>
    <w:rsid w:val="003B640D"/>
    <w:rsid w:val="003B643E"/>
    <w:rsid w:val="003B644F"/>
    <w:rsid w:val="003B6519"/>
    <w:rsid w:val="003B664A"/>
    <w:rsid w:val="003B665D"/>
    <w:rsid w:val="003B68A0"/>
    <w:rsid w:val="003B68C1"/>
    <w:rsid w:val="003B68ED"/>
    <w:rsid w:val="003B6A2F"/>
    <w:rsid w:val="003B6A80"/>
    <w:rsid w:val="003B6A81"/>
    <w:rsid w:val="003B6AB6"/>
    <w:rsid w:val="003B6B47"/>
    <w:rsid w:val="003B6C6C"/>
    <w:rsid w:val="003B6D0D"/>
    <w:rsid w:val="003B6D4D"/>
    <w:rsid w:val="003B6DF7"/>
    <w:rsid w:val="003B6E90"/>
    <w:rsid w:val="003B6FC0"/>
    <w:rsid w:val="003B7108"/>
    <w:rsid w:val="003B7131"/>
    <w:rsid w:val="003B7238"/>
    <w:rsid w:val="003B7266"/>
    <w:rsid w:val="003B7267"/>
    <w:rsid w:val="003B7273"/>
    <w:rsid w:val="003B734D"/>
    <w:rsid w:val="003B737A"/>
    <w:rsid w:val="003B74DA"/>
    <w:rsid w:val="003B759E"/>
    <w:rsid w:val="003B75CD"/>
    <w:rsid w:val="003B761B"/>
    <w:rsid w:val="003B7780"/>
    <w:rsid w:val="003B77A3"/>
    <w:rsid w:val="003B77BD"/>
    <w:rsid w:val="003B78EF"/>
    <w:rsid w:val="003B7962"/>
    <w:rsid w:val="003B7970"/>
    <w:rsid w:val="003B7B54"/>
    <w:rsid w:val="003B7BF7"/>
    <w:rsid w:val="003B7C6E"/>
    <w:rsid w:val="003B7D0F"/>
    <w:rsid w:val="003B7DF2"/>
    <w:rsid w:val="003B7E68"/>
    <w:rsid w:val="003B7E98"/>
    <w:rsid w:val="003B7EB0"/>
    <w:rsid w:val="003B7EC8"/>
    <w:rsid w:val="003B7F4C"/>
    <w:rsid w:val="003C002F"/>
    <w:rsid w:val="003C0050"/>
    <w:rsid w:val="003C0070"/>
    <w:rsid w:val="003C026E"/>
    <w:rsid w:val="003C0291"/>
    <w:rsid w:val="003C02CC"/>
    <w:rsid w:val="003C0335"/>
    <w:rsid w:val="003C0399"/>
    <w:rsid w:val="003C0470"/>
    <w:rsid w:val="003C04C3"/>
    <w:rsid w:val="003C05B6"/>
    <w:rsid w:val="003C0714"/>
    <w:rsid w:val="003C0748"/>
    <w:rsid w:val="003C08D3"/>
    <w:rsid w:val="003C08D9"/>
    <w:rsid w:val="003C0921"/>
    <w:rsid w:val="003C0A42"/>
    <w:rsid w:val="003C0C95"/>
    <w:rsid w:val="003C0D58"/>
    <w:rsid w:val="003C1346"/>
    <w:rsid w:val="003C1383"/>
    <w:rsid w:val="003C1672"/>
    <w:rsid w:val="003C16CB"/>
    <w:rsid w:val="003C173E"/>
    <w:rsid w:val="003C17F6"/>
    <w:rsid w:val="003C180E"/>
    <w:rsid w:val="003C1853"/>
    <w:rsid w:val="003C19E1"/>
    <w:rsid w:val="003C1A32"/>
    <w:rsid w:val="003C1D48"/>
    <w:rsid w:val="003C1E32"/>
    <w:rsid w:val="003C1E55"/>
    <w:rsid w:val="003C1EE6"/>
    <w:rsid w:val="003C1F60"/>
    <w:rsid w:val="003C1F7F"/>
    <w:rsid w:val="003C1FE4"/>
    <w:rsid w:val="003C20BB"/>
    <w:rsid w:val="003C2100"/>
    <w:rsid w:val="003C211E"/>
    <w:rsid w:val="003C21FD"/>
    <w:rsid w:val="003C230B"/>
    <w:rsid w:val="003C2319"/>
    <w:rsid w:val="003C23DF"/>
    <w:rsid w:val="003C2590"/>
    <w:rsid w:val="003C2639"/>
    <w:rsid w:val="003C2753"/>
    <w:rsid w:val="003C278A"/>
    <w:rsid w:val="003C27ED"/>
    <w:rsid w:val="003C281D"/>
    <w:rsid w:val="003C2831"/>
    <w:rsid w:val="003C287D"/>
    <w:rsid w:val="003C29ED"/>
    <w:rsid w:val="003C2AD4"/>
    <w:rsid w:val="003C2BDA"/>
    <w:rsid w:val="003C2BF8"/>
    <w:rsid w:val="003C2CA5"/>
    <w:rsid w:val="003C2CFA"/>
    <w:rsid w:val="003C2D62"/>
    <w:rsid w:val="003C2E2E"/>
    <w:rsid w:val="003C2FBB"/>
    <w:rsid w:val="003C3122"/>
    <w:rsid w:val="003C31AA"/>
    <w:rsid w:val="003C3285"/>
    <w:rsid w:val="003C334B"/>
    <w:rsid w:val="003C336A"/>
    <w:rsid w:val="003C33B8"/>
    <w:rsid w:val="003C345C"/>
    <w:rsid w:val="003C35CA"/>
    <w:rsid w:val="003C3946"/>
    <w:rsid w:val="003C3A8C"/>
    <w:rsid w:val="003C3AE1"/>
    <w:rsid w:val="003C3BAB"/>
    <w:rsid w:val="003C3C1B"/>
    <w:rsid w:val="003C3D2E"/>
    <w:rsid w:val="003C3DF5"/>
    <w:rsid w:val="003C3E97"/>
    <w:rsid w:val="003C3F04"/>
    <w:rsid w:val="003C40C5"/>
    <w:rsid w:val="003C40D2"/>
    <w:rsid w:val="003C41D6"/>
    <w:rsid w:val="003C4280"/>
    <w:rsid w:val="003C4334"/>
    <w:rsid w:val="003C43CB"/>
    <w:rsid w:val="003C4436"/>
    <w:rsid w:val="003C448D"/>
    <w:rsid w:val="003C4541"/>
    <w:rsid w:val="003C4559"/>
    <w:rsid w:val="003C4678"/>
    <w:rsid w:val="003C46A4"/>
    <w:rsid w:val="003C49E5"/>
    <w:rsid w:val="003C4A65"/>
    <w:rsid w:val="003C4B0A"/>
    <w:rsid w:val="003C4BDE"/>
    <w:rsid w:val="003C4BE2"/>
    <w:rsid w:val="003C4DCF"/>
    <w:rsid w:val="003C4DEA"/>
    <w:rsid w:val="003C4EEC"/>
    <w:rsid w:val="003C4F29"/>
    <w:rsid w:val="003C4F8B"/>
    <w:rsid w:val="003C5084"/>
    <w:rsid w:val="003C5103"/>
    <w:rsid w:val="003C5210"/>
    <w:rsid w:val="003C52B4"/>
    <w:rsid w:val="003C52F0"/>
    <w:rsid w:val="003C5528"/>
    <w:rsid w:val="003C558C"/>
    <w:rsid w:val="003C561F"/>
    <w:rsid w:val="003C56C9"/>
    <w:rsid w:val="003C5720"/>
    <w:rsid w:val="003C5A30"/>
    <w:rsid w:val="003C5AAC"/>
    <w:rsid w:val="003C5AE4"/>
    <w:rsid w:val="003C5B5E"/>
    <w:rsid w:val="003C5C2F"/>
    <w:rsid w:val="003C5CEC"/>
    <w:rsid w:val="003C5DBD"/>
    <w:rsid w:val="003C5E1C"/>
    <w:rsid w:val="003C5E4A"/>
    <w:rsid w:val="003C5FEE"/>
    <w:rsid w:val="003C60F5"/>
    <w:rsid w:val="003C6183"/>
    <w:rsid w:val="003C61F0"/>
    <w:rsid w:val="003C61F3"/>
    <w:rsid w:val="003C625E"/>
    <w:rsid w:val="003C626B"/>
    <w:rsid w:val="003C62D3"/>
    <w:rsid w:val="003C62F6"/>
    <w:rsid w:val="003C6318"/>
    <w:rsid w:val="003C6558"/>
    <w:rsid w:val="003C6645"/>
    <w:rsid w:val="003C69EB"/>
    <w:rsid w:val="003C6A8C"/>
    <w:rsid w:val="003C6C25"/>
    <w:rsid w:val="003C6C52"/>
    <w:rsid w:val="003C6C7F"/>
    <w:rsid w:val="003C6D7F"/>
    <w:rsid w:val="003C6DAC"/>
    <w:rsid w:val="003C6F27"/>
    <w:rsid w:val="003C7099"/>
    <w:rsid w:val="003C70C1"/>
    <w:rsid w:val="003C7204"/>
    <w:rsid w:val="003C77E3"/>
    <w:rsid w:val="003C7861"/>
    <w:rsid w:val="003C78BB"/>
    <w:rsid w:val="003C78D3"/>
    <w:rsid w:val="003C79FB"/>
    <w:rsid w:val="003C7B5B"/>
    <w:rsid w:val="003C7EC4"/>
    <w:rsid w:val="003C7FB3"/>
    <w:rsid w:val="003D001C"/>
    <w:rsid w:val="003D00C3"/>
    <w:rsid w:val="003D022E"/>
    <w:rsid w:val="003D0316"/>
    <w:rsid w:val="003D0341"/>
    <w:rsid w:val="003D0345"/>
    <w:rsid w:val="003D047E"/>
    <w:rsid w:val="003D0558"/>
    <w:rsid w:val="003D056C"/>
    <w:rsid w:val="003D05B4"/>
    <w:rsid w:val="003D0639"/>
    <w:rsid w:val="003D06E9"/>
    <w:rsid w:val="003D07CD"/>
    <w:rsid w:val="003D098B"/>
    <w:rsid w:val="003D099C"/>
    <w:rsid w:val="003D09CC"/>
    <w:rsid w:val="003D0A10"/>
    <w:rsid w:val="003D0B2C"/>
    <w:rsid w:val="003D0C4E"/>
    <w:rsid w:val="003D0E1E"/>
    <w:rsid w:val="003D0E49"/>
    <w:rsid w:val="003D10F9"/>
    <w:rsid w:val="003D11A7"/>
    <w:rsid w:val="003D11EF"/>
    <w:rsid w:val="003D11FC"/>
    <w:rsid w:val="003D130A"/>
    <w:rsid w:val="003D13D7"/>
    <w:rsid w:val="003D14F0"/>
    <w:rsid w:val="003D14F8"/>
    <w:rsid w:val="003D1533"/>
    <w:rsid w:val="003D1609"/>
    <w:rsid w:val="003D1833"/>
    <w:rsid w:val="003D188C"/>
    <w:rsid w:val="003D1975"/>
    <w:rsid w:val="003D19D1"/>
    <w:rsid w:val="003D1A6E"/>
    <w:rsid w:val="003D1AF8"/>
    <w:rsid w:val="003D1B12"/>
    <w:rsid w:val="003D1B4C"/>
    <w:rsid w:val="003D1B55"/>
    <w:rsid w:val="003D1C8E"/>
    <w:rsid w:val="003D1D1E"/>
    <w:rsid w:val="003D1EA5"/>
    <w:rsid w:val="003D1EB3"/>
    <w:rsid w:val="003D1FE1"/>
    <w:rsid w:val="003D2122"/>
    <w:rsid w:val="003D216E"/>
    <w:rsid w:val="003D22F9"/>
    <w:rsid w:val="003D2331"/>
    <w:rsid w:val="003D248A"/>
    <w:rsid w:val="003D2634"/>
    <w:rsid w:val="003D26C4"/>
    <w:rsid w:val="003D2B7B"/>
    <w:rsid w:val="003D2B97"/>
    <w:rsid w:val="003D2C6E"/>
    <w:rsid w:val="003D2C9F"/>
    <w:rsid w:val="003D2D36"/>
    <w:rsid w:val="003D2D6D"/>
    <w:rsid w:val="003D2D7A"/>
    <w:rsid w:val="003D2DFF"/>
    <w:rsid w:val="003D2E37"/>
    <w:rsid w:val="003D2F0E"/>
    <w:rsid w:val="003D2F8B"/>
    <w:rsid w:val="003D2FE7"/>
    <w:rsid w:val="003D2FEC"/>
    <w:rsid w:val="003D3051"/>
    <w:rsid w:val="003D30C7"/>
    <w:rsid w:val="003D30D1"/>
    <w:rsid w:val="003D3121"/>
    <w:rsid w:val="003D3140"/>
    <w:rsid w:val="003D31CD"/>
    <w:rsid w:val="003D3461"/>
    <w:rsid w:val="003D3542"/>
    <w:rsid w:val="003D3865"/>
    <w:rsid w:val="003D399E"/>
    <w:rsid w:val="003D3A6A"/>
    <w:rsid w:val="003D3CBD"/>
    <w:rsid w:val="003D3DD6"/>
    <w:rsid w:val="003D3DF2"/>
    <w:rsid w:val="003D3F37"/>
    <w:rsid w:val="003D3FEA"/>
    <w:rsid w:val="003D41B0"/>
    <w:rsid w:val="003D4206"/>
    <w:rsid w:val="003D4213"/>
    <w:rsid w:val="003D426C"/>
    <w:rsid w:val="003D4318"/>
    <w:rsid w:val="003D44D8"/>
    <w:rsid w:val="003D45DC"/>
    <w:rsid w:val="003D45DD"/>
    <w:rsid w:val="003D4692"/>
    <w:rsid w:val="003D46A4"/>
    <w:rsid w:val="003D477A"/>
    <w:rsid w:val="003D4883"/>
    <w:rsid w:val="003D4A83"/>
    <w:rsid w:val="003D4C16"/>
    <w:rsid w:val="003D4C1F"/>
    <w:rsid w:val="003D4C92"/>
    <w:rsid w:val="003D4CCC"/>
    <w:rsid w:val="003D4CE4"/>
    <w:rsid w:val="003D4DA9"/>
    <w:rsid w:val="003D5142"/>
    <w:rsid w:val="003D5210"/>
    <w:rsid w:val="003D5211"/>
    <w:rsid w:val="003D528B"/>
    <w:rsid w:val="003D535C"/>
    <w:rsid w:val="003D5387"/>
    <w:rsid w:val="003D53A2"/>
    <w:rsid w:val="003D547C"/>
    <w:rsid w:val="003D549C"/>
    <w:rsid w:val="003D5639"/>
    <w:rsid w:val="003D56E8"/>
    <w:rsid w:val="003D5806"/>
    <w:rsid w:val="003D5832"/>
    <w:rsid w:val="003D5877"/>
    <w:rsid w:val="003D5926"/>
    <w:rsid w:val="003D5AD6"/>
    <w:rsid w:val="003D5B28"/>
    <w:rsid w:val="003D5BAE"/>
    <w:rsid w:val="003D5BEF"/>
    <w:rsid w:val="003D5C14"/>
    <w:rsid w:val="003D5C51"/>
    <w:rsid w:val="003D5CDA"/>
    <w:rsid w:val="003D5DA4"/>
    <w:rsid w:val="003D5E13"/>
    <w:rsid w:val="003D5E4B"/>
    <w:rsid w:val="003D5ECF"/>
    <w:rsid w:val="003D5F42"/>
    <w:rsid w:val="003D6002"/>
    <w:rsid w:val="003D60D4"/>
    <w:rsid w:val="003D60FD"/>
    <w:rsid w:val="003D6192"/>
    <w:rsid w:val="003D662C"/>
    <w:rsid w:val="003D669D"/>
    <w:rsid w:val="003D66A0"/>
    <w:rsid w:val="003D6B13"/>
    <w:rsid w:val="003D6B64"/>
    <w:rsid w:val="003D6BB8"/>
    <w:rsid w:val="003D6BF8"/>
    <w:rsid w:val="003D6BFC"/>
    <w:rsid w:val="003D6CCE"/>
    <w:rsid w:val="003D6CD4"/>
    <w:rsid w:val="003D6D36"/>
    <w:rsid w:val="003D6DDC"/>
    <w:rsid w:val="003D6E49"/>
    <w:rsid w:val="003D6F1C"/>
    <w:rsid w:val="003D6F29"/>
    <w:rsid w:val="003D70DB"/>
    <w:rsid w:val="003D71DC"/>
    <w:rsid w:val="003D7305"/>
    <w:rsid w:val="003D7354"/>
    <w:rsid w:val="003D739D"/>
    <w:rsid w:val="003D745F"/>
    <w:rsid w:val="003D74BF"/>
    <w:rsid w:val="003D7504"/>
    <w:rsid w:val="003D7536"/>
    <w:rsid w:val="003D7550"/>
    <w:rsid w:val="003D76CD"/>
    <w:rsid w:val="003D76E2"/>
    <w:rsid w:val="003D772C"/>
    <w:rsid w:val="003D774C"/>
    <w:rsid w:val="003D788A"/>
    <w:rsid w:val="003D78EB"/>
    <w:rsid w:val="003D79B5"/>
    <w:rsid w:val="003D7A4B"/>
    <w:rsid w:val="003D7A50"/>
    <w:rsid w:val="003D7C69"/>
    <w:rsid w:val="003D7D4A"/>
    <w:rsid w:val="003D7D7A"/>
    <w:rsid w:val="003D7EFC"/>
    <w:rsid w:val="003D7F4E"/>
    <w:rsid w:val="003D7F54"/>
    <w:rsid w:val="003D7F99"/>
    <w:rsid w:val="003E02F6"/>
    <w:rsid w:val="003E0383"/>
    <w:rsid w:val="003E039A"/>
    <w:rsid w:val="003E03C9"/>
    <w:rsid w:val="003E03D0"/>
    <w:rsid w:val="003E04E0"/>
    <w:rsid w:val="003E0502"/>
    <w:rsid w:val="003E058E"/>
    <w:rsid w:val="003E0590"/>
    <w:rsid w:val="003E0659"/>
    <w:rsid w:val="003E06CC"/>
    <w:rsid w:val="003E06EE"/>
    <w:rsid w:val="003E0862"/>
    <w:rsid w:val="003E0874"/>
    <w:rsid w:val="003E0A70"/>
    <w:rsid w:val="003E0AAB"/>
    <w:rsid w:val="003E0B9B"/>
    <w:rsid w:val="003E0B9E"/>
    <w:rsid w:val="003E0D13"/>
    <w:rsid w:val="003E0E48"/>
    <w:rsid w:val="003E1195"/>
    <w:rsid w:val="003E13E9"/>
    <w:rsid w:val="003E16C9"/>
    <w:rsid w:val="003E16F7"/>
    <w:rsid w:val="003E1707"/>
    <w:rsid w:val="003E1744"/>
    <w:rsid w:val="003E17C5"/>
    <w:rsid w:val="003E17FF"/>
    <w:rsid w:val="003E1866"/>
    <w:rsid w:val="003E1946"/>
    <w:rsid w:val="003E194F"/>
    <w:rsid w:val="003E1A03"/>
    <w:rsid w:val="003E1A6C"/>
    <w:rsid w:val="003E1AE6"/>
    <w:rsid w:val="003E1B58"/>
    <w:rsid w:val="003E1DF4"/>
    <w:rsid w:val="003E1DF7"/>
    <w:rsid w:val="003E1EC3"/>
    <w:rsid w:val="003E1FD2"/>
    <w:rsid w:val="003E1FF8"/>
    <w:rsid w:val="003E213C"/>
    <w:rsid w:val="003E2353"/>
    <w:rsid w:val="003E268C"/>
    <w:rsid w:val="003E268D"/>
    <w:rsid w:val="003E275A"/>
    <w:rsid w:val="003E2762"/>
    <w:rsid w:val="003E2785"/>
    <w:rsid w:val="003E286A"/>
    <w:rsid w:val="003E2873"/>
    <w:rsid w:val="003E2998"/>
    <w:rsid w:val="003E299F"/>
    <w:rsid w:val="003E2A4D"/>
    <w:rsid w:val="003E2C16"/>
    <w:rsid w:val="003E2CB9"/>
    <w:rsid w:val="003E2CCB"/>
    <w:rsid w:val="003E2D15"/>
    <w:rsid w:val="003E2E06"/>
    <w:rsid w:val="003E2EE7"/>
    <w:rsid w:val="003E31EF"/>
    <w:rsid w:val="003E31FA"/>
    <w:rsid w:val="003E3339"/>
    <w:rsid w:val="003E33AB"/>
    <w:rsid w:val="003E3456"/>
    <w:rsid w:val="003E3458"/>
    <w:rsid w:val="003E3673"/>
    <w:rsid w:val="003E3879"/>
    <w:rsid w:val="003E3904"/>
    <w:rsid w:val="003E3945"/>
    <w:rsid w:val="003E39E7"/>
    <w:rsid w:val="003E3AC1"/>
    <w:rsid w:val="003E3B46"/>
    <w:rsid w:val="003E3B6C"/>
    <w:rsid w:val="003E3BC1"/>
    <w:rsid w:val="003E3BED"/>
    <w:rsid w:val="003E3C2A"/>
    <w:rsid w:val="003E3C6E"/>
    <w:rsid w:val="003E3D25"/>
    <w:rsid w:val="003E3D88"/>
    <w:rsid w:val="003E3E01"/>
    <w:rsid w:val="003E3F5A"/>
    <w:rsid w:val="003E3FAB"/>
    <w:rsid w:val="003E40A2"/>
    <w:rsid w:val="003E422D"/>
    <w:rsid w:val="003E4282"/>
    <w:rsid w:val="003E4349"/>
    <w:rsid w:val="003E4456"/>
    <w:rsid w:val="003E456C"/>
    <w:rsid w:val="003E458A"/>
    <w:rsid w:val="003E4660"/>
    <w:rsid w:val="003E4681"/>
    <w:rsid w:val="003E46E3"/>
    <w:rsid w:val="003E4719"/>
    <w:rsid w:val="003E48CC"/>
    <w:rsid w:val="003E492D"/>
    <w:rsid w:val="003E4B08"/>
    <w:rsid w:val="003E4C6F"/>
    <w:rsid w:val="003E4C97"/>
    <w:rsid w:val="003E4D0C"/>
    <w:rsid w:val="003E4D2D"/>
    <w:rsid w:val="003E4DFB"/>
    <w:rsid w:val="003E4E34"/>
    <w:rsid w:val="003E4F7F"/>
    <w:rsid w:val="003E4FBA"/>
    <w:rsid w:val="003E4FCA"/>
    <w:rsid w:val="003E4FE3"/>
    <w:rsid w:val="003E5113"/>
    <w:rsid w:val="003E536D"/>
    <w:rsid w:val="003E547E"/>
    <w:rsid w:val="003E560A"/>
    <w:rsid w:val="003E5649"/>
    <w:rsid w:val="003E567F"/>
    <w:rsid w:val="003E56C4"/>
    <w:rsid w:val="003E56F3"/>
    <w:rsid w:val="003E575C"/>
    <w:rsid w:val="003E57C2"/>
    <w:rsid w:val="003E58D5"/>
    <w:rsid w:val="003E5A19"/>
    <w:rsid w:val="003E5C26"/>
    <w:rsid w:val="003E5CFA"/>
    <w:rsid w:val="003E5D09"/>
    <w:rsid w:val="003E5DB1"/>
    <w:rsid w:val="003E5E05"/>
    <w:rsid w:val="003E5E93"/>
    <w:rsid w:val="003E5F15"/>
    <w:rsid w:val="003E617D"/>
    <w:rsid w:val="003E62D9"/>
    <w:rsid w:val="003E6328"/>
    <w:rsid w:val="003E6354"/>
    <w:rsid w:val="003E635B"/>
    <w:rsid w:val="003E6530"/>
    <w:rsid w:val="003E66A5"/>
    <w:rsid w:val="003E66CE"/>
    <w:rsid w:val="003E6706"/>
    <w:rsid w:val="003E6725"/>
    <w:rsid w:val="003E6767"/>
    <w:rsid w:val="003E690C"/>
    <w:rsid w:val="003E6995"/>
    <w:rsid w:val="003E6A9A"/>
    <w:rsid w:val="003E6ADC"/>
    <w:rsid w:val="003E6B22"/>
    <w:rsid w:val="003E707B"/>
    <w:rsid w:val="003E722C"/>
    <w:rsid w:val="003E74C5"/>
    <w:rsid w:val="003E756E"/>
    <w:rsid w:val="003E7655"/>
    <w:rsid w:val="003E76DE"/>
    <w:rsid w:val="003E7A66"/>
    <w:rsid w:val="003E7A85"/>
    <w:rsid w:val="003E7A8D"/>
    <w:rsid w:val="003E7B42"/>
    <w:rsid w:val="003E7B73"/>
    <w:rsid w:val="003E7B97"/>
    <w:rsid w:val="003E7BDD"/>
    <w:rsid w:val="003E7CC9"/>
    <w:rsid w:val="003E7CEC"/>
    <w:rsid w:val="003E7D59"/>
    <w:rsid w:val="003E7E97"/>
    <w:rsid w:val="003E7EB2"/>
    <w:rsid w:val="003E7F81"/>
    <w:rsid w:val="003E7F82"/>
    <w:rsid w:val="003E7FBB"/>
    <w:rsid w:val="003F000C"/>
    <w:rsid w:val="003F000E"/>
    <w:rsid w:val="003F00CC"/>
    <w:rsid w:val="003F03AC"/>
    <w:rsid w:val="003F0409"/>
    <w:rsid w:val="003F0490"/>
    <w:rsid w:val="003F0675"/>
    <w:rsid w:val="003F06B2"/>
    <w:rsid w:val="003F080F"/>
    <w:rsid w:val="003F0965"/>
    <w:rsid w:val="003F0A64"/>
    <w:rsid w:val="003F0B41"/>
    <w:rsid w:val="003F0B97"/>
    <w:rsid w:val="003F0C1D"/>
    <w:rsid w:val="003F0C81"/>
    <w:rsid w:val="003F0CD3"/>
    <w:rsid w:val="003F0DAF"/>
    <w:rsid w:val="003F0DB7"/>
    <w:rsid w:val="003F0FCE"/>
    <w:rsid w:val="003F12AE"/>
    <w:rsid w:val="003F140C"/>
    <w:rsid w:val="003F1450"/>
    <w:rsid w:val="003F15F0"/>
    <w:rsid w:val="003F1661"/>
    <w:rsid w:val="003F1786"/>
    <w:rsid w:val="003F197A"/>
    <w:rsid w:val="003F1A4B"/>
    <w:rsid w:val="003F1BCD"/>
    <w:rsid w:val="003F1BDC"/>
    <w:rsid w:val="003F1C5A"/>
    <w:rsid w:val="003F1C62"/>
    <w:rsid w:val="003F1C74"/>
    <w:rsid w:val="003F1E83"/>
    <w:rsid w:val="003F1EB5"/>
    <w:rsid w:val="003F1F56"/>
    <w:rsid w:val="003F1FA5"/>
    <w:rsid w:val="003F2007"/>
    <w:rsid w:val="003F2045"/>
    <w:rsid w:val="003F2209"/>
    <w:rsid w:val="003F2391"/>
    <w:rsid w:val="003F242A"/>
    <w:rsid w:val="003F2446"/>
    <w:rsid w:val="003F2470"/>
    <w:rsid w:val="003F247C"/>
    <w:rsid w:val="003F26A1"/>
    <w:rsid w:val="003F26E1"/>
    <w:rsid w:val="003F2714"/>
    <w:rsid w:val="003F2875"/>
    <w:rsid w:val="003F28AD"/>
    <w:rsid w:val="003F2934"/>
    <w:rsid w:val="003F2943"/>
    <w:rsid w:val="003F2A98"/>
    <w:rsid w:val="003F2AD4"/>
    <w:rsid w:val="003F2BB0"/>
    <w:rsid w:val="003F2C33"/>
    <w:rsid w:val="003F303A"/>
    <w:rsid w:val="003F3062"/>
    <w:rsid w:val="003F326A"/>
    <w:rsid w:val="003F3273"/>
    <w:rsid w:val="003F3314"/>
    <w:rsid w:val="003F33D4"/>
    <w:rsid w:val="003F3497"/>
    <w:rsid w:val="003F363C"/>
    <w:rsid w:val="003F3660"/>
    <w:rsid w:val="003F379C"/>
    <w:rsid w:val="003F3800"/>
    <w:rsid w:val="003F3864"/>
    <w:rsid w:val="003F3C3E"/>
    <w:rsid w:val="003F3D24"/>
    <w:rsid w:val="003F3D94"/>
    <w:rsid w:val="003F3E8D"/>
    <w:rsid w:val="003F3F0C"/>
    <w:rsid w:val="003F4014"/>
    <w:rsid w:val="003F4061"/>
    <w:rsid w:val="003F40AE"/>
    <w:rsid w:val="003F40F3"/>
    <w:rsid w:val="003F4111"/>
    <w:rsid w:val="003F4156"/>
    <w:rsid w:val="003F4280"/>
    <w:rsid w:val="003F42FC"/>
    <w:rsid w:val="003F4325"/>
    <w:rsid w:val="003F4442"/>
    <w:rsid w:val="003F447F"/>
    <w:rsid w:val="003F4485"/>
    <w:rsid w:val="003F4638"/>
    <w:rsid w:val="003F4669"/>
    <w:rsid w:val="003F4731"/>
    <w:rsid w:val="003F4945"/>
    <w:rsid w:val="003F4956"/>
    <w:rsid w:val="003F4B2C"/>
    <w:rsid w:val="003F4B43"/>
    <w:rsid w:val="003F4BE6"/>
    <w:rsid w:val="003F4C6D"/>
    <w:rsid w:val="003F4D4D"/>
    <w:rsid w:val="003F4E2F"/>
    <w:rsid w:val="003F4E58"/>
    <w:rsid w:val="003F4E5F"/>
    <w:rsid w:val="003F4EB0"/>
    <w:rsid w:val="003F4F32"/>
    <w:rsid w:val="003F50DE"/>
    <w:rsid w:val="003F517A"/>
    <w:rsid w:val="003F5218"/>
    <w:rsid w:val="003F5263"/>
    <w:rsid w:val="003F5326"/>
    <w:rsid w:val="003F534F"/>
    <w:rsid w:val="003F5422"/>
    <w:rsid w:val="003F5515"/>
    <w:rsid w:val="003F56FA"/>
    <w:rsid w:val="003F57CB"/>
    <w:rsid w:val="003F5901"/>
    <w:rsid w:val="003F5951"/>
    <w:rsid w:val="003F5BBF"/>
    <w:rsid w:val="003F5C87"/>
    <w:rsid w:val="003F5E10"/>
    <w:rsid w:val="003F5E91"/>
    <w:rsid w:val="003F6021"/>
    <w:rsid w:val="003F6235"/>
    <w:rsid w:val="003F628E"/>
    <w:rsid w:val="003F631D"/>
    <w:rsid w:val="003F632A"/>
    <w:rsid w:val="003F6388"/>
    <w:rsid w:val="003F6485"/>
    <w:rsid w:val="003F64DB"/>
    <w:rsid w:val="003F655F"/>
    <w:rsid w:val="003F65C5"/>
    <w:rsid w:val="003F6683"/>
    <w:rsid w:val="003F6689"/>
    <w:rsid w:val="003F6691"/>
    <w:rsid w:val="003F67E0"/>
    <w:rsid w:val="003F67F6"/>
    <w:rsid w:val="003F68E5"/>
    <w:rsid w:val="003F69CF"/>
    <w:rsid w:val="003F6A52"/>
    <w:rsid w:val="003F6A8F"/>
    <w:rsid w:val="003F6B24"/>
    <w:rsid w:val="003F6B34"/>
    <w:rsid w:val="003F6BDB"/>
    <w:rsid w:val="003F6BFB"/>
    <w:rsid w:val="003F6C44"/>
    <w:rsid w:val="003F6E1F"/>
    <w:rsid w:val="003F6E2F"/>
    <w:rsid w:val="003F6E8A"/>
    <w:rsid w:val="003F6F5A"/>
    <w:rsid w:val="003F6F6C"/>
    <w:rsid w:val="003F6F9D"/>
    <w:rsid w:val="003F6FC8"/>
    <w:rsid w:val="003F70E2"/>
    <w:rsid w:val="003F710A"/>
    <w:rsid w:val="003F710E"/>
    <w:rsid w:val="003F72B1"/>
    <w:rsid w:val="003F740B"/>
    <w:rsid w:val="003F747D"/>
    <w:rsid w:val="003F74D5"/>
    <w:rsid w:val="003F75F7"/>
    <w:rsid w:val="003F7611"/>
    <w:rsid w:val="003F76B8"/>
    <w:rsid w:val="003F7747"/>
    <w:rsid w:val="003F777B"/>
    <w:rsid w:val="003F778D"/>
    <w:rsid w:val="003F7874"/>
    <w:rsid w:val="003F78C6"/>
    <w:rsid w:val="003F7A5E"/>
    <w:rsid w:val="003F7A88"/>
    <w:rsid w:val="003F7BE2"/>
    <w:rsid w:val="003F7BE4"/>
    <w:rsid w:val="003F7D85"/>
    <w:rsid w:val="003F7D91"/>
    <w:rsid w:val="003F7EBC"/>
    <w:rsid w:val="003F7FA2"/>
    <w:rsid w:val="0040000B"/>
    <w:rsid w:val="00400091"/>
    <w:rsid w:val="004000CF"/>
    <w:rsid w:val="004000F9"/>
    <w:rsid w:val="0040017C"/>
    <w:rsid w:val="00400334"/>
    <w:rsid w:val="00400452"/>
    <w:rsid w:val="00400471"/>
    <w:rsid w:val="0040059D"/>
    <w:rsid w:val="00400691"/>
    <w:rsid w:val="00400739"/>
    <w:rsid w:val="00400984"/>
    <w:rsid w:val="004009F8"/>
    <w:rsid w:val="00400A8E"/>
    <w:rsid w:val="00400B33"/>
    <w:rsid w:val="00400BCD"/>
    <w:rsid w:val="00400D02"/>
    <w:rsid w:val="00400D49"/>
    <w:rsid w:val="00400D60"/>
    <w:rsid w:val="00400F12"/>
    <w:rsid w:val="00401021"/>
    <w:rsid w:val="00401058"/>
    <w:rsid w:val="0040105C"/>
    <w:rsid w:val="00401302"/>
    <w:rsid w:val="00401457"/>
    <w:rsid w:val="004014C9"/>
    <w:rsid w:val="00401518"/>
    <w:rsid w:val="0040154D"/>
    <w:rsid w:val="0040156B"/>
    <w:rsid w:val="00401604"/>
    <w:rsid w:val="00401A6C"/>
    <w:rsid w:val="00401B0B"/>
    <w:rsid w:val="00401B3A"/>
    <w:rsid w:val="00401B47"/>
    <w:rsid w:val="00401C5F"/>
    <w:rsid w:val="00401C7C"/>
    <w:rsid w:val="00401CF4"/>
    <w:rsid w:val="00401D2B"/>
    <w:rsid w:val="00401DE8"/>
    <w:rsid w:val="00401FA7"/>
    <w:rsid w:val="00401FB3"/>
    <w:rsid w:val="00402006"/>
    <w:rsid w:val="00402046"/>
    <w:rsid w:val="0040207D"/>
    <w:rsid w:val="00402101"/>
    <w:rsid w:val="0040210E"/>
    <w:rsid w:val="0040235B"/>
    <w:rsid w:val="004023DE"/>
    <w:rsid w:val="004026E3"/>
    <w:rsid w:val="004026FB"/>
    <w:rsid w:val="00402724"/>
    <w:rsid w:val="00402727"/>
    <w:rsid w:val="00402875"/>
    <w:rsid w:val="00402882"/>
    <w:rsid w:val="004029DF"/>
    <w:rsid w:val="00402AD3"/>
    <w:rsid w:val="00402B1A"/>
    <w:rsid w:val="00402BDA"/>
    <w:rsid w:val="00402C3E"/>
    <w:rsid w:val="00402C46"/>
    <w:rsid w:val="00402F08"/>
    <w:rsid w:val="00402F52"/>
    <w:rsid w:val="00403134"/>
    <w:rsid w:val="004033BE"/>
    <w:rsid w:val="00403434"/>
    <w:rsid w:val="004034A1"/>
    <w:rsid w:val="004034DD"/>
    <w:rsid w:val="00403646"/>
    <w:rsid w:val="00403655"/>
    <w:rsid w:val="0040379B"/>
    <w:rsid w:val="004037F7"/>
    <w:rsid w:val="00403850"/>
    <w:rsid w:val="00403B87"/>
    <w:rsid w:val="00403BD2"/>
    <w:rsid w:val="00403BFB"/>
    <w:rsid w:val="00403CD3"/>
    <w:rsid w:val="00403E09"/>
    <w:rsid w:val="00403F0E"/>
    <w:rsid w:val="00403FC0"/>
    <w:rsid w:val="004040B0"/>
    <w:rsid w:val="00404265"/>
    <w:rsid w:val="00404304"/>
    <w:rsid w:val="004043A3"/>
    <w:rsid w:val="004043DB"/>
    <w:rsid w:val="00404409"/>
    <w:rsid w:val="0040449C"/>
    <w:rsid w:val="0040451F"/>
    <w:rsid w:val="004045EE"/>
    <w:rsid w:val="00404623"/>
    <w:rsid w:val="00404678"/>
    <w:rsid w:val="004047D7"/>
    <w:rsid w:val="004047F9"/>
    <w:rsid w:val="00404A2D"/>
    <w:rsid w:val="00404B81"/>
    <w:rsid w:val="00404C5E"/>
    <w:rsid w:val="00404D96"/>
    <w:rsid w:val="00404DC4"/>
    <w:rsid w:val="00404DE3"/>
    <w:rsid w:val="00404E36"/>
    <w:rsid w:val="00404E57"/>
    <w:rsid w:val="00404F0E"/>
    <w:rsid w:val="00404FC0"/>
    <w:rsid w:val="00405027"/>
    <w:rsid w:val="00405069"/>
    <w:rsid w:val="00405513"/>
    <w:rsid w:val="0040569D"/>
    <w:rsid w:val="004056A7"/>
    <w:rsid w:val="004056B6"/>
    <w:rsid w:val="004056ED"/>
    <w:rsid w:val="00405740"/>
    <w:rsid w:val="00405742"/>
    <w:rsid w:val="00405778"/>
    <w:rsid w:val="004059CF"/>
    <w:rsid w:val="004059D8"/>
    <w:rsid w:val="00405A94"/>
    <w:rsid w:val="00405AAA"/>
    <w:rsid w:val="00405B10"/>
    <w:rsid w:val="00405C18"/>
    <w:rsid w:val="00405D6D"/>
    <w:rsid w:val="00405D8D"/>
    <w:rsid w:val="00405F2E"/>
    <w:rsid w:val="004061AD"/>
    <w:rsid w:val="0040629A"/>
    <w:rsid w:val="004062FC"/>
    <w:rsid w:val="00406301"/>
    <w:rsid w:val="00406303"/>
    <w:rsid w:val="00406408"/>
    <w:rsid w:val="004064F6"/>
    <w:rsid w:val="0040664F"/>
    <w:rsid w:val="004066B6"/>
    <w:rsid w:val="004066D3"/>
    <w:rsid w:val="004066EE"/>
    <w:rsid w:val="00406856"/>
    <w:rsid w:val="004068E9"/>
    <w:rsid w:val="00406A50"/>
    <w:rsid w:val="00406AD8"/>
    <w:rsid w:val="00406B2A"/>
    <w:rsid w:val="00406CB4"/>
    <w:rsid w:val="00406E54"/>
    <w:rsid w:val="00406E5D"/>
    <w:rsid w:val="00406F16"/>
    <w:rsid w:val="00407144"/>
    <w:rsid w:val="00407173"/>
    <w:rsid w:val="004072CC"/>
    <w:rsid w:val="004073AA"/>
    <w:rsid w:val="00407427"/>
    <w:rsid w:val="00407508"/>
    <w:rsid w:val="00407548"/>
    <w:rsid w:val="004075FD"/>
    <w:rsid w:val="00407794"/>
    <w:rsid w:val="00407837"/>
    <w:rsid w:val="0040788A"/>
    <w:rsid w:val="00407BD5"/>
    <w:rsid w:val="00407BDE"/>
    <w:rsid w:val="00407C3C"/>
    <w:rsid w:val="00407D31"/>
    <w:rsid w:val="00407F82"/>
    <w:rsid w:val="00410028"/>
    <w:rsid w:val="0041016C"/>
    <w:rsid w:val="0041024A"/>
    <w:rsid w:val="004102D4"/>
    <w:rsid w:val="00410300"/>
    <w:rsid w:val="0041042E"/>
    <w:rsid w:val="0041048F"/>
    <w:rsid w:val="004104A0"/>
    <w:rsid w:val="004106CD"/>
    <w:rsid w:val="004107F5"/>
    <w:rsid w:val="00410907"/>
    <w:rsid w:val="0041090E"/>
    <w:rsid w:val="0041093C"/>
    <w:rsid w:val="00410977"/>
    <w:rsid w:val="004109D0"/>
    <w:rsid w:val="00410A35"/>
    <w:rsid w:val="00410A43"/>
    <w:rsid w:val="00410A8F"/>
    <w:rsid w:val="00410A96"/>
    <w:rsid w:val="00410B2A"/>
    <w:rsid w:val="00410B56"/>
    <w:rsid w:val="00410CF4"/>
    <w:rsid w:val="00410D48"/>
    <w:rsid w:val="00410DB4"/>
    <w:rsid w:val="00410E0B"/>
    <w:rsid w:val="00410E3E"/>
    <w:rsid w:val="00410E3F"/>
    <w:rsid w:val="00410E77"/>
    <w:rsid w:val="00410EB6"/>
    <w:rsid w:val="00410F25"/>
    <w:rsid w:val="00410F69"/>
    <w:rsid w:val="00410F80"/>
    <w:rsid w:val="00410FF5"/>
    <w:rsid w:val="0041104A"/>
    <w:rsid w:val="00411167"/>
    <w:rsid w:val="004114C3"/>
    <w:rsid w:val="00411500"/>
    <w:rsid w:val="00411729"/>
    <w:rsid w:val="0041181F"/>
    <w:rsid w:val="004118D1"/>
    <w:rsid w:val="0041191A"/>
    <w:rsid w:val="00411980"/>
    <w:rsid w:val="004119A4"/>
    <w:rsid w:val="00411C2A"/>
    <w:rsid w:val="00411DFB"/>
    <w:rsid w:val="00411DFE"/>
    <w:rsid w:val="00411FA5"/>
    <w:rsid w:val="00412216"/>
    <w:rsid w:val="00412318"/>
    <w:rsid w:val="00412408"/>
    <w:rsid w:val="0041250B"/>
    <w:rsid w:val="00412555"/>
    <w:rsid w:val="004126EE"/>
    <w:rsid w:val="00412836"/>
    <w:rsid w:val="00412976"/>
    <w:rsid w:val="00412983"/>
    <w:rsid w:val="004129DF"/>
    <w:rsid w:val="00412A62"/>
    <w:rsid w:val="00412AE0"/>
    <w:rsid w:val="00412AF2"/>
    <w:rsid w:val="00412C1B"/>
    <w:rsid w:val="00412C8D"/>
    <w:rsid w:val="00412C9F"/>
    <w:rsid w:val="00412D30"/>
    <w:rsid w:val="00412D71"/>
    <w:rsid w:val="00412E6B"/>
    <w:rsid w:val="00412FF3"/>
    <w:rsid w:val="004130DB"/>
    <w:rsid w:val="00413163"/>
    <w:rsid w:val="0041317B"/>
    <w:rsid w:val="0041329C"/>
    <w:rsid w:val="0041335A"/>
    <w:rsid w:val="004133A6"/>
    <w:rsid w:val="00413443"/>
    <w:rsid w:val="00413746"/>
    <w:rsid w:val="00413893"/>
    <w:rsid w:val="004138E4"/>
    <w:rsid w:val="00413A06"/>
    <w:rsid w:val="00413A4A"/>
    <w:rsid w:val="00413CE1"/>
    <w:rsid w:val="00413DDE"/>
    <w:rsid w:val="00413F8B"/>
    <w:rsid w:val="00413FBC"/>
    <w:rsid w:val="00414011"/>
    <w:rsid w:val="004141AF"/>
    <w:rsid w:val="004141DD"/>
    <w:rsid w:val="004142C8"/>
    <w:rsid w:val="00414366"/>
    <w:rsid w:val="0041437D"/>
    <w:rsid w:val="004143B4"/>
    <w:rsid w:val="00414485"/>
    <w:rsid w:val="0041454A"/>
    <w:rsid w:val="004145DA"/>
    <w:rsid w:val="004146F2"/>
    <w:rsid w:val="0041472C"/>
    <w:rsid w:val="004147D5"/>
    <w:rsid w:val="004147EF"/>
    <w:rsid w:val="00414883"/>
    <w:rsid w:val="00414959"/>
    <w:rsid w:val="00414960"/>
    <w:rsid w:val="004149F9"/>
    <w:rsid w:val="004149FD"/>
    <w:rsid w:val="00414A96"/>
    <w:rsid w:val="00414AA6"/>
    <w:rsid w:val="00414ACC"/>
    <w:rsid w:val="00414C94"/>
    <w:rsid w:val="00414D21"/>
    <w:rsid w:val="00414D8F"/>
    <w:rsid w:val="00414E69"/>
    <w:rsid w:val="00414F1E"/>
    <w:rsid w:val="0041510D"/>
    <w:rsid w:val="0041527C"/>
    <w:rsid w:val="00415817"/>
    <w:rsid w:val="0041587C"/>
    <w:rsid w:val="00415899"/>
    <w:rsid w:val="00415AC1"/>
    <w:rsid w:val="00415B8F"/>
    <w:rsid w:val="00415C01"/>
    <w:rsid w:val="00415C80"/>
    <w:rsid w:val="00415CAE"/>
    <w:rsid w:val="00415CEE"/>
    <w:rsid w:val="00415EF9"/>
    <w:rsid w:val="00416051"/>
    <w:rsid w:val="00416287"/>
    <w:rsid w:val="0041628B"/>
    <w:rsid w:val="004162A9"/>
    <w:rsid w:val="004162D3"/>
    <w:rsid w:val="0041632A"/>
    <w:rsid w:val="00416465"/>
    <w:rsid w:val="004166C0"/>
    <w:rsid w:val="0041678E"/>
    <w:rsid w:val="004168F3"/>
    <w:rsid w:val="0041697A"/>
    <w:rsid w:val="00416A9D"/>
    <w:rsid w:val="00416B29"/>
    <w:rsid w:val="00416C2E"/>
    <w:rsid w:val="00416D97"/>
    <w:rsid w:val="00416F1B"/>
    <w:rsid w:val="00416F22"/>
    <w:rsid w:val="0041708B"/>
    <w:rsid w:val="004170DC"/>
    <w:rsid w:val="004171AC"/>
    <w:rsid w:val="00417367"/>
    <w:rsid w:val="004174F1"/>
    <w:rsid w:val="004175AF"/>
    <w:rsid w:val="00417683"/>
    <w:rsid w:val="00417733"/>
    <w:rsid w:val="004177E7"/>
    <w:rsid w:val="0041787B"/>
    <w:rsid w:val="00417969"/>
    <w:rsid w:val="004179FF"/>
    <w:rsid w:val="00417A8A"/>
    <w:rsid w:val="00417AA3"/>
    <w:rsid w:val="00417B89"/>
    <w:rsid w:val="00417BB3"/>
    <w:rsid w:val="00417C25"/>
    <w:rsid w:val="00417E21"/>
    <w:rsid w:val="00417F17"/>
    <w:rsid w:val="0042007D"/>
    <w:rsid w:val="00420244"/>
    <w:rsid w:val="00420261"/>
    <w:rsid w:val="00420283"/>
    <w:rsid w:val="004202AB"/>
    <w:rsid w:val="004202BF"/>
    <w:rsid w:val="00420346"/>
    <w:rsid w:val="00420350"/>
    <w:rsid w:val="00420413"/>
    <w:rsid w:val="00420427"/>
    <w:rsid w:val="0042049A"/>
    <w:rsid w:val="004204EF"/>
    <w:rsid w:val="004204F3"/>
    <w:rsid w:val="004204F9"/>
    <w:rsid w:val="0042051A"/>
    <w:rsid w:val="004205E2"/>
    <w:rsid w:val="004205EF"/>
    <w:rsid w:val="0042071D"/>
    <w:rsid w:val="0042074D"/>
    <w:rsid w:val="004207AA"/>
    <w:rsid w:val="004208A3"/>
    <w:rsid w:val="004208FF"/>
    <w:rsid w:val="0042092B"/>
    <w:rsid w:val="004209B3"/>
    <w:rsid w:val="00420B5B"/>
    <w:rsid w:val="00420C2E"/>
    <w:rsid w:val="00420D27"/>
    <w:rsid w:val="00420F0B"/>
    <w:rsid w:val="00420F6F"/>
    <w:rsid w:val="00420F82"/>
    <w:rsid w:val="00420FC5"/>
    <w:rsid w:val="0042133B"/>
    <w:rsid w:val="0042138E"/>
    <w:rsid w:val="004213BF"/>
    <w:rsid w:val="00421525"/>
    <w:rsid w:val="0042152F"/>
    <w:rsid w:val="004216C4"/>
    <w:rsid w:val="00421866"/>
    <w:rsid w:val="00421A00"/>
    <w:rsid w:val="00421BC2"/>
    <w:rsid w:val="00421DF7"/>
    <w:rsid w:val="00422073"/>
    <w:rsid w:val="00422120"/>
    <w:rsid w:val="00422126"/>
    <w:rsid w:val="004221E4"/>
    <w:rsid w:val="0042225F"/>
    <w:rsid w:val="004222A8"/>
    <w:rsid w:val="0042231E"/>
    <w:rsid w:val="004226EB"/>
    <w:rsid w:val="004226F7"/>
    <w:rsid w:val="0042270F"/>
    <w:rsid w:val="004227B5"/>
    <w:rsid w:val="0042283F"/>
    <w:rsid w:val="00422891"/>
    <w:rsid w:val="00422A93"/>
    <w:rsid w:val="00422BA4"/>
    <w:rsid w:val="00422CA4"/>
    <w:rsid w:val="00422CEB"/>
    <w:rsid w:val="00422CF4"/>
    <w:rsid w:val="00422DA8"/>
    <w:rsid w:val="00422E8C"/>
    <w:rsid w:val="00422EC3"/>
    <w:rsid w:val="00422EEB"/>
    <w:rsid w:val="004230AF"/>
    <w:rsid w:val="004230CD"/>
    <w:rsid w:val="00423521"/>
    <w:rsid w:val="0042365A"/>
    <w:rsid w:val="004237C8"/>
    <w:rsid w:val="004237FE"/>
    <w:rsid w:val="00423A94"/>
    <w:rsid w:val="00423AA4"/>
    <w:rsid w:val="00423AFA"/>
    <w:rsid w:val="00423B89"/>
    <w:rsid w:val="00423C41"/>
    <w:rsid w:val="00423CD0"/>
    <w:rsid w:val="00423D15"/>
    <w:rsid w:val="00423E7D"/>
    <w:rsid w:val="00423F82"/>
    <w:rsid w:val="004240B9"/>
    <w:rsid w:val="004240EA"/>
    <w:rsid w:val="00424162"/>
    <w:rsid w:val="004243C8"/>
    <w:rsid w:val="004243F3"/>
    <w:rsid w:val="00424427"/>
    <w:rsid w:val="004244EA"/>
    <w:rsid w:val="0042488E"/>
    <w:rsid w:val="004248E3"/>
    <w:rsid w:val="004249ED"/>
    <w:rsid w:val="00424A8B"/>
    <w:rsid w:val="00424AD9"/>
    <w:rsid w:val="00424B36"/>
    <w:rsid w:val="00424B63"/>
    <w:rsid w:val="00424BC5"/>
    <w:rsid w:val="00424C61"/>
    <w:rsid w:val="00424C96"/>
    <w:rsid w:val="00424C9B"/>
    <w:rsid w:val="00424CDA"/>
    <w:rsid w:val="00424D7D"/>
    <w:rsid w:val="00424E13"/>
    <w:rsid w:val="00424E22"/>
    <w:rsid w:val="00424E3E"/>
    <w:rsid w:val="00424F6A"/>
    <w:rsid w:val="00425109"/>
    <w:rsid w:val="0042514F"/>
    <w:rsid w:val="00425312"/>
    <w:rsid w:val="00425485"/>
    <w:rsid w:val="00425579"/>
    <w:rsid w:val="004255B0"/>
    <w:rsid w:val="004255CC"/>
    <w:rsid w:val="004255E0"/>
    <w:rsid w:val="004255F4"/>
    <w:rsid w:val="00425721"/>
    <w:rsid w:val="0042577B"/>
    <w:rsid w:val="004257AF"/>
    <w:rsid w:val="0042589E"/>
    <w:rsid w:val="00425A57"/>
    <w:rsid w:val="00425A7C"/>
    <w:rsid w:val="00425B82"/>
    <w:rsid w:val="00425BEA"/>
    <w:rsid w:val="00425BF7"/>
    <w:rsid w:val="00425CBC"/>
    <w:rsid w:val="00425CC7"/>
    <w:rsid w:val="00425D9D"/>
    <w:rsid w:val="00425E4A"/>
    <w:rsid w:val="00425F94"/>
    <w:rsid w:val="00425F9B"/>
    <w:rsid w:val="00426022"/>
    <w:rsid w:val="00426060"/>
    <w:rsid w:val="0042622B"/>
    <w:rsid w:val="004262F2"/>
    <w:rsid w:val="00426317"/>
    <w:rsid w:val="0042632C"/>
    <w:rsid w:val="00426360"/>
    <w:rsid w:val="0042659E"/>
    <w:rsid w:val="004265C2"/>
    <w:rsid w:val="00426766"/>
    <w:rsid w:val="00426821"/>
    <w:rsid w:val="0042683F"/>
    <w:rsid w:val="00426870"/>
    <w:rsid w:val="004268EC"/>
    <w:rsid w:val="0042693F"/>
    <w:rsid w:val="00426A1C"/>
    <w:rsid w:val="00426A69"/>
    <w:rsid w:val="00426B70"/>
    <w:rsid w:val="00426B9E"/>
    <w:rsid w:val="00426BD0"/>
    <w:rsid w:val="00426C4B"/>
    <w:rsid w:val="00426C77"/>
    <w:rsid w:val="00426CAA"/>
    <w:rsid w:val="00426CB0"/>
    <w:rsid w:val="00426E04"/>
    <w:rsid w:val="00426EC4"/>
    <w:rsid w:val="004272BB"/>
    <w:rsid w:val="004272BF"/>
    <w:rsid w:val="0042732A"/>
    <w:rsid w:val="004273D5"/>
    <w:rsid w:val="004273F3"/>
    <w:rsid w:val="00427560"/>
    <w:rsid w:val="0042769A"/>
    <w:rsid w:val="0042774F"/>
    <w:rsid w:val="0042793E"/>
    <w:rsid w:val="00427A71"/>
    <w:rsid w:val="00427A99"/>
    <w:rsid w:val="00427BAD"/>
    <w:rsid w:val="00427C28"/>
    <w:rsid w:val="00427D80"/>
    <w:rsid w:val="00427DBF"/>
    <w:rsid w:val="00427E3E"/>
    <w:rsid w:val="00427E94"/>
    <w:rsid w:val="00427F3B"/>
    <w:rsid w:val="0043025C"/>
    <w:rsid w:val="00430417"/>
    <w:rsid w:val="00430661"/>
    <w:rsid w:val="00430671"/>
    <w:rsid w:val="004306EF"/>
    <w:rsid w:val="004307BC"/>
    <w:rsid w:val="004307C7"/>
    <w:rsid w:val="004308A9"/>
    <w:rsid w:val="00430B98"/>
    <w:rsid w:val="00430C7B"/>
    <w:rsid w:val="00430D22"/>
    <w:rsid w:val="00430D75"/>
    <w:rsid w:val="00430DB0"/>
    <w:rsid w:val="00430DDE"/>
    <w:rsid w:val="00430F7E"/>
    <w:rsid w:val="00430FBF"/>
    <w:rsid w:val="004310EF"/>
    <w:rsid w:val="0043120C"/>
    <w:rsid w:val="0043140B"/>
    <w:rsid w:val="00431437"/>
    <w:rsid w:val="004314C2"/>
    <w:rsid w:val="004314C7"/>
    <w:rsid w:val="00431512"/>
    <w:rsid w:val="00431592"/>
    <w:rsid w:val="00431753"/>
    <w:rsid w:val="004317B0"/>
    <w:rsid w:val="00431871"/>
    <w:rsid w:val="00431885"/>
    <w:rsid w:val="004318EB"/>
    <w:rsid w:val="0043193E"/>
    <w:rsid w:val="004319B3"/>
    <w:rsid w:val="004319E1"/>
    <w:rsid w:val="00431A19"/>
    <w:rsid w:val="00431A78"/>
    <w:rsid w:val="00431B5D"/>
    <w:rsid w:val="00431C6E"/>
    <w:rsid w:val="00431CA4"/>
    <w:rsid w:val="00431D01"/>
    <w:rsid w:val="00431F8A"/>
    <w:rsid w:val="00432055"/>
    <w:rsid w:val="0043215A"/>
    <w:rsid w:val="004321B5"/>
    <w:rsid w:val="004321EF"/>
    <w:rsid w:val="00432226"/>
    <w:rsid w:val="00432324"/>
    <w:rsid w:val="0043233D"/>
    <w:rsid w:val="004323D7"/>
    <w:rsid w:val="004325AE"/>
    <w:rsid w:val="004325B9"/>
    <w:rsid w:val="00432607"/>
    <w:rsid w:val="004326A1"/>
    <w:rsid w:val="00432876"/>
    <w:rsid w:val="004328FD"/>
    <w:rsid w:val="00432C0E"/>
    <w:rsid w:val="00432C7D"/>
    <w:rsid w:val="00432D14"/>
    <w:rsid w:val="00432E08"/>
    <w:rsid w:val="00432E80"/>
    <w:rsid w:val="00432EC6"/>
    <w:rsid w:val="00432F14"/>
    <w:rsid w:val="00432F63"/>
    <w:rsid w:val="00433119"/>
    <w:rsid w:val="00433136"/>
    <w:rsid w:val="0043313E"/>
    <w:rsid w:val="00433144"/>
    <w:rsid w:val="00433188"/>
    <w:rsid w:val="004332AC"/>
    <w:rsid w:val="0043330B"/>
    <w:rsid w:val="004333AF"/>
    <w:rsid w:val="004334BB"/>
    <w:rsid w:val="004335A9"/>
    <w:rsid w:val="004336D2"/>
    <w:rsid w:val="004336D7"/>
    <w:rsid w:val="00433844"/>
    <w:rsid w:val="004338AF"/>
    <w:rsid w:val="00433AAC"/>
    <w:rsid w:val="00433AEF"/>
    <w:rsid w:val="00433C5E"/>
    <w:rsid w:val="00433D0B"/>
    <w:rsid w:val="00433D34"/>
    <w:rsid w:val="00433E55"/>
    <w:rsid w:val="00434152"/>
    <w:rsid w:val="0043435E"/>
    <w:rsid w:val="004343F4"/>
    <w:rsid w:val="0043446E"/>
    <w:rsid w:val="004345B7"/>
    <w:rsid w:val="0043464F"/>
    <w:rsid w:val="00434849"/>
    <w:rsid w:val="004348E8"/>
    <w:rsid w:val="004349E7"/>
    <w:rsid w:val="00434A1F"/>
    <w:rsid w:val="00434ACA"/>
    <w:rsid w:val="00434D9D"/>
    <w:rsid w:val="00434F3D"/>
    <w:rsid w:val="0043508E"/>
    <w:rsid w:val="004350C2"/>
    <w:rsid w:val="004350F7"/>
    <w:rsid w:val="00435240"/>
    <w:rsid w:val="004352C7"/>
    <w:rsid w:val="00435379"/>
    <w:rsid w:val="004353C8"/>
    <w:rsid w:val="004353EC"/>
    <w:rsid w:val="0043541C"/>
    <w:rsid w:val="00435590"/>
    <w:rsid w:val="004355EE"/>
    <w:rsid w:val="0043568A"/>
    <w:rsid w:val="004356B2"/>
    <w:rsid w:val="00435785"/>
    <w:rsid w:val="00435850"/>
    <w:rsid w:val="004358D3"/>
    <w:rsid w:val="004359A4"/>
    <w:rsid w:val="00435C1F"/>
    <w:rsid w:val="00435CD9"/>
    <w:rsid w:val="00435CEF"/>
    <w:rsid w:val="00435D3B"/>
    <w:rsid w:val="00435E16"/>
    <w:rsid w:val="00435E9A"/>
    <w:rsid w:val="004360CC"/>
    <w:rsid w:val="00436122"/>
    <w:rsid w:val="004361D8"/>
    <w:rsid w:val="004361D9"/>
    <w:rsid w:val="00436642"/>
    <w:rsid w:val="00436657"/>
    <w:rsid w:val="0043668D"/>
    <w:rsid w:val="004366A5"/>
    <w:rsid w:val="0043677C"/>
    <w:rsid w:val="00436811"/>
    <w:rsid w:val="00436819"/>
    <w:rsid w:val="00436983"/>
    <w:rsid w:val="004369A0"/>
    <w:rsid w:val="004369F6"/>
    <w:rsid w:val="00436AC0"/>
    <w:rsid w:val="00436AD8"/>
    <w:rsid w:val="00436AFC"/>
    <w:rsid w:val="00436BE2"/>
    <w:rsid w:val="00436DED"/>
    <w:rsid w:val="00436E26"/>
    <w:rsid w:val="00436F13"/>
    <w:rsid w:val="00436FA5"/>
    <w:rsid w:val="0043701C"/>
    <w:rsid w:val="004371F2"/>
    <w:rsid w:val="00437206"/>
    <w:rsid w:val="00437212"/>
    <w:rsid w:val="004372DE"/>
    <w:rsid w:val="00437320"/>
    <w:rsid w:val="00437424"/>
    <w:rsid w:val="004375CF"/>
    <w:rsid w:val="0043768E"/>
    <w:rsid w:val="00437760"/>
    <w:rsid w:val="0043782D"/>
    <w:rsid w:val="00437994"/>
    <w:rsid w:val="00437AFC"/>
    <w:rsid w:val="00437B6A"/>
    <w:rsid w:val="00437BDC"/>
    <w:rsid w:val="00437BFB"/>
    <w:rsid w:val="00437CF2"/>
    <w:rsid w:val="00437D18"/>
    <w:rsid w:val="00437D50"/>
    <w:rsid w:val="00437E1B"/>
    <w:rsid w:val="00437E2B"/>
    <w:rsid w:val="00437E74"/>
    <w:rsid w:val="00440093"/>
    <w:rsid w:val="004401C7"/>
    <w:rsid w:val="00440221"/>
    <w:rsid w:val="00440315"/>
    <w:rsid w:val="004403C1"/>
    <w:rsid w:val="004403DA"/>
    <w:rsid w:val="00440440"/>
    <w:rsid w:val="00440467"/>
    <w:rsid w:val="004404AE"/>
    <w:rsid w:val="00440751"/>
    <w:rsid w:val="0044075A"/>
    <w:rsid w:val="00440AA4"/>
    <w:rsid w:val="00440AC1"/>
    <w:rsid w:val="00440AFC"/>
    <w:rsid w:val="00440C48"/>
    <w:rsid w:val="00440DC9"/>
    <w:rsid w:val="00440DEA"/>
    <w:rsid w:val="00440EBC"/>
    <w:rsid w:val="00441067"/>
    <w:rsid w:val="004410E3"/>
    <w:rsid w:val="00441174"/>
    <w:rsid w:val="004411DE"/>
    <w:rsid w:val="0044123D"/>
    <w:rsid w:val="004412FE"/>
    <w:rsid w:val="004413C3"/>
    <w:rsid w:val="004414EB"/>
    <w:rsid w:val="00441539"/>
    <w:rsid w:val="00441680"/>
    <w:rsid w:val="004416AD"/>
    <w:rsid w:val="0044182E"/>
    <w:rsid w:val="004418DE"/>
    <w:rsid w:val="004418E8"/>
    <w:rsid w:val="00441A16"/>
    <w:rsid w:val="00441B45"/>
    <w:rsid w:val="00441B80"/>
    <w:rsid w:val="00441B90"/>
    <w:rsid w:val="00441C04"/>
    <w:rsid w:val="00441C75"/>
    <w:rsid w:val="00441CCE"/>
    <w:rsid w:val="00441D28"/>
    <w:rsid w:val="00441E35"/>
    <w:rsid w:val="00441F30"/>
    <w:rsid w:val="00442095"/>
    <w:rsid w:val="004420A1"/>
    <w:rsid w:val="0044212A"/>
    <w:rsid w:val="004421D7"/>
    <w:rsid w:val="00442233"/>
    <w:rsid w:val="004422C0"/>
    <w:rsid w:val="004423DE"/>
    <w:rsid w:val="00442594"/>
    <w:rsid w:val="004425B2"/>
    <w:rsid w:val="004427F9"/>
    <w:rsid w:val="00442839"/>
    <w:rsid w:val="0044286F"/>
    <w:rsid w:val="004428C8"/>
    <w:rsid w:val="0044294F"/>
    <w:rsid w:val="00442992"/>
    <w:rsid w:val="00442A10"/>
    <w:rsid w:val="00442A9D"/>
    <w:rsid w:val="00442BD0"/>
    <w:rsid w:val="00442BDA"/>
    <w:rsid w:val="00442C99"/>
    <w:rsid w:val="00442D30"/>
    <w:rsid w:val="00442EEF"/>
    <w:rsid w:val="0044305B"/>
    <w:rsid w:val="004430FD"/>
    <w:rsid w:val="0044314D"/>
    <w:rsid w:val="004431A3"/>
    <w:rsid w:val="004432C5"/>
    <w:rsid w:val="0044333B"/>
    <w:rsid w:val="0044341D"/>
    <w:rsid w:val="004434D9"/>
    <w:rsid w:val="00443559"/>
    <w:rsid w:val="00443613"/>
    <w:rsid w:val="00443664"/>
    <w:rsid w:val="0044375D"/>
    <w:rsid w:val="0044378F"/>
    <w:rsid w:val="004438CA"/>
    <w:rsid w:val="0044399B"/>
    <w:rsid w:val="004439A0"/>
    <w:rsid w:val="00443A3B"/>
    <w:rsid w:val="00443A76"/>
    <w:rsid w:val="00443AE3"/>
    <w:rsid w:val="00443B9A"/>
    <w:rsid w:val="00443C20"/>
    <w:rsid w:val="00443EC2"/>
    <w:rsid w:val="00443F82"/>
    <w:rsid w:val="00444041"/>
    <w:rsid w:val="004441B4"/>
    <w:rsid w:val="004441C3"/>
    <w:rsid w:val="0044422A"/>
    <w:rsid w:val="0044426D"/>
    <w:rsid w:val="00444380"/>
    <w:rsid w:val="00444410"/>
    <w:rsid w:val="0044442B"/>
    <w:rsid w:val="004444F4"/>
    <w:rsid w:val="00444594"/>
    <w:rsid w:val="004445B7"/>
    <w:rsid w:val="0044471B"/>
    <w:rsid w:val="00444753"/>
    <w:rsid w:val="0044481D"/>
    <w:rsid w:val="004449F2"/>
    <w:rsid w:val="00444B83"/>
    <w:rsid w:val="00444B93"/>
    <w:rsid w:val="00444FED"/>
    <w:rsid w:val="0044515C"/>
    <w:rsid w:val="004451C1"/>
    <w:rsid w:val="004451EF"/>
    <w:rsid w:val="00445221"/>
    <w:rsid w:val="0044525D"/>
    <w:rsid w:val="00445656"/>
    <w:rsid w:val="004456CB"/>
    <w:rsid w:val="00445832"/>
    <w:rsid w:val="00445871"/>
    <w:rsid w:val="00445905"/>
    <w:rsid w:val="00445943"/>
    <w:rsid w:val="00445A2F"/>
    <w:rsid w:val="00445AC7"/>
    <w:rsid w:val="00445B73"/>
    <w:rsid w:val="00445BF4"/>
    <w:rsid w:val="00445C56"/>
    <w:rsid w:val="00445D5A"/>
    <w:rsid w:val="00445E44"/>
    <w:rsid w:val="00445ED9"/>
    <w:rsid w:val="00446060"/>
    <w:rsid w:val="004460EE"/>
    <w:rsid w:val="004463BA"/>
    <w:rsid w:val="004463BF"/>
    <w:rsid w:val="004465ED"/>
    <w:rsid w:val="00446660"/>
    <w:rsid w:val="004466F7"/>
    <w:rsid w:val="0044677C"/>
    <w:rsid w:val="004467B4"/>
    <w:rsid w:val="004467BE"/>
    <w:rsid w:val="0044685F"/>
    <w:rsid w:val="004468D2"/>
    <w:rsid w:val="00446A84"/>
    <w:rsid w:val="00446C1B"/>
    <w:rsid w:val="00446D80"/>
    <w:rsid w:val="00446E29"/>
    <w:rsid w:val="00446F34"/>
    <w:rsid w:val="00447084"/>
    <w:rsid w:val="004471EA"/>
    <w:rsid w:val="00447275"/>
    <w:rsid w:val="00447461"/>
    <w:rsid w:val="0044753B"/>
    <w:rsid w:val="00447769"/>
    <w:rsid w:val="00447797"/>
    <w:rsid w:val="00447860"/>
    <w:rsid w:val="004478F3"/>
    <w:rsid w:val="004479BA"/>
    <w:rsid w:val="00447B40"/>
    <w:rsid w:val="00447DA2"/>
    <w:rsid w:val="00447E06"/>
    <w:rsid w:val="00447E40"/>
    <w:rsid w:val="00447E97"/>
    <w:rsid w:val="0045010A"/>
    <w:rsid w:val="00450120"/>
    <w:rsid w:val="004501CB"/>
    <w:rsid w:val="00450202"/>
    <w:rsid w:val="0045021B"/>
    <w:rsid w:val="00450306"/>
    <w:rsid w:val="0045033A"/>
    <w:rsid w:val="004503AC"/>
    <w:rsid w:val="00450412"/>
    <w:rsid w:val="00450449"/>
    <w:rsid w:val="0045068C"/>
    <w:rsid w:val="00450771"/>
    <w:rsid w:val="00450831"/>
    <w:rsid w:val="004508F9"/>
    <w:rsid w:val="0045099F"/>
    <w:rsid w:val="004509AF"/>
    <w:rsid w:val="00450B78"/>
    <w:rsid w:val="00450B82"/>
    <w:rsid w:val="00450BEF"/>
    <w:rsid w:val="00450C88"/>
    <w:rsid w:val="00450C98"/>
    <w:rsid w:val="00450DE4"/>
    <w:rsid w:val="00450FB9"/>
    <w:rsid w:val="00450FE6"/>
    <w:rsid w:val="00451010"/>
    <w:rsid w:val="004510E3"/>
    <w:rsid w:val="004511E6"/>
    <w:rsid w:val="00451210"/>
    <w:rsid w:val="00451218"/>
    <w:rsid w:val="0045131A"/>
    <w:rsid w:val="00451411"/>
    <w:rsid w:val="004515E8"/>
    <w:rsid w:val="004515EB"/>
    <w:rsid w:val="0045178A"/>
    <w:rsid w:val="004518B4"/>
    <w:rsid w:val="004518D6"/>
    <w:rsid w:val="004519CA"/>
    <w:rsid w:val="00451A4F"/>
    <w:rsid w:val="00451C4C"/>
    <w:rsid w:val="00451D16"/>
    <w:rsid w:val="00451D7C"/>
    <w:rsid w:val="00451D8F"/>
    <w:rsid w:val="00451DAC"/>
    <w:rsid w:val="00451DAF"/>
    <w:rsid w:val="00451EBF"/>
    <w:rsid w:val="00451EF1"/>
    <w:rsid w:val="00451FA3"/>
    <w:rsid w:val="00452056"/>
    <w:rsid w:val="0045209B"/>
    <w:rsid w:val="0045219F"/>
    <w:rsid w:val="00452383"/>
    <w:rsid w:val="004523DE"/>
    <w:rsid w:val="00452522"/>
    <w:rsid w:val="00452643"/>
    <w:rsid w:val="004526D3"/>
    <w:rsid w:val="004526D9"/>
    <w:rsid w:val="0045270D"/>
    <w:rsid w:val="0045280E"/>
    <w:rsid w:val="00452976"/>
    <w:rsid w:val="004529C9"/>
    <w:rsid w:val="00452A4E"/>
    <w:rsid w:val="00452A8C"/>
    <w:rsid w:val="00452A96"/>
    <w:rsid w:val="00452AE9"/>
    <w:rsid w:val="00452C17"/>
    <w:rsid w:val="00452C73"/>
    <w:rsid w:val="00452C8A"/>
    <w:rsid w:val="00452C90"/>
    <w:rsid w:val="00452CB6"/>
    <w:rsid w:val="00452D96"/>
    <w:rsid w:val="00452DB7"/>
    <w:rsid w:val="00452DBE"/>
    <w:rsid w:val="00452EF6"/>
    <w:rsid w:val="00453093"/>
    <w:rsid w:val="00453189"/>
    <w:rsid w:val="004531A1"/>
    <w:rsid w:val="00453200"/>
    <w:rsid w:val="0045331D"/>
    <w:rsid w:val="004533F9"/>
    <w:rsid w:val="00453412"/>
    <w:rsid w:val="00453688"/>
    <w:rsid w:val="0045377F"/>
    <w:rsid w:val="004537DB"/>
    <w:rsid w:val="004537F4"/>
    <w:rsid w:val="004538B9"/>
    <w:rsid w:val="004538F8"/>
    <w:rsid w:val="00453905"/>
    <w:rsid w:val="004539CB"/>
    <w:rsid w:val="004539DE"/>
    <w:rsid w:val="00453B74"/>
    <w:rsid w:val="00453CF1"/>
    <w:rsid w:val="00453DCF"/>
    <w:rsid w:val="00453DD2"/>
    <w:rsid w:val="00453E62"/>
    <w:rsid w:val="00453E8B"/>
    <w:rsid w:val="00453EE2"/>
    <w:rsid w:val="00454073"/>
    <w:rsid w:val="0045413D"/>
    <w:rsid w:val="004541AC"/>
    <w:rsid w:val="004541F9"/>
    <w:rsid w:val="00454319"/>
    <w:rsid w:val="00454510"/>
    <w:rsid w:val="004545B1"/>
    <w:rsid w:val="00454686"/>
    <w:rsid w:val="004548A8"/>
    <w:rsid w:val="004548B4"/>
    <w:rsid w:val="00454985"/>
    <w:rsid w:val="004549FD"/>
    <w:rsid w:val="00454A07"/>
    <w:rsid w:val="00454A3F"/>
    <w:rsid w:val="00454AB9"/>
    <w:rsid w:val="00454AC3"/>
    <w:rsid w:val="00454B4D"/>
    <w:rsid w:val="00454B60"/>
    <w:rsid w:val="00454B6D"/>
    <w:rsid w:val="00454BC0"/>
    <w:rsid w:val="00454BEA"/>
    <w:rsid w:val="00454C05"/>
    <w:rsid w:val="00454CBF"/>
    <w:rsid w:val="00454D12"/>
    <w:rsid w:val="00454D1B"/>
    <w:rsid w:val="00454ED1"/>
    <w:rsid w:val="00454EF3"/>
    <w:rsid w:val="00455031"/>
    <w:rsid w:val="004551B0"/>
    <w:rsid w:val="004552B0"/>
    <w:rsid w:val="004553D1"/>
    <w:rsid w:val="0045540F"/>
    <w:rsid w:val="00455507"/>
    <w:rsid w:val="00455564"/>
    <w:rsid w:val="004555FB"/>
    <w:rsid w:val="0045561D"/>
    <w:rsid w:val="004556D0"/>
    <w:rsid w:val="00455707"/>
    <w:rsid w:val="00455731"/>
    <w:rsid w:val="0045579F"/>
    <w:rsid w:val="004557A1"/>
    <w:rsid w:val="0045587C"/>
    <w:rsid w:val="004558FA"/>
    <w:rsid w:val="00455A78"/>
    <w:rsid w:val="00455B4B"/>
    <w:rsid w:val="00455D65"/>
    <w:rsid w:val="00455DE0"/>
    <w:rsid w:val="00455F55"/>
    <w:rsid w:val="00455FA1"/>
    <w:rsid w:val="00456137"/>
    <w:rsid w:val="0045613F"/>
    <w:rsid w:val="00456282"/>
    <w:rsid w:val="004562C5"/>
    <w:rsid w:val="00456459"/>
    <w:rsid w:val="00456878"/>
    <w:rsid w:val="004568A2"/>
    <w:rsid w:val="00456929"/>
    <w:rsid w:val="00456934"/>
    <w:rsid w:val="004569B0"/>
    <w:rsid w:val="00456A96"/>
    <w:rsid w:val="00456BAA"/>
    <w:rsid w:val="00456C12"/>
    <w:rsid w:val="00456E5F"/>
    <w:rsid w:val="00456ECF"/>
    <w:rsid w:val="00457164"/>
    <w:rsid w:val="0045718F"/>
    <w:rsid w:val="004572E3"/>
    <w:rsid w:val="00457445"/>
    <w:rsid w:val="00457498"/>
    <w:rsid w:val="00457510"/>
    <w:rsid w:val="0045761A"/>
    <w:rsid w:val="004576C5"/>
    <w:rsid w:val="004577FD"/>
    <w:rsid w:val="0045785E"/>
    <w:rsid w:val="004579D5"/>
    <w:rsid w:val="00457ACE"/>
    <w:rsid w:val="00457B64"/>
    <w:rsid w:val="00457B97"/>
    <w:rsid w:val="00457C39"/>
    <w:rsid w:val="00457C82"/>
    <w:rsid w:val="00457E7A"/>
    <w:rsid w:val="00457F80"/>
    <w:rsid w:val="00457F94"/>
    <w:rsid w:val="00460051"/>
    <w:rsid w:val="00460084"/>
    <w:rsid w:val="004600B4"/>
    <w:rsid w:val="00460141"/>
    <w:rsid w:val="00460401"/>
    <w:rsid w:val="00460443"/>
    <w:rsid w:val="00460505"/>
    <w:rsid w:val="0046050C"/>
    <w:rsid w:val="00460523"/>
    <w:rsid w:val="00460649"/>
    <w:rsid w:val="0046068B"/>
    <w:rsid w:val="0046078F"/>
    <w:rsid w:val="004609A7"/>
    <w:rsid w:val="00460AD7"/>
    <w:rsid w:val="00460CC2"/>
    <w:rsid w:val="00460D6E"/>
    <w:rsid w:val="00460DA1"/>
    <w:rsid w:val="00460DAF"/>
    <w:rsid w:val="00460FC0"/>
    <w:rsid w:val="00461063"/>
    <w:rsid w:val="004610DD"/>
    <w:rsid w:val="00461124"/>
    <w:rsid w:val="00461403"/>
    <w:rsid w:val="00461444"/>
    <w:rsid w:val="0046151A"/>
    <w:rsid w:val="0046153F"/>
    <w:rsid w:val="00461634"/>
    <w:rsid w:val="0046164A"/>
    <w:rsid w:val="0046169E"/>
    <w:rsid w:val="00461817"/>
    <w:rsid w:val="004618B2"/>
    <w:rsid w:val="00461947"/>
    <w:rsid w:val="00461950"/>
    <w:rsid w:val="00461C38"/>
    <w:rsid w:val="00461D6B"/>
    <w:rsid w:val="00461F8A"/>
    <w:rsid w:val="00461FA5"/>
    <w:rsid w:val="004621AA"/>
    <w:rsid w:val="00462223"/>
    <w:rsid w:val="00462240"/>
    <w:rsid w:val="004622C3"/>
    <w:rsid w:val="004622C7"/>
    <w:rsid w:val="00462385"/>
    <w:rsid w:val="00462563"/>
    <w:rsid w:val="004625F0"/>
    <w:rsid w:val="004628C1"/>
    <w:rsid w:val="0046290E"/>
    <w:rsid w:val="00462A7E"/>
    <w:rsid w:val="00462DA0"/>
    <w:rsid w:val="00462DA9"/>
    <w:rsid w:val="00462DB8"/>
    <w:rsid w:val="00462DC9"/>
    <w:rsid w:val="00462E13"/>
    <w:rsid w:val="00462E9C"/>
    <w:rsid w:val="00463241"/>
    <w:rsid w:val="004632E6"/>
    <w:rsid w:val="0046331E"/>
    <w:rsid w:val="00463336"/>
    <w:rsid w:val="00463388"/>
    <w:rsid w:val="00463418"/>
    <w:rsid w:val="00463450"/>
    <w:rsid w:val="0046352F"/>
    <w:rsid w:val="00463538"/>
    <w:rsid w:val="00463618"/>
    <w:rsid w:val="0046365B"/>
    <w:rsid w:val="00463670"/>
    <w:rsid w:val="00463685"/>
    <w:rsid w:val="00463936"/>
    <w:rsid w:val="00463A2E"/>
    <w:rsid w:val="00463A41"/>
    <w:rsid w:val="00463AAA"/>
    <w:rsid w:val="00463BC7"/>
    <w:rsid w:val="00463C91"/>
    <w:rsid w:val="00463CA6"/>
    <w:rsid w:val="00463CB5"/>
    <w:rsid w:val="00463D63"/>
    <w:rsid w:val="00463D7D"/>
    <w:rsid w:val="00463D80"/>
    <w:rsid w:val="00463E4B"/>
    <w:rsid w:val="00463E7D"/>
    <w:rsid w:val="00463F44"/>
    <w:rsid w:val="00463F78"/>
    <w:rsid w:val="00463FA8"/>
    <w:rsid w:val="0046401C"/>
    <w:rsid w:val="00464070"/>
    <w:rsid w:val="004641A3"/>
    <w:rsid w:val="004641E1"/>
    <w:rsid w:val="00464211"/>
    <w:rsid w:val="00464245"/>
    <w:rsid w:val="00464372"/>
    <w:rsid w:val="004643D5"/>
    <w:rsid w:val="004644B6"/>
    <w:rsid w:val="004644D8"/>
    <w:rsid w:val="0046463C"/>
    <w:rsid w:val="00464766"/>
    <w:rsid w:val="00464787"/>
    <w:rsid w:val="0046484B"/>
    <w:rsid w:val="0046487E"/>
    <w:rsid w:val="0046495C"/>
    <w:rsid w:val="00464DCC"/>
    <w:rsid w:val="00464E26"/>
    <w:rsid w:val="00464EBA"/>
    <w:rsid w:val="00464F2D"/>
    <w:rsid w:val="0046503F"/>
    <w:rsid w:val="00465074"/>
    <w:rsid w:val="0046507C"/>
    <w:rsid w:val="004650CE"/>
    <w:rsid w:val="004652A7"/>
    <w:rsid w:val="004654B8"/>
    <w:rsid w:val="00465528"/>
    <w:rsid w:val="0046553B"/>
    <w:rsid w:val="0046563B"/>
    <w:rsid w:val="004656D2"/>
    <w:rsid w:val="004657B7"/>
    <w:rsid w:val="0046582F"/>
    <w:rsid w:val="00465987"/>
    <w:rsid w:val="00465ADF"/>
    <w:rsid w:val="00465B8E"/>
    <w:rsid w:val="00465C0C"/>
    <w:rsid w:val="00465CE0"/>
    <w:rsid w:val="00465F51"/>
    <w:rsid w:val="00465F6C"/>
    <w:rsid w:val="00465F72"/>
    <w:rsid w:val="00465F86"/>
    <w:rsid w:val="004660B5"/>
    <w:rsid w:val="004660C6"/>
    <w:rsid w:val="00466121"/>
    <w:rsid w:val="004661E4"/>
    <w:rsid w:val="00466282"/>
    <w:rsid w:val="004662B1"/>
    <w:rsid w:val="004662D9"/>
    <w:rsid w:val="00466423"/>
    <w:rsid w:val="004664E4"/>
    <w:rsid w:val="0046651C"/>
    <w:rsid w:val="0046679D"/>
    <w:rsid w:val="004668F3"/>
    <w:rsid w:val="00466A69"/>
    <w:rsid w:val="00466A6C"/>
    <w:rsid w:val="00466AA9"/>
    <w:rsid w:val="00466B62"/>
    <w:rsid w:val="00466D4F"/>
    <w:rsid w:val="00466DEB"/>
    <w:rsid w:val="00466E07"/>
    <w:rsid w:val="00466EA0"/>
    <w:rsid w:val="00466EBF"/>
    <w:rsid w:val="00466F03"/>
    <w:rsid w:val="00466F12"/>
    <w:rsid w:val="0046701A"/>
    <w:rsid w:val="004670AC"/>
    <w:rsid w:val="00467178"/>
    <w:rsid w:val="00467185"/>
    <w:rsid w:val="00467457"/>
    <w:rsid w:val="004674D2"/>
    <w:rsid w:val="0046775F"/>
    <w:rsid w:val="004679A6"/>
    <w:rsid w:val="00467A19"/>
    <w:rsid w:val="00467B05"/>
    <w:rsid w:val="00467B4E"/>
    <w:rsid w:val="00467B75"/>
    <w:rsid w:val="00467BDF"/>
    <w:rsid w:val="00467BFF"/>
    <w:rsid w:val="00467C0E"/>
    <w:rsid w:val="00467CDE"/>
    <w:rsid w:val="00467CF7"/>
    <w:rsid w:val="00467D1A"/>
    <w:rsid w:val="00467D38"/>
    <w:rsid w:val="00467E19"/>
    <w:rsid w:val="00467EBA"/>
    <w:rsid w:val="00467F30"/>
    <w:rsid w:val="00467F9D"/>
    <w:rsid w:val="0047000E"/>
    <w:rsid w:val="00470066"/>
    <w:rsid w:val="004700F6"/>
    <w:rsid w:val="004701E5"/>
    <w:rsid w:val="00470372"/>
    <w:rsid w:val="004703A8"/>
    <w:rsid w:val="00470454"/>
    <w:rsid w:val="004704C0"/>
    <w:rsid w:val="0047052A"/>
    <w:rsid w:val="0047052B"/>
    <w:rsid w:val="004705C7"/>
    <w:rsid w:val="0047062C"/>
    <w:rsid w:val="00470679"/>
    <w:rsid w:val="004706DD"/>
    <w:rsid w:val="004707B3"/>
    <w:rsid w:val="004707E5"/>
    <w:rsid w:val="00470800"/>
    <w:rsid w:val="0047081D"/>
    <w:rsid w:val="00470833"/>
    <w:rsid w:val="00470883"/>
    <w:rsid w:val="00470970"/>
    <w:rsid w:val="00470994"/>
    <w:rsid w:val="004709F3"/>
    <w:rsid w:val="00470B94"/>
    <w:rsid w:val="00470BDA"/>
    <w:rsid w:val="00470BEC"/>
    <w:rsid w:val="00470C1F"/>
    <w:rsid w:val="00470C28"/>
    <w:rsid w:val="00470CC6"/>
    <w:rsid w:val="00470CCF"/>
    <w:rsid w:val="00470D99"/>
    <w:rsid w:val="00470DA9"/>
    <w:rsid w:val="00470DC6"/>
    <w:rsid w:val="00470E25"/>
    <w:rsid w:val="00470EA1"/>
    <w:rsid w:val="00470F81"/>
    <w:rsid w:val="00470F8C"/>
    <w:rsid w:val="00471049"/>
    <w:rsid w:val="004711BF"/>
    <w:rsid w:val="0047121D"/>
    <w:rsid w:val="00471285"/>
    <w:rsid w:val="004712C8"/>
    <w:rsid w:val="0047141A"/>
    <w:rsid w:val="00471467"/>
    <w:rsid w:val="0047152E"/>
    <w:rsid w:val="004716AA"/>
    <w:rsid w:val="00471792"/>
    <w:rsid w:val="004717B9"/>
    <w:rsid w:val="0047181A"/>
    <w:rsid w:val="00471823"/>
    <w:rsid w:val="00471A2D"/>
    <w:rsid w:val="00471A95"/>
    <w:rsid w:val="00471B3A"/>
    <w:rsid w:val="00471B75"/>
    <w:rsid w:val="00471BB4"/>
    <w:rsid w:val="00471BE8"/>
    <w:rsid w:val="00471C24"/>
    <w:rsid w:val="00471D15"/>
    <w:rsid w:val="00471D3B"/>
    <w:rsid w:val="00471EA5"/>
    <w:rsid w:val="00471F5F"/>
    <w:rsid w:val="00471F85"/>
    <w:rsid w:val="00471FD0"/>
    <w:rsid w:val="00471FE1"/>
    <w:rsid w:val="004720F0"/>
    <w:rsid w:val="0047227E"/>
    <w:rsid w:val="00472308"/>
    <w:rsid w:val="004723C1"/>
    <w:rsid w:val="004724AE"/>
    <w:rsid w:val="0047252C"/>
    <w:rsid w:val="004725C2"/>
    <w:rsid w:val="00472698"/>
    <w:rsid w:val="004726BC"/>
    <w:rsid w:val="0047289F"/>
    <w:rsid w:val="00472943"/>
    <w:rsid w:val="0047297F"/>
    <w:rsid w:val="00472A84"/>
    <w:rsid w:val="00472B05"/>
    <w:rsid w:val="00472BD1"/>
    <w:rsid w:val="00472D5A"/>
    <w:rsid w:val="00472FBE"/>
    <w:rsid w:val="00473155"/>
    <w:rsid w:val="004732EA"/>
    <w:rsid w:val="004733DF"/>
    <w:rsid w:val="004733EA"/>
    <w:rsid w:val="00473403"/>
    <w:rsid w:val="0047345C"/>
    <w:rsid w:val="00473519"/>
    <w:rsid w:val="0047354C"/>
    <w:rsid w:val="0047358E"/>
    <w:rsid w:val="004736F9"/>
    <w:rsid w:val="004739D8"/>
    <w:rsid w:val="00473B5E"/>
    <w:rsid w:val="00473B66"/>
    <w:rsid w:val="00473BF5"/>
    <w:rsid w:val="00473C6C"/>
    <w:rsid w:val="00473D7F"/>
    <w:rsid w:val="00473E83"/>
    <w:rsid w:val="00473ECA"/>
    <w:rsid w:val="00473EDE"/>
    <w:rsid w:val="00473FDE"/>
    <w:rsid w:val="00474055"/>
    <w:rsid w:val="004740A1"/>
    <w:rsid w:val="00474169"/>
    <w:rsid w:val="0047426E"/>
    <w:rsid w:val="004744A4"/>
    <w:rsid w:val="00474503"/>
    <w:rsid w:val="0047451E"/>
    <w:rsid w:val="0047475B"/>
    <w:rsid w:val="0047476B"/>
    <w:rsid w:val="00474988"/>
    <w:rsid w:val="00474B40"/>
    <w:rsid w:val="00474C38"/>
    <w:rsid w:val="00474D81"/>
    <w:rsid w:val="00474DB5"/>
    <w:rsid w:val="00474E68"/>
    <w:rsid w:val="00474F77"/>
    <w:rsid w:val="004750E5"/>
    <w:rsid w:val="00475100"/>
    <w:rsid w:val="00475126"/>
    <w:rsid w:val="00475132"/>
    <w:rsid w:val="0047514D"/>
    <w:rsid w:val="004751F3"/>
    <w:rsid w:val="004751F7"/>
    <w:rsid w:val="00475212"/>
    <w:rsid w:val="00475275"/>
    <w:rsid w:val="004752F0"/>
    <w:rsid w:val="004753E7"/>
    <w:rsid w:val="004754E8"/>
    <w:rsid w:val="004754EA"/>
    <w:rsid w:val="0047556B"/>
    <w:rsid w:val="0047557B"/>
    <w:rsid w:val="004755E9"/>
    <w:rsid w:val="00475820"/>
    <w:rsid w:val="004758F7"/>
    <w:rsid w:val="00475904"/>
    <w:rsid w:val="00475A7F"/>
    <w:rsid w:val="00475B0D"/>
    <w:rsid w:val="00475B84"/>
    <w:rsid w:val="00475B9D"/>
    <w:rsid w:val="00475C1D"/>
    <w:rsid w:val="00475D29"/>
    <w:rsid w:val="00475D97"/>
    <w:rsid w:val="00475DA8"/>
    <w:rsid w:val="00475E40"/>
    <w:rsid w:val="00475FA6"/>
    <w:rsid w:val="0047619F"/>
    <w:rsid w:val="004762BF"/>
    <w:rsid w:val="0047635D"/>
    <w:rsid w:val="004763C9"/>
    <w:rsid w:val="00476550"/>
    <w:rsid w:val="0047656E"/>
    <w:rsid w:val="00476583"/>
    <w:rsid w:val="00476647"/>
    <w:rsid w:val="00476668"/>
    <w:rsid w:val="004766A1"/>
    <w:rsid w:val="00476885"/>
    <w:rsid w:val="00476916"/>
    <w:rsid w:val="0047693C"/>
    <w:rsid w:val="0047698E"/>
    <w:rsid w:val="00476994"/>
    <w:rsid w:val="00476A9C"/>
    <w:rsid w:val="00476ADD"/>
    <w:rsid w:val="00476B71"/>
    <w:rsid w:val="00476E5B"/>
    <w:rsid w:val="00476E83"/>
    <w:rsid w:val="00476F54"/>
    <w:rsid w:val="00476FF2"/>
    <w:rsid w:val="004770A6"/>
    <w:rsid w:val="004770EB"/>
    <w:rsid w:val="00477199"/>
    <w:rsid w:val="00477210"/>
    <w:rsid w:val="004772B9"/>
    <w:rsid w:val="00477361"/>
    <w:rsid w:val="004773D1"/>
    <w:rsid w:val="004773D3"/>
    <w:rsid w:val="00477406"/>
    <w:rsid w:val="00477498"/>
    <w:rsid w:val="004774A4"/>
    <w:rsid w:val="00477687"/>
    <w:rsid w:val="004778A5"/>
    <w:rsid w:val="0047792B"/>
    <w:rsid w:val="00477954"/>
    <w:rsid w:val="004779B3"/>
    <w:rsid w:val="00477BBF"/>
    <w:rsid w:val="00477BD4"/>
    <w:rsid w:val="00477CC0"/>
    <w:rsid w:val="00477D9C"/>
    <w:rsid w:val="00477E90"/>
    <w:rsid w:val="00480012"/>
    <w:rsid w:val="0048006E"/>
    <w:rsid w:val="00480074"/>
    <w:rsid w:val="0048024C"/>
    <w:rsid w:val="00480312"/>
    <w:rsid w:val="00480405"/>
    <w:rsid w:val="00480518"/>
    <w:rsid w:val="0048051F"/>
    <w:rsid w:val="0048056B"/>
    <w:rsid w:val="0048058A"/>
    <w:rsid w:val="00480620"/>
    <w:rsid w:val="004806A6"/>
    <w:rsid w:val="0048075C"/>
    <w:rsid w:val="004807D2"/>
    <w:rsid w:val="00480856"/>
    <w:rsid w:val="00480858"/>
    <w:rsid w:val="004808CF"/>
    <w:rsid w:val="0048098C"/>
    <w:rsid w:val="00480B78"/>
    <w:rsid w:val="00480BF9"/>
    <w:rsid w:val="00480E08"/>
    <w:rsid w:val="00480E0D"/>
    <w:rsid w:val="00480FD9"/>
    <w:rsid w:val="0048121C"/>
    <w:rsid w:val="00481222"/>
    <w:rsid w:val="004812C1"/>
    <w:rsid w:val="00481327"/>
    <w:rsid w:val="00481361"/>
    <w:rsid w:val="004813C1"/>
    <w:rsid w:val="0048153B"/>
    <w:rsid w:val="00481579"/>
    <w:rsid w:val="0048172F"/>
    <w:rsid w:val="0048177A"/>
    <w:rsid w:val="00481893"/>
    <w:rsid w:val="00481979"/>
    <w:rsid w:val="00481BF2"/>
    <w:rsid w:val="00481C20"/>
    <w:rsid w:val="00481D46"/>
    <w:rsid w:val="00481D7F"/>
    <w:rsid w:val="00481F37"/>
    <w:rsid w:val="00481F70"/>
    <w:rsid w:val="00482047"/>
    <w:rsid w:val="004822A5"/>
    <w:rsid w:val="004822D9"/>
    <w:rsid w:val="004822F2"/>
    <w:rsid w:val="0048237F"/>
    <w:rsid w:val="004823EC"/>
    <w:rsid w:val="004825C7"/>
    <w:rsid w:val="0048260A"/>
    <w:rsid w:val="004826DE"/>
    <w:rsid w:val="00482739"/>
    <w:rsid w:val="00482747"/>
    <w:rsid w:val="0048276B"/>
    <w:rsid w:val="0048283A"/>
    <w:rsid w:val="0048287D"/>
    <w:rsid w:val="00482A41"/>
    <w:rsid w:val="00482AFB"/>
    <w:rsid w:val="00482B59"/>
    <w:rsid w:val="00482C31"/>
    <w:rsid w:val="00482C5D"/>
    <w:rsid w:val="00482CE7"/>
    <w:rsid w:val="00482DE2"/>
    <w:rsid w:val="00482EAD"/>
    <w:rsid w:val="00482ECB"/>
    <w:rsid w:val="00483026"/>
    <w:rsid w:val="0048314D"/>
    <w:rsid w:val="00483226"/>
    <w:rsid w:val="00483404"/>
    <w:rsid w:val="004834BE"/>
    <w:rsid w:val="004834C3"/>
    <w:rsid w:val="004836D8"/>
    <w:rsid w:val="00483945"/>
    <w:rsid w:val="00483A2B"/>
    <w:rsid w:val="00483A68"/>
    <w:rsid w:val="00483B37"/>
    <w:rsid w:val="00483DF3"/>
    <w:rsid w:val="00483E14"/>
    <w:rsid w:val="00483EAB"/>
    <w:rsid w:val="00483F2D"/>
    <w:rsid w:val="00483F4E"/>
    <w:rsid w:val="00483F5B"/>
    <w:rsid w:val="0048405F"/>
    <w:rsid w:val="00484088"/>
    <w:rsid w:val="0048418B"/>
    <w:rsid w:val="004841B4"/>
    <w:rsid w:val="004841C5"/>
    <w:rsid w:val="004842C8"/>
    <w:rsid w:val="0048438F"/>
    <w:rsid w:val="0048449B"/>
    <w:rsid w:val="004845D7"/>
    <w:rsid w:val="004847A7"/>
    <w:rsid w:val="004847B3"/>
    <w:rsid w:val="0048481A"/>
    <w:rsid w:val="00484820"/>
    <w:rsid w:val="00484859"/>
    <w:rsid w:val="0048488E"/>
    <w:rsid w:val="004848A9"/>
    <w:rsid w:val="004849D4"/>
    <w:rsid w:val="00484A3B"/>
    <w:rsid w:val="00484A59"/>
    <w:rsid w:val="00484B0F"/>
    <w:rsid w:val="00484B42"/>
    <w:rsid w:val="00484B44"/>
    <w:rsid w:val="00484EC5"/>
    <w:rsid w:val="00484FAD"/>
    <w:rsid w:val="0048507C"/>
    <w:rsid w:val="00485120"/>
    <w:rsid w:val="00485191"/>
    <w:rsid w:val="004853F4"/>
    <w:rsid w:val="004854F1"/>
    <w:rsid w:val="0048560E"/>
    <w:rsid w:val="00485688"/>
    <w:rsid w:val="004856E2"/>
    <w:rsid w:val="004856ED"/>
    <w:rsid w:val="00485723"/>
    <w:rsid w:val="00485843"/>
    <w:rsid w:val="00485F47"/>
    <w:rsid w:val="00485FAB"/>
    <w:rsid w:val="00485FD7"/>
    <w:rsid w:val="004861BE"/>
    <w:rsid w:val="00486410"/>
    <w:rsid w:val="0048645C"/>
    <w:rsid w:val="004864D1"/>
    <w:rsid w:val="00486529"/>
    <w:rsid w:val="00486650"/>
    <w:rsid w:val="004869D0"/>
    <w:rsid w:val="00486B3C"/>
    <w:rsid w:val="00486BD6"/>
    <w:rsid w:val="00486C5E"/>
    <w:rsid w:val="00486CA5"/>
    <w:rsid w:val="00486E67"/>
    <w:rsid w:val="00486EDB"/>
    <w:rsid w:val="00486EFD"/>
    <w:rsid w:val="00486F07"/>
    <w:rsid w:val="00486F40"/>
    <w:rsid w:val="00487110"/>
    <w:rsid w:val="0048713C"/>
    <w:rsid w:val="0048720A"/>
    <w:rsid w:val="004872A5"/>
    <w:rsid w:val="00487372"/>
    <w:rsid w:val="00487458"/>
    <w:rsid w:val="004874CB"/>
    <w:rsid w:val="00487551"/>
    <w:rsid w:val="004875BD"/>
    <w:rsid w:val="00487662"/>
    <w:rsid w:val="0048769C"/>
    <w:rsid w:val="004876BD"/>
    <w:rsid w:val="004876FC"/>
    <w:rsid w:val="0048783D"/>
    <w:rsid w:val="0048793C"/>
    <w:rsid w:val="00487A02"/>
    <w:rsid w:val="00487A11"/>
    <w:rsid w:val="00487A6E"/>
    <w:rsid w:val="00487B20"/>
    <w:rsid w:val="00487CC1"/>
    <w:rsid w:val="00487DC8"/>
    <w:rsid w:val="00490074"/>
    <w:rsid w:val="00490131"/>
    <w:rsid w:val="004901A1"/>
    <w:rsid w:val="004902E3"/>
    <w:rsid w:val="00490370"/>
    <w:rsid w:val="004903B5"/>
    <w:rsid w:val="004904CC"/>
    <w:rsid w:val="00490518"/>
    <w:rsid w:val="00490611"/>
    <w:rsid w:val="004906AE"/>
    <w:rsid w:val="00490818"/>
    <w:rsid w:val="0049083C"/>
    <w:rsid w:val="004909A4"/>
    <w:rsid w:val="00490A01"/>
    <w:rsid w:val="00490BD2"/>
    <w:rsid w:val="00490C7F"/>
    <w:rsid w:val="00490CAF"/>
    <w:rsid w:val="00490E07"/>
    <w:rsid w:val="004910E4"/>
    <w:rsid w:val="00491105"/>
    <w:rsid w:val="00491198"/>
    <w:rsid w:val="004912B0"/>
    <w:rsid w:val="0049132C"/>
    <w:rsid w:val="0049134A"/>
    <w:rsid w:val="0049135D"/>
    <w:rsid w:val="00491404"/>
    <w:rsid w:val="00491414"/>
    <w:rsid w:val="004914ED"/>
    <w:rsid w:val="00491697"/>
    <w:rsid w:val="004917B9"/>
    <w:rsid w:val="004918A5"/>
    <w:rsid w:val="00491912"/>
    <w:rsid w:val="00491A18"/>
    <w:rsid w:val="00491A7C"/>
    <w:rsid w:val="00491B7F"/>
    <w:rsid w:val="00491BF9"/>
    <w:rsid w:val="00491C04"/>
    <w:rsid w:val="00491DC0"/>
    <w:rsid w:val="00491DE3"/>
    <w:rsid w:val="00491F55"/>
    <w:rsid w:val="00491FF0"/>
    <w:rsid w:val="00492077"/>
    <w:rsid w:val="004921A0"/>
    <w:rsid w:val="004921A2"/>
    <w:rsid w:val="00492285"/>
    <w:rsid w:val="004922B0"/>
    <w:rsid w:val="004922B1"/>
    <w:rsid w:val="00492336"/>
    <w:rsid w:val="00492426"/>
    <w:rsid w:val="004924D5"/>
    <w:rsid w:val="004925BB"/>
    <w:rsid w:val="004925CE"/>
    <w:rsid w:val="004925D7"/>
    <w:rsid w:val="0049269B"/>
    <w:rsid w:val="00492814"/>
    <w:rsid w:val="004928BE"/>
    <w:rsid w:val="00492A4C"/>
    <w:rsid w:val="00492B34"/>
    <w:rsid w:val="00492BD0"/>
    <w:rsid w:val="00492BFB"/>
    <w:rsid w:val="00492D01"/>
    <w:rsid w:val="00492D08"/>
    <w:rsid w:val="00492D70"/>
    <w:rsid w:val="00492EE9"/>
    <w:rsid w:val="00493049"/>
    <w:rsid w:val="004932AE"/>
    <w:rsid w:val="00493341"/>
    <w:rsid w:val="004934BC"/>
    <w:rsid w:val="004936F6"/>
    <w:rsid w:val="004936F7"/>
    <w:rsid w:val="0049372A"/>
    <w:rsid w:val="00493832"/>
    <w:rsid w:val="00493961"/>
    <w:rsid w:val="004939C0"/>
    <w:rsid w:val="00493B20"/>
    <w:rsid w:val="00493BF4"/>
    <w:rsid w:val="00493C24"/>
    <w:rsid w:val="00493D9B"/>
    <w:rsid w:val="00493EE5"/>
    <w:rsid w:val="0049406D"/>
    <w:rsid w:val="004941E0"/>
    <w:rsid w:val="004942E4"/>
    <w:rsid w:val="004944EA"/>
    <w:rsid w:val="00494562"/>
    <w:rsid w:val="004945F2"/>
    <w:rsid w:val="00494637"/>
    <w:rsid w:val="00494734"/>
    <w:rsid w:val="00494810"/>
    <w:rsid w:val="004948B2"/>
    <w:rsid w:val="00494AD5"/>
    <w:rsid w:val="00494B29"/>
    <w:rsid w:val="00494C1A"/>
    <w:rsid w:val="00494C5C"/>
    <w:rsid w:val="00494EEA"/>
    <w:rsid w:val="00494EFA"/>
    <w:rsid w:val="00494F4B"/>
    <w:rsid w:val="00495140"/>
    <w:rsid w:val="00495277"/>
    <w:rsid w:val="004952E8"/>
    <w:rsid w:val="0049535A"/>
    <w:rsid w:val="00495375"/>
    <w:rsid w:val="004953E7"/>
    <w:rsid w:val="0049545A"/>
    <w:rsid w:val="004954EB"/>
    <w:rsid w:val="0049556E"/>
    <w:rsid w:val="00495601"/>
    <w:rsid w:val="00495645"/>
    <w:rsid w:val="00495657"/>
    <w:rsid w:val="00495724"/>
    <w:rsid w:val="00495797"/>
    <w:rsid w:val="004958A4"/>
    <w:rsid w:val="004958F6"/>
    <w:rsid w:val="00495945"/>
    <w:rsid w:val="00495A11"/>
    <w:rsid w:val="00495AB4"/>
    <w:rsid w:val="00495AF6"/>
    <w:rsid w:val="00495B16"/>
    <w:rsid w:val="00495B6B"/>
    <w:rsid w:val="00495BF1"/>
    <w:rsid w:val="00495C05"/>
    <w:rsid w:val="00495C5D"/>
    <w:rsid w:val="00495DE7"/>
    <w:rsid w:val="00495E42"/>
    <w:rsid w:val="00496036"/>
    <w:rsid w:val="004960F7"/>
    <w:rsid w:val="004961E9"/>
    <w:rsid w:val="004962F5"/>
    <w:rsid w:val="00496300"/>
    <w:rsid w:val="004965BA"/>
    <w:rsid w:val="004965EE"/>
    <w:rsid w:val="00496613"/>
    <w:rsid w:val="00496681"/>
    <w:rsid w:val="004966FB"/>
    <w:rsid w:val="00496711"/>
    <w:rsid w:val="004968C0"/>
    <w:rsid w:val="00496A05"/>
    <w:rsid w:val="00496C97"/>
    <w:rsid w:val="00496CF6"/>
    <w:rsid w:val="00496D94"/>
    <w:rsid w:val="00497045"/>
    <w:rsid w:val="0049704D"/>
    <w:rsid w:val="00497243"/>
    <w:rsid w:val="0049733B"/>
    <w:rsid w:val="00497536"/>
    <w:rsid w:val="0049753D"/>
    <w:rsid w:val="00497546"/>
    <w:rsid w:val="0049754A"/>
    <w:rsid w:val="004975F2"/>
    <w:rsid w:val="00497637"/>
    <w:rsid w:val="00497664"/>
    <w:rsid w:val="004976AF"/>
    <w:rsid w:val="00497781"/>
    <w:rsid w:val="00497799"/>
    <w:rsid w:val="004977AB"/>
    <w:rsid w:val="00497862"/>
    <w:rsid w:val="00497936"/>
    <w:rsid w:val="004979ED"/>
    <w:rsid w:val="004979F6"/>
    <w:rsid w:val="00497A4E"/>
    <w:rsid w:val="00497B28"/>
    <w:rsid w:val="00497B9F"/>
    <w:rsid w:val="00497BFC"/>
    <w:rsid w:val="00497DBE"/>
    <w:rsid w:val="00497E1E"/>
    <w:rsid w:val="00497F70"/>
    <w:rsid w:val="00497FA3"/>
    <w:rsid w:val="00497FCE"/>
    <w:rsid w:val="004A001C"/>
    <w:rsid w:val="004A00D0"/>
    <w:rsid w:val="004A0173"/>
    <w:rsid w:val="004A01E8"/>
    <w:rsid w:val="004A037E"/>
    <w:rsid w:val="004A0554"/>
    <w:rsid w:val="004A05AD"/>
    <w:rsid w:val="004A0889"/>
    <w:rsid w:val="004A08FA"/>
    <w:rsid w:val="004A0978"/>
    <w:rsid w:val="004A0A4C"/>
    <w:rsid w:val="004A0AF6"/>
    <w:rsid w:val="004A0B0D"/>
    <w:rsid w:val="004A0F66"/>
    <w:rsid w:val="004A0FD6"/>
    <w:rsid w:val="004A0FDB"/>
    <w:rsid w:val="004A1011"/>
    <w:rsid w:val="004A135D"/>
    <w:rsid w:val="004A1371"/>
    <w:rsid w:val="004A1383"/>
    <w:rsid w:val="004A144B"/>
    <w:rsid w:val="004A14FA"/>
    <w:rsid w:val="004A14FC"/>
    <w:rsid w:val="004A15EB"/>
    <w:rsid w:val="004A160A"/>
    <w:rsid w:val="004A1928"/>
    <w:rsid w:val="004A1A7E"/>
    <w:rsid w:val="004A1A96"/>
    <w:rsid w:val="004A1AD2"/>
    <w:rsid w:val="004A1B7C"/>
    <w:rsid w:val="004A1BF0"/>
    <w:rsid w:val="004A1C82"/>
    <w:rsid w:val="004A1C93"/>
    <w:rsid w:val="004A1D09"/>
    <w:rsid w:val="004A1D68"/>
    <w:rsid w:val="004A1E41"/>
    <w:rsid w:val="004A1EEF"/>
    <w:rsid w:val="004A1EF8"/>
    <w:rsid w:val="004A1F42"/>
    <w:rsid w:val="004A1FDF"/>
    <w:rsid w:val="004A23DF"/>
    <w:rsid w:val="004A240F"/>
    <w:rsid w:val="004A2417"/>
    <w:rsid w:val="004A24F7"/>
    <w:rsid w:val="004A25C3"/>
    <w:rsid w:val="004A26B3"/>
    <w:rsid w:val="004A2794"/>
    <w:rsid w:val="004A27FD"/>
    <w:rsid w:val="004A283E"/>
    <w:rsid w:val="004A2842"/>
    <w:rsid w:val="004A291A"/>
    <w:rsid w:val="004A2BF0"/>
    <w:rsid w:val="004A2C7A"/>
    <w:rsid w:val="004A2E31"/>
    <w:rsid w:val="004A2F16"/>
    <w:rsid w:val="004A320F"/>
    <w:rsid w:val="004A3279"/>
    <w:rsid w:val="004A3387"/>
    <w:rsid w:val="004A3443"/>
    <w:rsid w:val="004A344A"/>
    <w:rsid w:val="004A348A"/>
    <w:rsid w:val="004A348E"/>
    <w:rsid w:val="004A36BA"/>
    <w:rsid w:val="004A3915"/>
    <w:rsid w:val="004A3A24"/>
    <w:rsid w:val="004A3A72"/>
    <w:rsid w:val="004A3CA1"/>
    <w:rsid w:val="004A3CB9"/>
    <w:rsid w:val="004A3DB4"/>
    <w:rsid w:val="004A3F36"/>
    <w:rsid w:val="004A3F60"/>
    <w:rsid w:val="004A3F66"/>
    <w:rsid w:val="004A40A3"/>
    <w:rsid w:val="004A40AF"/>
    <w:rsid w:val="004A41AA"/>
    <w:rsid w:val="004A42AF"/>
    <w:rsid w:val="004A43FD"/>
    <w:rsid w:val="004A4725"/>
    <w:rsid w:val="004A48DC"/>
    <w:rsid w:val="004A49D4"/>
    <w:rsid w:val="004A4AF2"/>
    <w:rsid w:val="004A4CD4"/>
    <w:rsid w:val="004A5101"/>
    <w:rsid w:val="004A51AC"/>
    <w:rsid w:val="004A52A9"/>
    <w:rsid w:val="004A5408"/>
    <w:rsid w:val="004A558B"/>
    <w:rsid w:val="004A55D7"/>
    <w:rsid w:val="004A5648"/>
    <w:rsid w:val="004A57B7"/>
    <w:rsid w:val="004A5802"/>
    <w:rsid w:val="004A5812"/>
    <w:rsid w:val="004A58FC"/>
    <w:rsid w:val="004A5A1E"/>
    <w:rsid w:val="004A5A52"/>
    <w:rsid w:val="004A5AE6"/>
    <w:rsid w:val="004A5C10"/>
    <w:rsid w:val="004A5CAC"/>
    <w:rsid w:val="004A5D68"/>
    <w:rsid w:val="004A5E36"/>
    <w:rsid w:val="004A5E4A"/>
    <w:rsid w:val="004A5E9D"/>
    <w:rsid w:val="004A5F1E"/>
    <w:rsid w:val="004A6016"/>
    <w:rsid w:val="004A60A0"/>
    <w:rsid w:val="004A62E1"/>
    <w:rsid w:val="004A6344"/>
    <w:rsid w:val="004A6373"/>
    <w:rsid w:val="004A644D"/>
    <w:rsid w:val="004A65DE"/>
    <w:rsid w:val="004A6618"/>
    <w:rsid w:val="004A6622"/>
    <w:rsid w:val="004A665D"/>
    <w:rsid w:val="004A6694"/>
    <w:rsid w:val="004A66FE"/>
    <w:rsid w:val="004A67F3"/>
    <w:rsid w:val="004A6A3B"/>
    <w:rsid w:val="004A6C26"/>
    <w:rsid w:val="004A6CA3"/>
    <w:rsid w:val="004A6CCD"/>
    <w:rsid w:val="004A6CF0"/>
    <w:rsid w:val="004A6D0A"/>
    <w:rsid w:val="004A6D96"/>
    <w:rsid w:val="004A6ECD"/>
    <w:rsid w:val="004A6FE5"/>
    <w:rsid w:val="004A7103"/>
    <w:rsid w:val="004A718A"/>
    <w:rsid w:val="004A71AB"/>
    <w:rsid w:val="004A7268"/>
    <w:rsid w:val="004A7311"/>
    <w:rsid w:val="004A731D"/>
    <w:rsid w:val="004A734B"/>
    <w:rsid w:val="004A7476"/>
    <w:rsid w:val="004A7483"/>
    <w:rsid w:val="004A7573"/>
    <w:rsid w:val="004A7799"/>
    <w:rsid w:val="004A77F4"/>
    <w:rsid w:val="004A785E"/>
    <w:rsid w:val="004A788F"/>
    <w:rsid w:val="004A7895"/>
    <w:rsid w:val="004A79ED"/>
    <w:rsid w:val="004A7A98"/>
    <w:rsid w:val="004A7AEB"/>
    <w:rsid w:val="004A7B58"/>
    <w:rsid w:val="004A7CD7"/>
    <w:rsid w:val="004A7E5F"/>
    <w:rsid w:val="004A7E7C"/>
    <w:rsid w:val="004A7F22"/>
    <w:rsid w:val="004B01B7"/>
    <w:rsid w:val="004B02AB"/>
    <w:rsid w:val="004B03DE"/>
    <w:rsid w:val="004B0446"/>
    <w:rsid w:val="004B05D8"/>
    <w:rsid w:val="004B05E8"/>
    <w:rsid w:val="004B085C"/>
    <w:rsid w:val="004B089D"/>
    <w:rsid w:val="004B0A3E"/>
    <w:rsid w:val="004B0BAE"/>
    <w:rsid w:val="004B0D39"/>
    <w:rsid w:val="004B0DA1"/>
    <w:rsid w:val="004B0DD9"/>
    <w:rsid w:val="004B0E9E"/>
    <w:rsid w:val="004B0EA2"/>
    <w:rsid w:val="004B0F12"/>
    <w:rsid w:val="004B0F5A"/>
    <w:rsid w:val="004B0FAF"/>
    <w:rsid w:val="004B0FED"/>
    <w:rsid w:val="004B0FFB"/>
    <w:rsid w:val="004B1048"/>
    <w:rsid w:val="004B108C"/>
    <w:rsid w:val="004B11B7"/>
    <w:rsid w:val="004B130B"/>
    <w:rsid w:val="004B1336"/>
    <w:rsid w:val="004B1387"/>
    <w:rsid w:val="004B1472"/>
    <w:rsid w:val="004B155C"/>
    <w:rsid w:val="004B15B9"/>
    <w:rsid w:val="004B15C3"/>
    <w:rsid w:val="004B172E"/>
    <w:rsid w:val="004B18E9"/>
    <w:rsid w:val="004B1991"/>
    <w:rsid w:val="004B19C4"/>
    <w:rsid w:val="004B1A5B"/>
    <w:rsid w:val="004B1C07"/>
    <w:rsid w:val="004B1E14"/>
    <w:rsid w:val="004B20B3"/>
    <w:rsid w:val="004B2173"/>
    <w:rsid w:val="004B21A7"/>
    <w:rsid w:val="004B22B3"/>
    <w:rsid w:val="004B2367"/>
    <w:rsid w:val="004B24AC"/>
    <w:rsid w:val="004B2556"/>
    <w:rsid w:val="004B2690"/>
    <w:rsid w:val="004B275E"/>
    <w:rsid w:val="004B27A0"/>
    <w:rsid w:val="004B2821"/>
    <w:rsid w:val="004B2830"/>
    <w:rsid w:val="004B288E"/>
    <w:rsid w:val="004B28DA"/>
    <w:rsid w:val="004B291C"/>
    <w:rsid w:val="004B2970"/>
    <w:rsid w:val="004B29EB"/>
    <w:rsid w:val="004B2AE4"/>
    <w:rsid w:val="004B2B19"/>
    <w:rsid w:val="004B2C83"/>
    <w:rsid w:val="004B2C9E"/>
    <w:rsid w:val="004B2D50"/>
    <w:rsid w:val="004B2D72"/>
    <w:rsid w:val="004B2DF3"/>
    <w:rsid w:val="004B2E50"/>
    <w:rsid w:val="004B2F11"/>
    <w:rsid w:val="004B3071"/>
    <w:rsid w:val="004B3129"/>
    <w:rsid w:val="004B3143"/>
    <w:rsid w:val="004B3294"/>
    <w:rsid w:val="004B33FE"/>
    <w:rsid w:val="004B3404"/>
    <w:rsid w:val="004B3511"/>
    <w:rsid w:val="004B357D"/>
    <w:rsid w:val="004B35D1"/>
    <w:rsid w:val="004B35F1"/>
    <w:rsid w:val="004B367A"/>
    <w:rsid w:val="004B3762"/>
    <w:rsid w:val="004B383D"/>
    <w:rsid w:val="004B3B64"/>
    <w:rsid w:val="004B3CF6"/>
    <w:rsid w:val="004B3E2D"/>
    <w:rsid w:val="004B3EB3"/>
    <w:rsid w:val="004B3EC2"/>
    <w:rsid w:val="004B3FE9"/>
    <w:rsid w:val="004B4243"/>
    <w:rsid w:val="004B4259"/>
    <w:rsid w:val="004B42E1"/>
    <w:rsid w:val="004B4309"/>
    <w:rsid w:val="004B436F"/>
    <w:rsid w:val="004B4396"/>
    <w:rsid w:val="004B43DC"/>
    <w:rsid w:val="004B469B"/>
    <w:rsid w:val="004B4865"/>
    <w:rsid w:val="004B492E"/>
    <w:rsid w:val="004B49B5"/>
    <w:rsid w:val="004B49D8"/>
    <w:rsid w:val="004B4B56"/>
    <w:rsid w:val="004B4C1E"/>
    <w:rsid w:val="004B4D4A"/>
    <w:rsid w:val="004B4F67"/>
    <w:rsid w:val="004B4F8F"/>
    <w:rsid w:val="004B50B0"/>
    <w:rsid w:val="004B50CC"/>
    <w:rsid w:val="004B5142"/>
    <w:rsid w:val="004B52BD"/>
    <w:rsid w:val="004B5317"/>
    <w:rsid w:val="004B533C"/>
    <w:rsid w:val="004B535D"/>
    <w:rsid w:val="004B53BF"/>
    <w:rsid w:val="004B53F0"/>
    <w:rsid w:val="004B56ED"/>
    <w:rsid w:val="004B5704"/>
    <w:rsid w:val="004B5726"/>
    <w:rsid w:val="004B5774"/>
    <w:rsid w:val="004B59F9"/>
    <w:rsid w:val="004B5A75"/>
    <w:rsid w:val="004B5C63"/>
    <w:rsid w:val="004B5D0B"/>
    <w:rsid w:val="004B5E1C"/>
    <w:rsid w:val="004B6063"/>
    <w:rsid w:val="004B634B"/>
    <w:rsid w:val="004B6663"/>
    <w:rsid w:val="004B6796"/>
    <w:rsid w:val="004B67AD"/>
    <w:rsid w:val="004B6953"/>
    <w:rsid w:val="004B699F"/>
    <w:rsid w:val="004B6BB9"/>
    <w:rsid w:val="004B6C2C"/>
    <w:rsid w:val="004B6CAE"/>
    <w:rsid w:val="004B6DC9"/>
    <w:rsid w:val="004B6DEA"/>
    <w:rsid w:val="004B6E90"/>
    <w:rsid w:val="004B6F7F"/>
    <w:rsid w:val="004B6FEB"/>
    <w:rsid w:val="004B6FF6"/>
    <w:rsid w:val="004B7142"/>
    <w:rsid w:val="004B726B"/>
    <w:rsid w:val="004B72DD"/>
    <w:rsid w:val="004B732E"/>
    <w:rsid w:val="004B7358"/>
    <w:rsid w:val="004B74BE"/>
    <w:rsid w:val="004B74DE"/>
    <w:rsid w:val="004B7600"/>
    <w:rsid w:val="004B7652"/>
    <w:rsid w:val="004B765E"/>
    <w:rsid w:val="004B76C1"/>
    <w:rsid w:val="004B7840"/>
    <w:rsid w:val="004B79EC"/>
    <w:rsid w:val="004B7A0F"/>
    <w:rsid w:val="004B7AA5"/>
    <w:rsid w:val="004B7B21"/>
    <w:rsid w:val="004B7B7B"/>
    <w:rsid w:val="004B7BC7"/>
    <w:rsid w:val="004B7CAC"/>
    <w:rsid w:val="004B7CF3"/>
    <w:rsid w:val="004B7D43"/>
    <w:rsid w:val="004B7DC7"/>
    <w:rsid w:val="004B7EAF"/>
    <w:rsid w:val="004B7FD4"/>
    <w:rsid w:val="004C0021"/>
    <w:rsid w:val="004C0176"/>
    <w:rsid w:val="004C01E3"/>
    <w:rsid w:val="004C01E5"/>
    <w:rsid w:val="004C0242"/>
    <w:rsid w:val="004C0397"/>
    <w:rsid w:val="004C03CE"/>
    <w:rsid w:val="004C042A"/>
    <w:rsid w:val="004C058A"/>
    <w:rsid w:val="004C0602"/>
    <w:rsid w:val="004C079A"/>
    <w:rsid w:val="004C07FA"/>
    <w:rsid w:val="004C0946"/>
    <w:rsid w:val="004C09F8"/>
    <w:rsid w:val="004C09FD"/>
    <w:rsid w:val="004C0A2F"/>
    <w:rsid w:val="004C0ABF"/>
    <w:rsid w:val="004C0AC4"/>
    <w:rsid w:val="004C0B3E"/>
    <w:rsid w:val="004C0BCC"/>
    <w:rsid w:val="004C0CA7"/>
    <w:rsid w:val="004C0F06"/>
    <w:rsid w:val="004C1212"/>
    <w:rsid w:val="004C125E"/>
    <w:rsid w:val="004C148D"/>
    <w:rsid w:val="004C1539"/>
    <w:rsid w:val="004C159C"/>
    <w:rsid w:val="004C162F"/>
    <w:rsid w:val="004C1724"/>
    <w:rsid w:val="004C1729"/>
    <w:rsid w:val="004C192C"/>
    <w:rsid w:val="004C1986"/>
    <w:rsid w:val="004C1991"/>
    <w:rsid w:val="004C19B1"/>
    <w:rsid w:val="004C1A78"/>
    <w:rsid w:val="004C1ACA"/>
    <w:rsid w:val="004C1B04"/>
    <w:rsid w:val="004C1B48"/>
    <w:rsid w:val="004C1BC2"/>
    <w:rsid w:val="004C1BFE"/>
    <w:rsid w:val="004C1C29"/>
    <w:rsid w:val="004C1FB0"/>
    <w:rsid w:val="004C2179"/>
    <w:rsid w:val="004C2334"/>
    <w:rsid w:val="004C25C7"/>
    <w:rsid w:val="004C25FA"/>
    <w:rsid w:val="004C27F3"/>
    <w:rsid w:val="004C28F4"/>
    <w:rsid w:val="004C2969"/>
    <w:rsid w:val="004C298E"/>
    <w:rsid w:val="004C2CFC"/>
    <w:rsid w:val="004C2DC2"/>
    <w:rsid w:val="004C2DEF"/>
    <w:rsid w:val="004C2EE0"/>
    <w:rsid w:val="004C2FF7"/>
    <w:rsid w:val="004C3076"/>
    <w:rsid w:val="004C308C"/>
    <w:rsid w:val="004C30D2"/>
    <w:rsid w:val="004C321B"/>
    <w:rsid w:val="004C3255"/>
    <w:rsid w:val="004C32DC"/>
    <w:rsid w:val="004C32E8"/>
    <w:rsid w:val="004C350A"/>
    <w:rsid w:val="004C377E"/>
    <w:rsid w:val="004C39D5"/>
    <w:rsid w:val="004C3A32"/>
    <w:rsid w:val="004C3C2D"/>
    <w:rsid w:val="004C3C35"/>
    <w:rsid w:val="004C3E5F"/>
    <w:rsid w:val="004C3F33"/>
    <w:rsid w:val="004C3FAB"/>
    <w:rsid w:val="004C3FC2"/>
    <w:rsid w:val="004C4026"/>
    <w:rsid w:val="004C4037"/>
    <w:rsid w:val="004C40C2"/>
    <w:rsid w:val="004C40E4"/>
    <w:rsid w:val="004C41E9"/>
    <w:rsid w:val="004C42D6"/>
    <w:rsid w:val="004C42F8"/>
    <w:rsid w:val="004C450E"/>
    <w:rsid w:val="004C453B"/>
    <w:rsid w:val="004C453F"/>
    <w:rsid w:val="004C4641"/>
    <w:rsid w:val="004C47EC"/>
    <w:rsid w:val="004C48EE"/>
    <w:rsid w:val="004C494F"/>
    <w:rsid w:val="004C4A02"/>
    <w:rsid w:val="004C4AF9"/>
    <w:rsid w:val="004C4B2C"/>
    <w:rsid w:val="004C4C4A"/>
    <w:rsid w:val="004C4CDD"/>
    <w:rsid w:val="004C4D35"/>
    <w:rsid w:val="004C4D8D"/>
    <w:rsid w:val="004C501C"/>
    <w:rsid w:val="004C5104"/>
    <w:rsid w:val="004C5270"/>
    <w:rsid w:val="004C529E"/>
    <w:rsid w:val="004C5322"/>
    <w:rsid w:val="004C534D"/>
    <w:rsid w:val="004C5368"/>
    <w:rsid w:val="004C54A4"/>
    <w:rsid w:val="004C55BB"/>
    <w:rsid w:val="004C570A"/>
    <w:rsid w:val="004C5788"/>
    <w:rsid w:val="004C5797"/>
    <w:rsid w:val="004C58A9"/>
    <w:rsid w:val="004C5B2C"/>
    <w:rsid w:val="004C5BB3"/>
    <w:rsid w:val="004C5BBC"/>
    <w:rsid w:val="004C5C61"/>
    <w:rsid w:val="004C5CEE"/>
    <w:rsid w:val="004C5DD4"/>
    <w:rsid w:val="004C5E1D"/>
    <w:rsid w:val="004C5EFA"/>
    <w:rsid w:val="004C5F22"/>
    <w:rsid w:val="004C5F40"/>
    <w:rsid w:val="004C600F"/>
    <w:rsid w:val="004C603A"/>
    <w:rsid w:val="004C6065"/>
    <w:rsid w:val="004C6111"/>
    <w:rsid w:val="004C617D"/>
    <w:rsid w:val="004C61E3"/>
    <w:rsid w:val="004C6495"/>
    <w:rsid w:val="004C6910"/>
    <w:rsid w:val="004C6BE3"/>
    <w:rsid w:val="004C6C50"/>
    <w:rsid w:val="004C6CF1"/>
    <w:rsid w:val="004C6DA4"/>
    <w:rsid w:val="004C6DDE"/>
    <w:rsid w:val="004C717C"/>
    <w:rsid w:val="004C7208"/>
    <w:rsid w:val="004C73C0"/>
    <w:rsid w:val="004C740A"/>
    <w:rsid w:val="004C7447"/>
    <w:rsid w:val="004C744E"/>
    <w:rsid w:val="004C7623"/>
    <w:rsid w:val="004C76BF"/>
    <w:rsid w:val="004C776E"/>
    <w:rsid w:val="004C777E"/>
    <w:rsid w:val="004C77BC"/>
    <w:rsid w:val="004C77D7"/>
    <w:rsid w:val="004C7856"/>
    <w:rsid w:val="004C793B"/>
    <w:rsid w:val="004C7A13"/>
    <w:rsid w:val="004C7B5F"/>
    <w:rsid w:val="004C7C16"/>
    <w:rsid w:val="004C7CB5"/>
    <w:rsid w:val="004C7CCF"/>
    <w:rsid w:val="004C7D04"/>
    <w:rsid w:val="004C7D37"/>
    <w:rsid w:val="004C7ECB"/>
    <w:rsid w:val="004C7EED"/>
    <w:rsid w:val="004C7F64"/>
    <w:rsid w:val="004D0015"/>
    <w:rsid w:val="004D02B1"/>
    <w:rsid w:val="004D031B"/>
    <w:rsid w:val="004D03F1"/>
    <w:rsid w:val="004D0581"/>
    <w:rsid w:val="004D0623"/>
    <w:rsid w:val="004D06C9"/>
    <w:rsid w:val="004D0880"/>
    <w:rsid w:val="004D09FC"/>
    <w:rsid w:val="004D0ACC"/>
    <w:rsid w:val="004D0C72"/>
    <w:rsid w:val="004D0C96"/>
    <w:rsid w:val="004D0DAD"/>
    <w:rsid w:val="004D0F4C"/>
    <w:rsid w:val="004D108E"/>
    <w:rsid w:val="004D11F0"/>
    <w:rsid w:val="004D1286"/>
    <w:rsid w:val="004D12FB"/>
    <w:rsid w:val="004D13B8"/>
    <w:rsid w:val="004D13C1"/>
    <w:rsid w:val="004D1434"/>
    <w:rsid w:val="004D162C"/>
    <w:rsid w:val="004D1651"/>
    <w:rsid w:val="004D169B"/>
    <w:rsid w:val="004D16BB"/>
    <w:rsid w:val="004D16F9"/>
    <w:rsid w:val="004D1828"/>
    <w:rsid w:val="004D19B1"/>
    <w:rsid w:val="004D19CF"/>
    <w:rsid w:val="004D19FF"/>
    <w:rsid w:val="004D1A29"/>
    <w:rsid w:val="004D1ABE"/>
    <w:rsid w:val="004D1F0D"/>
    <w:rsid w:val="004D1FD1"/>
    <w:rsid w:val="004D2046"/>
    <w:rsid w:val="004D20D6"/>
    <w:rsid w:val="004D2123"/>
    <w:rsid w:val="004D2199"/>
    <w:rsid w:val="004D2310"/>
    <w:rsid w:val="004D2363"/>
    <w:rsid w:val="004D24B1"/>
    <w:rsid w:val="004D24CF"/>
    <w:rsid w:val="004D24E8"/>
    <w:rsid w:val="004D25DC"/>
    <w:rsid w:val="004D2736"/>
    <w:rsid w:val="004D289A"/>
    <w:rsid w:val="004D2B23"/>
    <w:rsid w:val="004D2B4C"/>
    <w:rsid w:val="004D2C2F"/>
    <w:rsid w:val="004D2C3C"/>
    <w:rsid w:val="004D2C3E"/>
    <w:rsid w:val="004D2DC1"/>
    <w:rsid w:val="004D2EE0"/>
    <w:rsid w:val="004D30BF"/>
    <w:rsid w:val="004D338F"/>
    <w:rsid w:val="004D35C6"/>
    <w:rsid w:val="004D36FF"/>
    <w:rsid w:val="004D3853"/>
    <w:rsid w:val="004D3859"/>
    <w:rsid w:val="004D38E9"/>
    <w:rsid w:val="004D38F9"/>
    <w:rsid w:val="004D391D"/>
    <w:rsid w:val="004D3932"/>
    <w:rsid w:val="004D3A6E"/>
    <w:rsid w:val="004D3B83"/>
    <w:rsid w:val="004D3BAF"/>
    <w:rsid w:val="004D3DA4"/>
    <w:rsid w:val="004D3DF6"/>
    <w:rsid w:val="004D3E4B"/>
    <w:rsid w:val="004D3EFB"/>
    <w:rsid w:val="004D3F48"/>
    <w:rsid w:val="004D40B5"/>
    <w:rsid w:val="004D42CE"/>
    <w:rsid w:val="004D4471"/>
    <w:rsid w:val="004D451A"/>
    <w:rsid w:val="004D452E"/>
    <w:rsid w:val="004D4536"/>
    <w:rsid w:val="004D45B8"/>
    <w:rsid w:val="004D46F6"/>
    <w:rsid w:val="004D4729"/>
    <w:rsid w:val="004D4781"/>
    <w:rsid w:val="004D495B"/>
    <w:rsid w:val="004D49B6"/>
    <w:rsid w:val="004D49F1"/>
    <w:rsid w:val="004D49FE"/>
    <w:rsid w:val="004D4B11"/>
    <w:rsid w:val="004D4C65"/>
    <w:rsid w:val="004D4CBA"/>
    <w:rsid w:val="004D4DF5"/>
    <w:rsid w:val="004D4E7E"/>
    <w:rsid w:val="004D4EF7"/>
    <w:rsid w:val="004D4F59"/>
    <w:rsid w:val="004D4F63"/>
    <w:rsid w:val="004D5020"/>
    <w:rsid w:val="004D5229"/>
    <w:rsid w:val="004D5243"/>
    <w:rsid w:val="004D52B6"/>
    <w:rsid w:val="004D5429"/>
    <w:rsid w:val="004D555D"/>
    <w:rsid w:val="004D55A3"/>
    <w:rsid w:val="004D5610"/>
    <w:rsid w:val="004D562A"/>
    <w:rsid w:val="004D56FA"/>
    <w:rsid w:val="004D5781"/>
    <w:rsid w:val="004D58D4"/>
    <w:rsid w:val="004D5AC2"/>
    <w:rsid w:val="004D5C94"/>
    <w:rsid w:val="004D5DCA"/>
    <w:rsid w:val="004D5E85"/>
    <w:rsid w:val="004D5ECE"/>
    <w:rsid w:val="004D6011"/>
    <w:rsid w:val="004D61BA"/>
    <w:rsid w:val="004D62E2"/>
    <w:rsid w:val="004D635D"/>
    <w:rsid w:val="004D637C"/>
    <w:rsid w:val="004D63EC"/>
    <w:rsid w:val="004D6438"/>
    <w:rsid w:val="004D6459"/>
    <w:rsid w:val="004D68E3"/>
    <w:rsid w:val="004D69F5"/>
    <w:rsid w:val="004D6A38"/>
    <w:rsid w:val="004D6B8F"/>
    <w:rsid w:val="004D6D46"/>
    <w:rsid w:val="004D7064"/>
    <w:rsid w:val="004D709F"/>
    <w:rsid w:val="004D71E6"/>
    <w:rsid w:val="004D722A"/>
    <w:rsid w:val="004D72E9"/>
    <w:rsid w:val="004D742C"/>
    <w:rsid w:val="004D74A6"/>
    <w:rsid w:val="004D74DA"/>
    <w:rsid w:val="004D74DF"/>
    <w:rsid w:val="004D75D8"/>
    <w:rsid w:val="004D7727"/>
    <w:rsid w:val="004D7801"/>
    <w:rsid w:val="004D7958"/>
    <w:rsid w:val="004D7970"/>
    <w:rsid w:val="004D7A8E"/>
    <w:rsid w:val="004D7B9C"/>
    <w:rsid w:val="004D7C4A"/>
    <w:rsid w:val="004D7DEC"/>
    <w:rsid w:val="004D7EB1"/>
    <w:rsid w:val="004D7F65"/>
    <w:rsid w:val="004D7F89"/>
    <w:rsid w:val="004E0036"/>
    <w:rsid w:val="004E02DF"/>
    <w:rsid w:val="004E030E"/>
    <w:rsid w:val="004E0606"/>
    <w:rsid w:val="004E08C5"/>
    <w:rsid w:val="004E0D0F"/>
    <w:rsid w:val="004E0D50"/>
    <w:rsid w:val="004E0DB0"/>
    <w:rsid w:val="004E0E94"/>
    <w:rsid w:val="004E0EE1"/>
    <w:rsid w:val="004E0FCE"/>
    <w:rsid w:val="004E1006"/>
    <w:rsid w:val="004E104D"/>
    <w:rsid w:val="004E10EA"/>
    <w:rsid w:val="004E10F9"/>
    <w:rsid w:val="004E116B"/>
    <w:rsid w:val="004E11A0"/>
    <w:rsid w:val="004E125C"/>
    <w:rsid w:val="004E12B7"/>
    <w:rsid w:val="004E140F"/>
    <w:rsid w:val="004E1449"/>
    <w:rsid w:val="004E1499"/>
    <w:rsid w:val="004E14C4"/>
    <w:rsid w:val="004E1529"/>
    <w:rsid w:val="004E152E"/>
    <w:rsid w:val="004E152F"/>
    <w:rsid w:val="004E15F6"/>
    <w:rsid w:val="004E15FE"/>
    <w:rsid w:val="004E1655"/>
    <w:rsid w:val="004E16D5"/>
    <w:rsid w:val="004E17D9"/>
    <w:rsid w:val="004E1936"/>
    <w:rsid w:val="004E195E"/>
    <w:rsid w:val="004E1968"/>
    <w:rsid w:val="004E1A09"/>
    <w:rsid w:val="004E1C45"/>
    <w:rsid w:val="004E1C6B"/>
    <w:rsid w:val="004E1CA8"/>
    <w:rsid w:val="004E1DD4"/>
    <w:rsid w:val="004E1F3E"/>
    <w:rsid w:val="004E1F48"/>
    <w:rsid w:val="004E1FE7"/>
    <w:rsid w:val="004E2241"/>
    <w:rsid w:val="004E22F7"/>
    <w:rsid w:val="004E2305"/>
    <w:rsid w:val="004E24CE"/>
    <w:rsid w:val="004E2540"/>
    <w:rsid w:val="004E25BB"/>
    <w:rsid w:val="004E26A1"/>
    <w:rsid w:val="004E26C0"/>
    <w:rsid w:val="004E2766"/>
    <w:rsid w:val="004E2907"/>
    <w:rsid w:val="004E293A"/>
    <w:rsid w:val="004E2A91"/>
    <w:rsid w:val="004E2B9D"/>
    <w:rsid w:val="004E2C7C"/>
    <w:rsid w:val="004E2C89"/>
    <w:rsid w:val="004E2FC6"/>
    <w:rsid w:val="004E30BB"/>
    <w:rsid w:val="004E310F"/>
    <w:rsid w:val="004E316B"/>
    <w:rsid w:val="004E31E2"/>
    <w:rsid w:val="004E3396"/>
    <w:rsid w:val="004E34A4"/>
    <w:rsid w:val="004E34E6"/>
    <w:rsid w:val="004E352E"/>
    <w:rsid w:val="004E3554"/>
    <w:rsid w:val="004E36EC"/>
    <w:rsid w:val="004E3739"/>
    <w:rsid w:val="004E37D8"/>
    <w:rsid w:val="004E38DA"/>
    <w:rsid w:val="004E3912"/>
    <w:rsid w:val="004E3C84"/>
    <w:rsid w:val="004E3CC3"/>
    <w:rsid w:val="004E3E0B"/>
    <w:rsid w:val="004E3E36"/>
    <w:rsid w:val="004E3E94"/>
    <w:rsid w:val="004E3ECC"/>
    <w:rsid w:val="004E3F1D"/>
    <w:rsid w:val="004E3F49"/>
    <w:rsid w:val="004E3F7F"/>
    <w:rsid w:val="004E3FBD"/>
    <w:rsid w:val="004E4012"/>
    <w:rsid w:val="004E4099"/>
    <w:rsid w:val="004E420A"/>
    <w:rsid w:val="004E4444"/>
    <w:rsid w:val="004E44C4"/>
    <w:rsid w:val="004E4520"/>
    <w:rsid w:val="004E4592"/>
    <w:rsid w:val="004E4635"/>
    <w:rsid w:val="004E469C"/>
    <w:rsid w:val="004E46F5"/>
    <w:rsid w:val="004E496C"/>
    <w:rsid w:val="004E4C83"/>
    <w:rsid w:val="004E4D40"/>
    <w:rsid w:val="004E4EEB"/>
    <w:rsid w:val="004E4F2C"/>
    <w:rsid w:val="004E5013"/>
    <w:rsid w:val="004E5090"/>
    <w:rsid w:val="004E50ED"/>
    <w:rsid w:val="004E5151"/>
    <w:rsid w:val="004E517C"/>
    <w:rsid w:val="004E529E"/>
    <w:rsid w:val="004E5307"/>
    <w:rsid w:val="004E5392"/>
    <w:rsid w:val="004E5445"/>
    <w:rsid w:val="004E557D"/>
    <w:rsid w:val="004E55F3"/>
    <w:rsid w:val="004E55F7"/>
    <w:rsid w:val="004E55FF"/>
    <w:rsid w:val="004E5640"/>
    <w:rsid w:val="004E586C"/>
    <w:rsid w:val="004E58A6"/>
    <w:rsid w:val="004E58C0"/>
    <w:rsid w:val="004E5A8B"/>
    <w:rsid w:val="004E5ADF"/>
    <w:rsid w:val="004E5AF1"/>
    <w:rsid w:val="004E5BA1"/>
    <w:rsid w:val="004E5BAE"/>
    <w:rsid w:val="004E5BED"/>
    <w:rsid w:val="004E5C45"/>
    <w:rsid w:val="004E5C78"/>
    <w:rsid w:val="004E5C7B"/>
    <w:rsid w:val="004E5C89"/>
    <w:rsid w:val="004E5CE5"/>
    <w:rsid w:val="004E5D44"/>
    <w:rsid w:val="004E5D84"/>
    <w:rsid w:val="004E5D8D"/>
    <w:rsid w:val="004E5E19"/>
    <w:rsid w:val="004E5EAF"/>
    <w:rsid w:val="004E5F1F"/>
    <w:rsid w:val="004E5F30"/>
    <w:rsid w:val="004E5F8D"/>
    <w:rsid w:val="004E6028"/>
    <w:rsid w:val="004E6377"/>
    <w:rsid w:val="004E65BE"/>
    <w:rsid w:val="004E661B"/>
    <w:rsid w:val="004E673F"/>
    <w:rsid w:val="004E6771"/>
    <w:rsid w:val="004E6843"/>
    <w:rsid w:val="004E689C"/>
    <w:rsid w:val="004E68C9"/>
    <w:rsid w:val="004E68CF"/>
    <w:rsid w:val="004E69C2"/>
    <w:rsid w:val="004E6AA6"/>
    <w:rsid w:val="004E6ACD"/>
    <w:rsid w:val="004E6B77"/>
    <w:rsid w:val="004E6C7F"/>
    <w:rsid w:val="004E6C9A"/>
    <w:rsid w:val="004E6E39"/>
    <w:rsid w:val="004E6EFA"/>
    <w:rsid w:val="004E6F6D"/>
    <w:rsid w:val="004E6F80"/>
    <w:rsid w:val="004E7003"/>
    <w:rsid w:val="004E7027"/>
    <w:rsid w:val="004E71CB"/>
    <w:rsid w:val="004E72F6"/>
    <w:rsid w:val="004E7354"/>
    <w:rsid w:val="004E73CB"/>
    <w:rsid w:val="004E73F6"/>
    <w:rsid w:val="004E7492"/>
    <w:rsid w:val="004E74B8"/>
    <w:rsid w:val="004E74EB"/>
    <w:rsid w:val="004E751E"/>
    <w:rsid w:val="004E759F"/>
    <w:rsid w:val="004E75B5"/>
    <w:rsid w:val="004E7645"/>
    <w:rsid w:val="004E76FE"/>
    <w:rsid w:val="004E7725"/>
    <w:rsid w:val="004E77C7"/>
    <w:rsid w:val="004E7953"/>
    <w:rsid w:val="004E7990"/>
    <w:rsid w:val="004E7C2A"/>
    <w:rsid w:val="004E7D15"/>
    <w:rsid w:val="004E7F84"/>
    <w:rsid w:val="004E7FAF"/>
    <w:rsid w:val="004F0123"/>
    <w:rsid w:val="004F01AF"/>
    <w:rsid w:val="004F0260"/>
    <w:rsid w:val="004F02E7"/>
    <w:rsid w:val="004F0330"/>
    <w:rsid w:val="004F0336"/>
    <w:rsid w:val="004F0372"/>
    <w:rsid w:val="004F037C"/>
    <w:rsid w:val="004F03A7"/>
    <w:rsid w:val="004F0424"/>
    <w:rsid w:val="004F04D7"/>
    <w:rsid w:val="004F0655"/>
    <w:rsid w:val="004F0792"/>
    <w:rsid w:val="004F07A8"/>
    <w:rsid w:val="004F0866"/>
    <w:rsid w:val="004F088A"/>
    <w:rsid w:val="004F09AE"/>
    <w:rsid w:val="004F09D3"/>
    <w:rsid w:val="004F0A10"/>
    <w:rsid w:val="004F0C1B"/>
    <w:rsid w:val="004F0C49"/>
    <w:rsid w:val="004F0C99"/>
    <w:rsid w:val="004F0CD9"/>
    <w:rsid w:val="004F0E17"/>
    <w:rsid w:val="004F0E3A"/>
    <w:rsid w:val="004F0E7D"/>
    <w:rsid w:val="004F0ECB"/>
    <w:rsid w:val="004F0F75"/>
    <w:rsid w:val="004F0FDB"/>
    <w:rsid w:val="004F1002"/>
    <w:rsid w:val="004F1049"/>
    <w:rsid w:val="004F104C"/>
    <w:rsid w:val="004F1065"/>
    <w:rsid w:val="004F11A6"/>
    <w:rsid w:val="004F13C7"/>
    <w:rsid w:val="004F1438"/>
    <w:rsid w:val="004F174D"/>
    <w:rsid w:val="004F175A"/>
    <w:rsid w:val="004F19DD"/>
    <w:rsid w:val="004F19EA"/>
    <w:rsid w:val="004F1A4A"/>
    <w:rsid w:val="004F1A9B"/>
    <w:rsid w:val="004F1AF7"/>
    <w:rsid w:val="004F1BD3"/>
    <w:rsid w:val="004F1D87"/>
    <w:rsid w:val="004F20A8"/>
    <w:rsid w:val="004F2148"/>
    <w:rsid w:val="004F2153"/>
    <w:rsid w:val="004F22ED"/>
    <w:rsid w:val="004F22EE"/>
    <w:rsid w:val="004F2307"/>
    <w:rsid w:val="004F2313"/>
    <w:rsid w:val="004F2337"/>
    <w:rsid w:val="004F2341"/>
    <w:rsid w:val="004F237E"/>
    <w:rsid w:val="004F2460"/>
    <w:rsid w:val="004F24FA"/>
    <w:rsid w:val="004F26BD"/>
    <w:rsid w:val="004F2784"/>
    <w:rsid w:val="004F29C1"/>
    <w:rsid w:val="004F29E0"/>
    <w:rsid w:val="004F2A28"/>
    <w:rsid w:val="004F2A74"/>
    <w:rsid w:val="004F2A86"/>
    <w:rsid w:val="004F2AF5"/>
    <w:rsid w:val="004F2B59"/>
    <w:rsid w:val="004F2C09"/>
    <w:rsid w:val="004F2C66"/>
    <w:rsid w:val="004F2C6E"/>
    <w:rsid w:val="004F2C96"/>
    <w:rsid w:val="004F2CB4"/>
    <w:rsid w:val="004F2DEE"/>
    <w:rsid w:val="004F2EAF"/>
    <w:rsid w:val="004F2EF5"/>
    <w:rsid w:val="004F2F6E"/>
    <w:rsid w:val="004F311E"/>
    <w:rsid w:val="004F3258"/>
    <w:rsid w:val="004F342C"/>
    <w:rsid w:val="004F346C"/>
    <w:rsid w:val="004F34E8"/>
    <w:rsid w:val="004F351B"/>
    <w:rsid w:val="004F3564"/>
    <w:rsid w:val="004F3635"/>
    <w:rsid w:val="004F36DA"/>
    <w:rsid w:val="004F373F"/>
    <w:rsid w:val="004F3742"/>
    <w:rsid w:val="004F39BE"/>
    <w:rsid w:val="004F39DC"/>
    <w:rsid w:val="004F3B2B"/>
    <w:rsid w:val="004F3B4D"/>
    <w:rsid w:val="004F3BE4"/>
    <w:rsid w:val="004F3C4E"/>
    <w:rsid w:val="004F3C71"/>
    <w:rsid w:val="004F4084"/>
    <w:rsid w:val="004F40A6"/>
    <w:rsid w:val="004F40C9"/>
    <w:rsid w:val="004F413C"/>
    <w:rsid w:val="004F41DC"/>
    <w:rsid w:val="004F4202"/>
    <w:rsid w:val="004F43EF"/>
    <w:rsid w:val="004F44BB"/>
    <w:rsid w:val="004F44FA"/>
    <w:rsid w:val="004F45CC"/>
    <w:rsid w:val="004F46CA"/>
    <w:rsid w:val="004F46CB"/>
    <w:rsid w:val="004F46E5"/>
    <w:rsid w:val="004F48AD"/>
    <w:rsid w:val="004F48CA"/>
    <w:rsid w:val="004F48CB"/>
    <w:rsid w:val="004F4AD9"/>
    <w:rsid w:val="004F4B2C"/>
    <w:rsid w:val="004F4C90"/>
    <w:rsid w:val="004F4DA3"/>
    <w:rsid w:val="004F4F96"/>
    <w:rsid w:val="004F4FA5"/>
    <w:rsid w:val="004F509E"/>
    <w:rsid w:val="004F511A"/>
    <w:rsid w:val="004F517D"/>
    <w:rsid w:val="004F51EF"/>
    <w:rsid w:val="004F5213"/>
    <w:rsid w:val="004F522F"/>
    <w:rsid w:val="004F541B"/>
    <w:rsid w:val="004F542C"/>
    <w:rsid w:val="004F5498"/>
    <w:rsid w:val="004F5575"/>
    <w:rsid w:val="004F55BE"/>
    <w:rsid w:val="004F5836"/>
    <w:rsid w:val="004F58F1"/>
    <w:rsid w:val="004F5927"/>
    <w:rsid w:val="004F5972"/>
    <w:rsid w:val="004F59CE"/>
    <w:rsid w:val="004F5BB0"/>
    <w:rsid w:val="004F5BE8"/>
    <w:rsid w:val="004F5C53"/>
    <w:rsid w:val="004F5C8B"/>
    <w:rsid w:val="004F5D5B"/>
    <w:rsid w:val="004F5DDC"/>
    <w:rsid w:val="004F5DFD"/>
    <w:rsid w:val="004F5ED4"/>
    <w:rsid w:val="004F60CE"/>
    <w:rsid w:val="004F61FB"/>
    <w:rsid w:val="004F6355"/>
    <w:rsid w:val="004F6368"/>
    <w:rsid w:val="004F6506"/>
    <w:rsid w:val="004F65E3"/>
    <w:rsid w:val="004F6638"/>
    <w:rsid w:val="004F6755"/>
    <w:rsid w:val="004F681E"/>
    <w:rsid w:val="004F6877"/>
    <w:rsid w:val="004F691B"/>
    <w:rsid w:val="004F6A35"/>
    <w:rsid w:val="004F6A92"/>
    <w:rsid w:val="004F6B52"/>
    <w:rsid w:val="004F6BBC"/>
    <w:rsid w:val="004F6BE5"/>
    <w:rsid w:val="004F6F0B"/>
    <w:rsid w:val="004F7131"/>
    <w:rsid w:val="004F7205"/>
    <w:rsid w:val="004F7216"/>
    <w:rsid w:val="004F730A"/>
    <w:rsid w:val="004F7345"/>
    <w:rsid w:val="004F7488"/>
    <w:rsid w:val="004F74FE"/>
    <w:rsid w:val="004F760B"/>
    <w:rsid w:val="004F7626"/>
    <w:rsid w:val="004F7627"/>
    <w:rsid w:val="004F76E7"/>
    <w:rsid w:val="004F76EC"/>
    <w:rsid w:val="004F78B3"/>
    <w:rsid w:val="004F7992"/>
    <w:rsid w:val="004F79A0"/>
    <w:rsid w:val="004F7B3D"/>
    <w:rsid w:val="004F7BEA"/>
    <w:rsid w:val="004F7D54"/>
    <w:rsid w:val="004F7F45"/>
    <w:rsid w:val="004F7FFB"/>
    <w:rsid w:val="00500185"/>
    <w:rsid w:val="005003F1"/>
    <w:rsid w:val="00500731"/>
    <w:rsid w:val="0050088D"/>
    <w:rsid w:val="005008C2"/>
    <w:rsid w:val="0050099D"/>
    <w:rsid w:val="005009E4"/>
    <w:rsid w:val="00500A95"/>
    <w:rsid w:val="00500B82"/>
    <w:rsid w:val="00500CCD"/>
    <w:rsid w:val="00500D1D"/>
    <w:rsid w:val="00500DD1"/>
    <w:rsid w:val="00500F02"/>
    <w:rsid w:val="00500F7F"/>
    <w:rsid w:val="00500F81"/>
    <w:rsid w:val="00500FBE"/>
    <w:rsid w:val="0050112C"/>
    <w:rsid w:val="0050113F"/>
    <w:rsid w:val="005012F4"/>
    <w:rsid w:val="0050130B"/>
    <w:rsid w:val="005014B1"/>
    <w:rsid w:val="005014C8"/>
    <w:rsid w:val="005016E2"/>
    <w:rsid w:val="0050179B"/>
    <w:rsid w:val="0050192E"/>
    <w:rsid w:val="005019DB"/>
    <w:rsid w:val="00501B2C"/>
    <w:rsid w:val="00501B88"/>
    <w:rsid w:val="00501D63"/>
    <w:rsid w:val="00501DB3"/>
    <w:rsid w:val="00501F33"/>
    <w:rsid w:val="00501F86"/>
    <w:rsid w:val="00502053"/>
    <w:rsid w:val="005020EF"/>
    <w:rsid w:val="005022D2"/>
    <w:rsid w:val="0050233D"/>
    <w:rsid w:val="0050251D"/>
    <w:rsid w:val="00502566"/>
    <w:rsid w:val="005026DD"/>
    <w:rsid w:val="00502C18"/>
    <w:rsid w:val="00502DA4"/>
    <w:rsid w:val="00502DBC"/>
    <w:rsid w:val="00502E08"/>
    <w:rsid w:val="00502FEF"/>
    <w:rsid w:val="0050301E"/>
    <w:rsid w:val="0050303E"/>
    <w:rsid w:val="00503152"/>
    <w:rsid w:val="0050319E"/>
    <w:rsid w:val="005031AC"/>
    <w:rsid w:val="005032E6"/>
    <w:rsid w:val="005033A2"/>
    <w:rsid w:val="005033B8"/>
    <w:rsid w:val="005034F4"/>
    <w:rsid w:val="005035F9"/>
    <w:rsid w:val="00503689"/>
    <w:rsid w:val="005036EC"/>
    <w:rsid w:val="00503A99"/>
    <w:rsid w:val="00503B34"/>
    <w:rsid w:val="00503C99"/>
    <w:rsid w:val="00503D93"/>
    <w:rsid w:val="00503E8E"/>
    <w:rsid w:val="00503F58"/>
    <w:rsid w:val="00503FE3"/>
    <w:rsid w:val="00504135"/>
    <w:rsid w:val="00504260"/>
    <w:rsid w:val="005042FE"/>
    <w:rsid w:val="00504339"/>
    <w:rsid w:val="0050433A"/>
    <w:rsid w:val="0050434B"/>
    <w:rsid w:val="005043E6"/>
    <w:rsid w:val="0050442C"/>
    <w:rsid w:val="0050444B"/>
    <w:rsid w:val="00504453"/>
    <w:rsid w:val="005044A1"/>
    <w:rsid w:val="005044DD"/>
    <w:rsid w:val="00504552"/>
    <w:rsid w:val="00504675"/>
    <w:rsid w:val="005046FA"/>
    <w:rsid w:val="00504736"/>
    <w:rsid w:val="00504813"/>
    <w:rsid w:val="00504A21"/>
    <w:rsid w:val="00504A6E"/>
    <w:rsid w:val="00504A9A"/>
    <w:rsid w:val="00504BA6"/>
    <w:rsid w:val="00504CA7"/>
    <w:rsid w:val="00504CFA"/>
    <w:rsid w:val="00504E66"/>
    <w:rsid w:val="00505038"/>
    <w:rsid w:val="00505126"/>
    <w:rsid w:val="005052BC"/>
    <w:rsid w:val="00505311"/>
    <w:rsid w:val="00505343"/>
    <w:rsid w:val="0050535B"/>
    <w:rsid w:val="005053A4"/>
    <w:rsid w:val="005053B9"/>
    <w:rsid w:val="0050556A"/>
    <w:rsid w:val="0050557F"/>
    <w:rsid w:val="0050560D"/>
    <w:rsid w:val="0050564D"/>
    <w:rsid w:val="00505709"/>
    <w:rsid w:val="0050575C"/>
    <w:rsid w:val="005059CB"/>
    <w:rsid w:val="00505A0E"/>
    <w:rsid w:val="00505A10"/>
    <w:rsid w:val="00505A3B"/>
    <w:rsid w:val="00505B25"/>
    <w:rsid w:val="00505CD6"/>
    <w:rsid w:val="00505E09"/>
    <w:rsid w:val="0050604D"/>
    <w:rsid w:val="005060E5"/>
    <w:rsid w:val="0050627C"/>
    <w:rsid w:val="0050633C"/>
    <w:rsid w:val="00506521"/>
    <w:rsid w:val="0050664D"/>
    <w:rsid w:val="005066CB"/>
    <w:rsid w:val="0050675C"/>
    <w:rsid w:val="005067F5"/>
    <w:rsid w:val="0050690E"/>
    <w:rsid w:val="00506A19"/>
    <w:rsid w:val="00506ACB"/>
    <w:rsid w:val="00506AE0"/>
    <w:rsid w:val="00506BFC"/>
    <w:rsid w:val="00506C06"/>
    <w:rsid w:val="00506D5E"/>
    <w:rsid w:val="00506FBF"/>
    <w:rsid w:val="005070A5"/>
    <w:rsid w:val="005070C2"/>
    <w:rsid w:val="005071ED"/>
    <w:rsid w:val="005071F3"/>
    <w:rsid w:val="005075CE"/>
    <w:rsid w:val="00507707"/>
    <w:rsid w:val="00507710"/>
    <w:rsid w:val="00507728"/>
    <w:rsid w:val="0050777F"/>
    <w:rsid w:val="005077FC"/>
    <w:rsid w:val="00507883"/>
    <w:rsid w:val="005079FD"/>
    <w:rsid w:val="00507A78"/>
    <w:rsid w:val="00507B7B"/>
    <w:rsid w:val="00507BCF"/>
    <w:rsid w:val="00507C5C"/>
    <w:rsid w:val="00507C74"/>
    <w:rsid w:val="00507D87"/>
    <w:rsid w:val="00507DC9"/>
    <w:rsid w:val="00507E2F"/>
    <w:rsid w:val="00507F6B"/>
    <w:rsid w:val="00507FF0"/>
    <w:rsid w:val="005100C0"/>
    <w:rsid w:val="00510104"/>
    <w:rsid w:val="00510196"/>
    <w:rsid w:val="0051029C"/>
    <w:rsid w:val="005103DD"/>
    <w:rsid w:val="0051044C"/>
    <w:rsid w:val="00510591"/>
    <w:rsid w:val="005105E8"/>
    <w:rsid w:val="00510632"/>
    <w:rsid w:val="005106A9"/>
    <w:rsid w:val="0051082B"/>
    <w:rsid w:val="00510951"/>
    <w:rsid w:val="005109CE"/>
    <w:rsid w:val="00510A60"/>
    <w:rsid w:val="00510B0C"/>
    <w:rsid w:val="00510BBF"/>
    <w:rsid w:val="00510CC2"/>
    <w:rsid w:val="00510CF5"/>
    <w:rsid w:val="00510DDA"/>
    <w:rsid w:val="00510DF2"/>
    <w:rsid w:val="00510E03"/>
    <w:rsid w:val="00510E7B"/>
    <w:rsid w:val="00510EFC"/>
    <w:rsid w:val="00510F3F"/>
    <w:rsid w:val="00511000"/>
    <w:rsid w:val="0051118A"/>
    <w:rsid w:val="0051129B"/>
    <w:rsid w:val="00511379"/>
    <w:rsid w:val="005114BC"/>
    <w:rsid w:val="005115AF"/>
    <w:rsid w:val="005115B2"/>
    <w:rsid w:val="0051174A"/>
    <w:rsid w:val="00511777"/>
    <w:rsid w:val="0051180C"/>
    <w:rsid w:val="005118C3"/>
    <w:rsid w:val="005118E7"/>
    <w:rsid w:val="005119D8"/>
    <w:rsid w:val="00511BF7"/>
    <w:rsid w:val="00511C33"/>
    <w:rsid w:val="00511C83"/>
    <w:rsid w:val="00511E32"/>
    <w:rsid w:val="00512099"/>
    <w:rsid w:val="0051209E"/>
    <w:rsid w:val="005121C4"/>
    <w:rsid w:val="00512255"/>
    <w:rsid w:val="00512261"/>
    <w:rsid w:val="00512285"/>
    <w:rsid w:val="00512341"/>
    <w:rsid w:val="00512389"/>
    <w:rsid w:val="00512508"/>
    <w:rsid w:val="00512592"/>
    <w:rsid w:val="0051259B"/>
    <w:rsid w:val="005125A6"/>
    <w:rsid w:val="0051262E"/>
    <w:rsid w:val="00512663"/>
    <w:rsid w:val="0051271B"/>
    <w:rsid w:val="00512774"/>
    <w:rsid w:val="00512791"/>
    <w:rsid w:val="005127FA"/>
    <w:rsid w:val="0051285A"/>
    <w:rsid w:val="0051285F"/>
    <w:rsid w:val="00512877"/>
    <w:rsid w:val="005129A4"/>
    <w:rsid w:val="00512C80"/>
    <w:rsid w:val="00512CBD"/>
    <w:rsid w:val="00512D26"/>
    <w:rsid w:val="00512D31"/>
    <w:rsid w:val="00512D65"/>
    <w:rsid w:val="00512DD7"/>
    <w:rsid w:val="00512F5B"/>
    <w:rsid w:val="005130CF"/>
    <w:rsid w:val="00513113"/>
    <w:rsid w:val="005132C9"/>
    <w:rsid w:val="00513451"/>
    <w:rsid w:val="005135CF"/>
    <w:rsid w:val="005135D8"/>
    <w:rsid w:val="0051360F"/>
    <w:rsid w:val="00513731"/>
    <w:rsid w:val="0051396B"/>
    <w:rsid w:val="00513AFD"/>
    <w:rsid w:val="00513B14"/>
    <w:rsid w:val="00513D76"/>
    <w:rsid w:val="00513DB5"/>
    <w:rsid w:val="00513F1D"/>
    <w:rsid w:val="00513FBC"/>
    <w:rsid w:val="00514037"/>
    <w:rsid w:val="00514316"/>
    <w:rsid w:val="00514382"/>
    <w:rsid w:val="005143F9"/>
    <w:rsid w:val="0051465A"/>
    <w:rsid w:val="00514713"/>
    <w:rsid w:val="00514888"/>
    <w:rsid w:val="005148C8"/>
    <w:rsid w:val="00514A51"/>
    <w:rsid w:val="00514A64"/>
    <w:rsid w:val="00514A77"/>
    <w:rsid w:val="00514E7A"/>
    <w:rsid w:val="00514F4A"/>
    <w:rsid w:val="005150A1"/>
    <w:rsid w:val="005150C1"/>
    <w:rsid w:val="0051516B"/>
    <w:rsid w:val="0051520B"/>
    <w:rsid w:val="00515216"/>
    <w:rsid w:val="00515380"/>
    <w:rsid w:val="005153FB"/>
    <w:rsid w:val="005157A5"/>
    <w:rsid w:val="00515803"/>
    <w:rsid w:val="00515815"/>
    <w:rsid w:val="00515825"/>
    <w:rsid w:val="005158F6"/>
    <w:rsid w:val="00515938"/>
    <w:rsid w:val="0051593C"/>
    <w:rsid w:val="00515B85"/>
    <w:rsid w:val="00515ED3"/>
    <w:rsid w:val="00515F7F"/>
    <w:rsid w:val="00516028"/>
    <w:rsid w:val="00516109"/>
    <w:rsid w:val="0051612A"/>
    <w:rsid w:val="00516202"/>
    <w:rsid w:val="0051627B"/>
    <w:rsid w:val="0051637E"/>
    <w:rsid w:val="0051638D"/>
    <w:rsid w:val="00516556"/>
    <w:rsid w:val="005165B8"/>
    <w:rsid w:val="00516657"/>
    <w:rsid w:val="00516735"/>
    <w:rsid w:val="00516899"/>
    <w:rsid w:val="00516A0D"/>
    <w:rsid w:val="00516A5F"/>
    <w:rsid w:val="00516AA6"/>
    <w:rsid w:val="00516BA7"/>
    <w:rsid w:val="00516E03"/>
    <w:rsid w:val="00517022"/>
    <w:rsid w:val="00517079"/>
    <w:rsid w:val="005171F4"/>
    <w:rsid w:val="005171FE"/>
    <w:rsid w:val="00517230"/>
    <w:rsid w:val="0051724C"/>
    <w:rsid w:val="00517335"/>
    <w:rsid w:val="00517388"/>
    <w:rsid w:val="005173B1"/>
    <w:rsid w:val="005173D4"/>
    <w:rsid w:val="0051743E"/>
    <w:rsid w:val="00517666"/>
    <w:rsid w:val="005176E6"/>
    <w:rsid w:val="005176F2"/>
    <w:rsid w:val="00517A10"/>
    <w:rsid w:val="00517A55"/>
    <w:rsid w:val="00517AD6"/>
    <w:rsid w:val="00517B8F"/>
    <w:rsid w:val="00517D59"/>
    <w:rsid w:val="00517E37"/>
    <w:rsid w:val="00517E75"/>
    <w:rsid w:val="0052005C"/>
    <w:rsid w:val="005200A8"/>
    <w:rsid w:val="00520149"/>
    <w:rsid w:val="00520178"/>
    <w:rsid w:val="00520186"/>
    <w:rsid w:val="0052026D"/>
    <w:rsid w:val="00520300"/>
    <w:rsid w:val="0052038E"/>
    <w:rsid w:val="005204A6"/>
    <w:rsid w:val="005204E5"/>
    <w:rsid w:val="005205BB"/>
    <w:rsid w:val="005206B8"/>
    <w:rsid w:val="0052079B"/>
    <w:rsid w:val="005207D9"/>
    <w:rsid w:val="00520800"/>
    <w:rsid w:val="005209D4"/>
    <w:rsid w:val="00520B31"/>
    <w:rsid w:val="00520B80"/>
    <w:rsid w:val="00520BDD"/>
    <w:rsid w:val="00520D8E"/>
    <w:rsid w:val="00520ECC"/>
    <w:rsid w:val="00520F66"/>
    <w:rsid w:val="00520F7A"/>
    <w:rsid w:val="0052102F"/>
    <w:rsid w:val="005211A9"/>
    <w:rsid w:val="005214B3"/>
    <w:rsid w:val="005215F2"/>
    <w:rsid w:val="00521841"/>
    <w:rsid w:val="00521953"/>
    <w:rsid w:val="00521A3E"/>
    <w:rsid w:val="00521C4B"/>
    <w:rsid w:val="00521E04"/>
    <w:rsid w:val="00521F90"/>
    <w:rsid w:val="005220AD"/>
    <w:rsid w:val="005220BC"/>
    <w:rsid w:val="005220C3"/>
    <w:rsid w:val="005220E7"/>
    <w:rsid w:val="0052225C"/>
    <w:rsid w:val="005223E2"/>
    <w:rsid w:val="0052259E"/>
    <w:rsid w:val="0052296B"/>
    <w:rsid w:val="005229F9"/>
    <w:rsid w:val="00522BBB"/>
    <w:rsid w:val="00522CDE"/>
    <w:rsid w:val="00522E7F"/>
    <w:rsid w:val="00522F40"/>
    <w:rsid w:val="0052308E"/>
    <w:rsid w:val="00523104"/>
    <w:rsid w:val="00523144"/>
    <w:rsid w:val="0052327B"/>
    <w:rsid w:val="00523282"/>
    <w:rsid w:val="005232C3"/>
    <w:rsid w:val="005232DA"/>
    <w:rsid w:val="005236EB"/>
    <w:rsid w:val="005236F6"/>
    <w:rsid w:val="00523760"/>
    <w:rsid w:val="005237D6"/>
    <w:rsid w:val="005237FE"/>
    <w:rsid w:val="00523941"/>
    <w:rsid w:val="0052398A"/>
    <w:rsid w:val="00523A53"/>
    <w:rsid w:val="00523B06"/>
    <w:rsid w:val="00523CDC"/>
    <w:rsid w:val="00523D91"/>
    <w:rsid w:val="00523FEE"/>
    <w:rsid w:val="0052409E"/>
    <w:rsid w:val="00524144"/>
    <w:rsid w:val="005241F2"/>
    <w:rsid w:val="00524328"/>
    <w:rsid w:val="0052434E"/>
    <w:rsid w:val="00524605"/>
    <w:rsid w:val="00524664"/>
    <w:rsid w:val="005246E3"/>
    <w:rsid w:val="005247B4"/>
    <w:rsid w:val="005247E2"/>
    <w:rsid w:val="005248BA"/>
    <w:rsid w:val="00524920"/>
    <w:rsid w:val="00524B3E"/>
    <w:rsid w:val="00524CA4"/>
    <w:rsid w:val="00524CE3"/>
    <w:rsid w:val="00524CF2"/>
    <w:rsid w:val="00524E56"/>
    <w:rsid w:val="00524FC3"/>
    <w:rsid w:val="00524FD8"/>
    <w:rsid w:val="00525008"/>
    <w:rsid w:val="00525199"/>
    <w:rsid w:val="005251FB"/>
    <w:rsid w:val="0052561F"/>
    <w:rsid w:val="005256ED"/>
    <w:rsid w:val="00525745"/>
    <w:rsid w:val="005257AA"/>
    <w:rsid w:val="00525814"/>
    <w:rsid w:val="00525875"/>
    <w:rsid w:val="00525936"/>
    <w:rsid w:val="00525A1A"/>
    <w:rsid w:val="00525A9D"/>
    <w:rsid w:val="00525B52"/>
    <w:rsid w:val="00525E0E"/>
    <w:rsid w:val="00525E4A"/>
    <w:rsid w:val="00525E4B"/>
    <w:rsid w:val="00525F02"/>
    <w:rsid w:val="00525F56"/>
    <w:rsid w:val="0052601C"/>
    <w:rsid w:val="00526102"/>
    <w:rsid w:val="0052632E"/>
    <w:rsid w:val="005263EC"/>
    <w:rsid w:val="0052666E"/>
    <w:rsid w:val="0052685B"/>
    <w:rsid w:val="005268AC"/>
    <w:rsid w:val="00526950"/>
    <w:rsid w:val="00526B63"/>
    <w:rsid w:val="00526BD6"/>
    <w:rsid w:val="00526C2F"/>
    <w:rsid w:val="00526D86"/>
    <w:rsid w:val="00526DB1"/>
    <w:rsid w:val="00526F14"/>
    <w:rsid w:val="00526F85"/>
    <w:rsid w:val="00527070"/>
    <w:rsid w:val="00527105"/>
    <w:rsid w:val="00527235"/>
    <w:rsid w:val="0052732B"/>
    <w:rsid w:val="005273D4"/>
    <w:rsid w:val="00527420"/>
    <w:rsid w:val="00527583"/>
    <w:rsid w:val="00527621"/>
    <w:rsid w:val="00527667"/>
    <w:rsid w:val="0052769F"/>
    <w:rsid w:val="005276C8"/>
    <w:rsid w:val="0052770C"/>
    <w:rsid w:val="005278C3"/>
    <w:rsid w:val="005278D8"/>
    <w:rsid w:val="00527CC4"/>
    <w:rsid w:val="005301BF"/>
    <w:rsid w:val="00530213"/>
    <w:rsid w:val="00530238"/>
    <w:rsid w:val="00530280"/>
    <w:rsid w:val="005302CF"/>
    <w:rsid w:val="00530475"/>
    <w:rsid w:val="005304B1"/>
    <w:rsid w:val="0053053E"/>
    <w:rsid w:val="005305DC"/>
    <w:rsid w:val="00530716"/>
    <w:rsid w:val="0053071B"/>
    <w:rsid w:val="0053074A"/>
    <w:rsid w:val="0053088F"/>
    <w:rsid w:val="00530975"/>
    <w:rsid w:val="00530AF3"/>
    <w:rsid w:val="00530B3C"/>
    <w:rsid w:val="00530C87"/>
    <w:rsid w:val="00530DA1"/>
    <w:rsid w:val="00530EA4"/>
    <w:rsid w:val="00530EF2"/>
    <w:rsid w:val="00530F03"/>
    <w:rsid w:val="00530FA6"/>
    <w:rsid w:val="00530FBC"/>
    <w:rsid w:val="00530FDE"/>
    <w:rsid w:val="00530FE2"/>
    <w:rsid w:val="0053105F"/>
    <w:rsid w:val="0053118A"/>
    <w:rsid w:val="00531206"/>
    <w:rsid w:val="005312BD"/>
    <w:rsid w:val="005312F3"/>
    <w:rsid w:val="00531421"/>
    <w:rsid w:val="0053142A"/>
    <w:rsid w:val="0053173B"/>
    <w:rsid w:val="00531813"/>
    <w:rsid w:val="005318B7"/>
    <w:rsid w:val="0053194A"/>
    <w:rsid w:val="00531950"/>
    <w:rsid w:val="00531AAF"/>
    <w:rsid w:val="00531B46"/>
    <w:rsid w:val="00531C27"/>
    <w:rsid w:val="00531D59"/>
    <w:rsid w:val="00531F94"/>
    <w:rsid w:val="00531FC5"/>
    <w:rsid w:val="00531FED"/>
    <w:rsid w:val="00531FFB"/>
    <w:rsid w:val="00532038"/>
    <w:rsid w:val="005321DE"/>
    <w:rsid w:val="005322E3"/>
    <w:rsid w:val="005322FE"/>
    <w:rsid w:val="00532378"/>
    <w:rsid w:val="005323B8"/>
    <w:rsid w:val="005325AC"/>
    <w:rsid w:val="0053261D"/>
    <w:rsid w:val="0053261E"/>
    <w:rsid w:val="005326BB"/>
    <w:rsid w:val="0053286B"/>
    <w:rsid w:val="00532C59"/>
    <w:rsid w:val="00532C99"/>
    <w:rsid w:val="00532DDC"/>
    <w:rsid w:val="00532EC1"/>
    <w:rsid w:val="0053321E"/>
    <w:rsid w:val="00533222"/>
    <w:rsid w:val="00533274"/>
    <w:rsid w:val="0053332D"/>
    <w:rsid w:val="005333CF"/>
    <w:rsid w:val="005334F3"/>
    <w:rsid w:val="00533516"/>
    <w:rsid w:val="005336FC"/>
    <w:rsid w:val="0053373E"/>
    <w:rsid w:val="005338A2"/>
    <w:rsid w:val="00533925"/>
    <w:rsid w:val="005339E3"/>
    <w:rsid w:val="00533A31"/>
    <w:rsid w:val="00533A39"/>
    <w:rsid w:val="00533AE1"/>
    <w:rsid w:val="00533EE5"/>
    <w:rsid w:val="00533F61"/>
    <w:rsid w:val="00533F92"/>
    <w:rsid w:val="0053409F"/>
    <w:rsid w:val="00534205"/>
    <w:rsid w:val="00534353"/>
    <w:rsid w:val="005343B0"/>
    <w:rsid w:val="0053467B"/>
    <w:rsid w:val="005348F5"/>
    <w:rsid w:val="00534922"/>
    <w:rsid w:val="005349F9"/>
    <w:rsid w:val="00534A9C"/>
    <w:rsid w:val="00534B2C"/>
    <w:rsid w:val="00534B77"/>
    <w:rsid w:val="00534C5F"/>
    <w:rsid w:val="00534DC5"/>
    <w:rsid w:val="00534E8B"/>
    <w:rsid w:val="005350DB"/>
    <w:rsid w:val="00535117"/>
    <w:rsid w:val="0053520A"/>
    <w:rsid w:val="005352B2"/>
    <w:rsid w:val="0053533D"/>
    <w:rsid w:val="0053538B"/>
    <w:rsid w:val="00535414"/>
    <w:rsid w:val="00535435"/>
    <w:rsid w:val="00535450"/>
    <w:rsid w:val="005354F8"/>
    <w:rsid w:val="00535580"/>
    <w:rsid w:val="0053562E"/>
    <w:rsid w:val="00535692"/>
    <w:rsid w:val="005356EE"/>
    <w:rsid w:val="00535791"/>
    <w:rsid w:val="00535A4A"/>
    <w:rsid w:val="00535B95"/>
    <w:rsid w:val="00535BAB"/>
    <w:rsid w:val="00535BCC"/>
    <w:rsid w:val="00535D9C"/>
    <w:rsid w:val="00535EFC"/>
    <w:rsid w:val="00535F45"/>
    <w:rsid w:val="0053605D"/>
    <w:rsid w:val="00536075"/>
    <w:rsid w:val="005361C2"/>
    <w:rsid w:val="005362F1"/>
    <w:rsid w:val="00536366"/>
    <w:rsid w:val="005363CC"/>
    <w:rsid w:val="00536410"/>
    <w:rsid w:val="005368E1"/>
    <w:rsid w:val="005369DA"/>
    <w:rsid w:val="00536A8C"/>
    <w:rsid w:val="00536BAF"/>
    <w:rsid w:val="00536BD1"/>
    <w:rsid w:val="00536BE8"/>
    <w:rsid w:val="00536BF4"/>
    <w:rsid w:val="00536C1D"/>
    <w:rsid w:val="00536CAC"/>
    <w:rsid w:val="00536F7A"/>
    <w:rsid w:val="005370DB"/>
    <w:rsid w:val="005370F3"/>
    <w:rsid w:val="0053713D"/>
    <w:rsid w:val="005372A8"/>
    <w:rsid w:val="0053764A"/>
    <w:rsid w:val="00537985"/>
    <w:rsid w:val="00537C21"/>
    <w:rsid w:val="00537C2C"/>
    <w:rsid w:val="00537C9F"/>
    <w:rsid w:val="00537D04"/>
    <w:rsid w:val="00537DDC"/>
    <w:rsid w:val="00537DF3"/>
    <w:rsid w:val="00537EC1"/>
    <w:rsid w:val="00537F11"/>
    <w:rsid w:val="00540042"/>
    <w:rsid w:val="00540450"/>
    <w:rsid w:val="005404B2"/>
    <w:rsid w:val="0054069A"/>
    <w:rsid w:val="005406D8"/>
    <w:rsid w:val="005407F4"/>
    <w:rsid w:val="005409FD"/>
    <w:rsid w:val="00540AF0"/>
    <w:rsid w:val="00540B14"/>
    <w:rsid w:val="00540B27"/>
    <w:rsid w:val="00540CB4"/>
    <w:rsid w:val="00540CCB"/>
    <w:rsid w:val="00540CE4"/>
    <w:rsid w:val="00540D2C"/>
    <w:rsid w:val="00540E1A"/>
    <w:rsid w:val="00540E4D"/>
    <w:rsid w:val="00540E8A"/>
    <w:rsid w:val="00540F36"/>
    <w:rsid w:val="00541122"/>
    <w:rsid w:val="0054119D"/>
    <w:rsid w:val="005411D7"/>
    <w:rsid w:val="00541251"/>
    <w:rsid w:val="005412E5"/>
    <w:rsid w:val="0054132B"/>
    <w:rsid w:val="00541369"/>
    <w:rsid w:val="0054148F"/>
    <w:rsid w:val="005414BD"/>
    <w:rsid w:val="00541524"/>
    <w:rsid w:val="00541725"/>
    <w:rsid w:val="00541746"/>
    <w:rsid w:val="00541792"/>
    <w:rsid w:val="00541793"/>
    <w:rsid w:val="005417D2"/>
    <w:rsid w:val="00541828"/>
    <w:rsid w:val="00541857"/>
    <w:rsid w:val="005418F1"/>
    <w:rsid w:val="005419BA"/>
    <w:rsid w:val="00541B4A"/>
    <w:rsid w:val="00541BD3"/>
    <w:rsid w:val="00541C27"/>
    <w:rsid w:val="00541D4B"/>
    <w:rsid w:val="00541E0D"/>
    <w:rsid w:val="00541E3B"/>
    <w:rsid w:val="00541F2A"/>
    <w:rsid w:val="00541F2C"/>
    <w:rsid w:val="00541FD2"/>
    <w:rsid w:val="00542098"/>
    <w:rsid w:val="005420B0"/>
    <w:rsid w:val="005420BF"/>
    <w:rsid w:val="005421B3"/>
    <w:rsid w:val="005422A9"/>
    <w:rsid w:val="0054230F"/>
    <w:rsid w:val="0054233B"/>
    <w:rsid w:val="0054238C"/>
    <w:rsid w:val="00542454"/>
    <w:rsid w:val="005425AB"/>
    <w:rsid w:val="005425F2"/>
    <w:rsid w:val="0054276B"/>
    <w:rsid w:val="005428DE"/>
    <w:rsid w:val="0054298E"/>
    <w:rsid w:val="00542996"/>
    <w:rsid w:val="00542A2E"/>
    <w:rsid w:val="00542A34"/>
    <w:rsid w:val="00542CA4"/>
    <w:rsid w:val="00542D0B"/>
    <w:rsid w:val="00542E30"/>
    <w:rsid w:val="00542E61"/>
    <w:rsid w:val="00542E64"/>
    <w:rsid w:val="00542E70"/>
    <w:rsid w:val="00542E7C"/>
    <w:rsid w:val="00542FF5"/>
    <w:rsid w:val="005430F8"/>
    <w:rsid w:val="00543261"/>
    <w:rsid w:val="005432AD"/>
    <w:rsid w:val="00543323"/>
    <w:rsid w:val="00543369"/>
    <w:rsid w:val="005433A4"/>
    <w:rsid w:val="00543456"/>
    <w:rsid w:val="0054345B"/>
    <w:rsid w:val="00543629"/>
    <w:rsid w:val="00543668"/>
    <w:rsid w:val="005436AA"/>
    <w:rsid w:val="005436D9"/>
    <w:rsid w:val="005437A5"/>
    <w:rsid w:val="005437E7"/>
    <w:rsid w:val="005437F0"/>
    <w:rsid w:val="00543952"/>
    <w:rsid w:val="00543A36"/>
    <w:rsid w:val="00543ACF"/>
    <w:rsid w:val="00543B0A"/>
    <w:rsid w:val="00543B7D"/>
    <w:rsid w:val="00543DE3"/>
    <w:rsid w:val="00543DED"/>
    <w:rsid w:val="00543E3C"/>
    <w:rsid w:val="00543E77"/>
    <w:rsid w:val="00543E85"/>
    <w:rsid w:val="00543E92"/>
    <w:rsid w:val="00543EAE"/>
    <w:rsid w:val="00543F0F"/>
    <w:rsid w:val="00544029"/>
    <w:rsid w:val="005440AC"/>
    <w:rsid w:val="00544186"/>
    <w:rsid w:val="0054418F"/>
    <w:rsid w:val="005441B2"/>
    <w:rsid w:val="005443F9"/>
    <w:rsid w:val="005445A5"/>
    <w:rsid w:val="00544619"/>
    <w:rsid w:val="0054470B"/>
    <w:rsid w:val="00544722"/>
    <w:rsid w:val="0054483A"/>
    <w:rsid w:val="005449A3"/>
    <w:rsid w:val="00544AB6"/>
    <w:rsid w:val="00544B20"/>
    <w:rsid w:val="00544C70"/>
    <w:rsid w:val="00544CA5"/>
    <w:rsid w:val="00544CEA"/>
    <w:rsid w:val="00544D8F"/>
    <w:rsid w:val="00544E83"/>
    <w:rsid w:val="00544E9E"/>
    <w:rsid w:val="00545086"/>
    <w:rsid w:val="005450F4"/>
    <w:rsid w:val="005450FA"/>
    <w:rsid w:val="00545127"/>
    <w:rsid w:val="0054518D"/>
    <w:rsid w:val="005452A9"/>
    <w:rsid w:val="00545678"/>
    <w:rsid w:val="005457B9"/>
    <w:rsid w:val="005457F6"/>
    <w:rsid w:val="00545802"/>
    <w:rsid w:val="00545866"/>
    <w:rsid w:val="00545999"/>
    <w:rsid w:val="00545BBF"/>
    <w:rsid w:val="00545C28"/>
    <w:rsid w:val="00545DAB"/>
    <w:rsid w:val="00545E2E"/>
    <w:rsid w:val="00545E8E"/>
    <w:rsid w:val="00545FFD"/>
    <w:rsid w:val="00546011"/>
    <w:rsid w:val="0054613A"/>
    <w:rsid w:val="0054614B"/>
    <w:rsid w:val="00546212"/>
    <w:rsid w:val="005462B4"/>
    <w:rsid w:val="005463D3"/>
    <w:rsid w:val="00546419"/>
    <w:rsid w:val="005465F7"/>
    <w:rsid w:val="00546636"/>
    <w:rsid w:val="00546650"/>
    <w:rsid w:val="00546660"/>
    <w:rsid w:val="00546852"/>
    <w:rsid w:val="00546944"/>
    <w:rsid w:val="00546965"/>
    <w:rsid w:val="00546991"/>
    <w:rsid w:val="00546B01"/>
    <w:rsid w:val="00546CA6"/>
    <w:rsid w:val="00546CF4"/>
    <w:rsid w:val="00546DE7"/>
    <w:rsid w:val="00546E3F"/>
    <w:rsid w:val="00546E40"/>
    <w:rsid w:val="00546EB8"/>
    <w:rsid w:val="00546F15"/>
    <w:rsid w:val="00546F58"/>
    <w:rsid w:val="00546F90"/>
    <w:rsid w:val="00546FF5"/>
    <w:rsid w:val="005472E4"/>
    <w:rsid w:val="005472E7"/>
    <w:rsid w:val="00547646"/>
    <w:rsid w:val="0054767B"/>
    <w:rsid w:val="00547774"/>
    <w:rsid w:val="0054779E"/>
    <w:rsid w:val="005477CF"/>
    <w:rsid w:val="005477DB"/>
    <w:rsid w:val="005478CC"/>
    <w:rsid w:val="00547938"/>
    <w:rsid w:val="00547A16"/>
    <w:rsid w:val="00547A26"/>
    <w:rsid w:val="00547B28"/>
    <w:rsid w:val="00547B43"/>
    <w:rsid w:val="00547B5D"/>
    <w:rsid w:val="00547C67"/>
    <w:rsid w:val="00547EEB"/>
    <w:rsid w:val="00547F2C"/>
    <w:rsid w:val="00547F39"/>
    <w:rsid w:val="00547FFB"/>
    <w:rsid w:val="00550144"/>
    <w:rsid w:val="005504B8"/>
    <w:rsid w:val="0055058D"/>
    <w:rsid w:val="005505F1"/>
    <w:rsid w:val="005506DB"/>
    <w:rsid w:val="005506F6"/>
    <w:rsid w:val="005507D8"/>
    <w:rsid w:val="005507E9"/>
    <w:rsid w:val="00550850"/>
    <w:rsid w:val="00550933"/>
    <w:rsid w:val="00550A45"/>
    <w:rsid w:val="00550B11"/>
    <w:rsid w:val="00550E17"/>
    <w:rsid w:val="00550EB7"/>
    <w:rsid w:val="00550F16"/>
    <w:rsid w:val="00550FB6"/>
    <w:rsid w:val="00550FE0"/>
    <w:rsid w:val="00551052"/>
    <w:rsid w:val="0055108D"/>
    <w:rsid w:val="0055126A"/>
    <w:rsid w:val="00551314"/>
    <w:rsid w:val="005516AB"/>
    <w:rsid w:val="00551A4A"/>
    <w:rsid w:val="00551AB0"/>
    <w:rsid w:val="00551B11"/>
    <w:rsid w:val="00551BB3"/>
    <w:rsid w:val="00551CB7"/>
    <w:rsid w:val="00551CFA"/>
    <w:rsid w:val="00551DDA"/>
    <w:rsid w:val="00551DE5"/>
    <w:rsid w:val="00551F5E"/>
    <w:rsid w:val="00551FDD"/>
    <w:rsid w:val="00552194"/>
    <w:rsid w:val="005521CE"/>
    <w:rsid w:val="00552215"/>
    <w:rsid w:val="0055224A"/>
    <w:rsid w:val="005523E4"/>
    <w:rsid w:val="005524AF"/>
    <w:rsid w:val="00552525"/>
    <w:rsid w:val="005525ED"/>
    <w:rsid w:val="00552650"/>
    <w:rsid w:val="005528B2"/>
    <w:rsid w:val="005528DB"/>
    <w:rsid w:val="0055290E"/>
    <w:rsid w:val="005529A6"/>
    <w:rsid w:val="005529F3"/>
    <w:rsid w:val="005529F7"/>
    <w:rsid w:val="00552ADF"/>
    <w:rsid w:val="00552CBA"/>
    <w:rsid w:val="00552D22"/>
    <w:rsid w:val="00552D66"/>
    <w:rsid w:val="00552E5B"/>
    <w:rsid w:val="00552F57"/>
    <w:rsid w:val="00552FCA"/>
    <w:rsid w:val="005530A6"/>
    <w:rsid w:val="00553321"/>
    <w:rsid w:val="00553337"/>
    <w:rsid w:val="005537AC"/>
    <w:rsid w:val="005537EC"/>
    <w:rsid w:val="0055385A"/>
    <w:rsid w:val="005538D1"/>
    <w:rsid w:val="005538FA"/>
    <w:rsid w:val="00553967"/>
    <w:rsid w:val="0055397F"/>
    <w:rsid w:val="005539F9"/>
    <w:rsid w:val="00553BF7"/>
    <w:rsid w:val="00553E0A"/>
    <w:rsid w:val="00553F1B"/>
    <w:rsid w:val="00553FCE"/>
    <w:rsid w:val="00553FCF"/>
    <w:rsid w:val="0055408D"/>
    <w:rsid w:val="00554123"/>
    <w:rsid w:val="00554311"/>
    <w:rsid w:val="0055432F"/>
    <w:rsid w:val="00554354"/>
    <w:rsid w:val="0055445E"/>
    <w:rsid w:val="00554469"/>
    <w:rsid w:val="0055452F"/>
    <w:rsid w:val="0055456A"/>
    <w:rsid w:val="005546AA"/>
    <w:rsid w:val="0055496B"/>
    <w:rsid w:val="00554A27"/>
    <w:rsid w:val="00554A4D"/>
    <w:rsid w:val="00554A4F"/>
    <w:rsid w:val="00554A63"/>
    <w:rsid w:val="00554A67"/>
    <w:rsid w:val="00554ABD"/>
    <w:rsid w:val="00554B21"/>
    <w:rsid w:val="00554D6F"/>
    <w:rsid w:val="00554FC7"/>
    <w:rsid w:val="00554FCC"/>
    <w:rsid w:val="00554FF2"/>
    <w:rsid w:val="0055509C"/>
    <w:rsid w:val="005550E6"/>
    <w:rsid w:val="00555195"/>
    <w:rsid w:val="005552BF"/>
    <w:rsid w:val="005552D7"/>
    <w:rsid w:val="00555414"/>
    <w:rsid w:val="0055559F"/>
    <w:rsid w:val="005558EB"/>
    <w:rsid w:val="00555965"/>
    <w:rsid w:val="00555966"/>
    <w:rsid w:val="00555A3E"/>
    <w:rsid w:val="00555A7B"/>
    <w:rsid w:val="00555A97"/>
    <w:rsid w:val="00555ADF"/>
    <w:rsid w:val="00555BDB"/>
    <w:rsid w:val="00555BEB"/>
    <w:rsid w:val="00555D9E"/>
    <w:rsid w:val="00555DC3"/>
    <w:rsid w:val="00555E41"/>
    <w:rsid w:val="00555ED6"/>
    <w:rsid w:val="00555F96"/>
    <w:rsid w:val="00555FFB"/>
    <w:rsid w:val="005560C4"/>
    <w:rsid w:val="005560DB"/>
    <w:rsid w:val="00556132"/>
    <w:rsid w:val="0055617B"/>
    <w:rsid w:val="005562EB"/>
    <w:rsid w:val="00556309"/>
    <w:rsid w:val="00556353"/>
    <w:rsid w:val="00556363"/>
    <w:rsid w:val="00556404"/>
    <w:rsid w:val="0055643B"/>
    <w:rsid w:val="0055646D"/>
    <w:rsid w:val="00556549"/>
    <w:rsid w:val="00556578"/>
    <w:rsid w:val="005565EF"/>
    <w:rsid w:val="0055660F"/>
    <w:rsid w:val="00556746"/>
    <w:rsid w:val="005567BC"/>
    <w:rsid w:val="005567D7"/>
    <w:rsid w:val="00556A02"/>
    <w:rsid w:val="00556BC5"/>
    <w:rsid w:val="00556CC0"/>
    <w:rsid w:val="00556CF2"/>
    <w:rsid w:val="00556D02"/>
    <w:rsid w:val="00556D99"/>
    <w:rsid w:val="00556DEC"/>
    <w:rsid w:val="00556F55"/>
    <w:rsid w:val="0055710F"/>
    <w:rsid w:val="005571B2"/>
    <w:rsid w:val="00557208"/>
    <w:rsid w:val="00557252"/>
    <w:rsid w:val="005572CF"/>
    <w:rsid w:val="005573FF"/>
    <w:rsid w:val="00557566"/>
    <w:rsid w:val="005575C0"/>
    <w:rsid w:val="0055765F"/>
    <w:rsid w:val="005576D1"/>
    <w:rsid w:val="005577B4"/>
    <w:rsid w:val="00557826"/>
    <w:rsid w:val="00557851"/>
    <w:rsid w:val="00557B69"/>
    <w:rsid w:val="00557BC1"/>
    <w:rsid w:val="00557C22"/>
    <w:rsid w:val="00557C50"/>
    <w:rsid w:val="00557D31"/>
    <w:rsid w:val="00560014"/>
    <w:rsid w:val="005600E2"/>
    <w:rsid w:val="00560188"/>
    <w:rsid w:val="00560358"/>
    <w:rsid w:val="0056041E"/>
    <w:rsid w:val="00560584"/>
    <w:rsid w:val="0056067A"/>
    <w:rsid w:val="005606BE"/>
    <w:rsid w:val="005607F6"/>
    <w:rsid w:val="00560843"/>
    <w:rsid w:val="0056090D"/>
    <w:rsid w:val="0056091B"/>
    <w:rsid w:val="00560AAB"/>
    <w:rsid w:val="00560E00"/>
    <w:rsid w:val="00560E1A"/>
    <w:rsid w:val="00560EB3"/>
    <w:rsid w:val="005610B2"/>
    <w:rsid w:val="00561125"/>
    <w:rsid w:val="00561164"/>
    <w:rsid w:val="00561195"/>
    <w:rsid w:val="00561270"/>
    <w:rsid w:val="00561297"/>
    <w:rsid w:val="005612AB"/>
    <w:rsid w:val="005612BB"/>
    <w:rsid w:val="0056137D"/>
    <w:rsid w:val="0056160D"/>
    <w:rsid w:val="0056167C"/>
    <w:rsid w:val="0056167E"/>
    <w:rsid w:val="005616F7"/>
    <w:rsid w:val="005617B0"/>
    <w:rsid w:val="00561861"/>
    <w:rsid w:val="005618D5"/>
    <w:rsid w:val="00561927"/>
    <w:rsid w:val="005619F9"/>
    <w:rsid w:val="00561A71"/>
    <w:rsid w:val="00561B53"/>
    <w:rsid w:val="00561BE1"/>
    <w:rsid w:val="00561CB6"/>
    <w:rsid w:val="00561D2B"/>
    <w:rsid w:val="00561E64"/>
    <w:rsid w:val="00561FDD"/>
    <w:rsid w:val="00562017"/>
    <w:rsid w:val="0056205C"/>
    <w:rsid w:val="0056209E"/>
    <w:rsid w:val="005621CA"/>
    <w:rsid w:val="005622CF"/>
    <w:rsid w:val="005622E3"/>
    <w:rsid w:val="0056235C"/>
    <w:rsid w:val="005624A5"/>
    <w:rsid w:val="0056269B"/>
    <w:rsid w:val="00562734"/>
    <w:rsid w:val="0056282D"/>
    <w:rsid w:val="00562A64"/>
    <w:rsid w:val="00562A78"/>
    <w:rsid w:val="00562A8C"/>
    <w:rsid w:val="00562AF8"/>
    <w:rsid w:val="00562BB2"/>
    <w:rsid w:val="00562C3A"/>
    <w:rsid w:val="00562E23"/>
    <w:rsid w:val="00562E58"/>
    <w:rsid w:val="00562F34"/>
    <w:rsid w:val="00562FB9"/>
    <w:rsid w:val="00563152"/>
    <w:rsid w:val="00563252"/>
    <w:rsid w:val="005632D3"/>
    <w:rsid w:val="005632E7"/>
    <w:rsid w:val="005632F3"/>
    <w:rsid w:val="00563316"/>
    <w:rsid w:val="005633E5"/>
    <w:rsid w:val="005633F2"/>
    <w:rsid w:val="0056365D"/>
    <w:rsid w:val="0056366B"/>
    <w:rsid w:val="0056367C"/>
    <w:rsid w:val="00563710"/>
    <w:rsid w:val="0056374C"/>
    <w:rsid w:val="00563768"/>
    <w:rsid w:val="005637D1"/>
    <w:rsid w:val="005638E1"/>
    <w:rsid w:val="00563926"/>
    <w:rsid w:val="00563A25"/>
    <w:rsid w:val="00563AEE"/>
    <w:rsid w:val="00563B2F"/>
    <w:rsid w:val="00563BA3"/>
    <w:rsid w:val="00563C91"/>
    <w:rsid w:val="00563D87"/>
    <w:rsid w:val="00563DA6"/>
    <w:rsid w:val="0056403A"/>
    <w:rsid w:val="0056411C"/>
    <w:rsid w:val="00564127"/>
    <w:rsid w:val="005641A2"/>
    <w:rsid w:val="0056438D"/>
    <w:rsid w:val="005644F0"/>
    <w:rsid w:val="005645FA"/>
    <w:rsid w:val="00564650"/>
    <w:rsid w:val="00564785"/>
    <w:rsid w:val="005647B5"/>
    <w:rsid w:val="005647E2"/>
    <w:rsid w:val="00564878"/>
    <w:rsid w:val="00564A12"/>
    <w:rsid w:val="00564C4B"/>
    <w:rsid w:val="00564C84"/>
    <w:rsid w:val="00564C8E"/>
    <w:rsid w:val="00564D7B"/>
    <w:rsid w:val="00564D8A"/>
    <w:rsid w:val="00564EED"/>
    <w:rsid w:val="00564FE3"/>
    <w:rsid w:val="00564FFA"/>
    <w:rsid w:val="005651B2"/>
    <w:rsid w:val="00565215"/>
    <w:rsid w:val="00565291"/>
    <w:rsid w:val="005652AE"/>
    <w:rsid w:val="00565343"/>
    <w:rsid w:val="00565471"/>
    <w:rsid w:val="005654AE"/>
    <w:rsid w:val="0056550B"/>
    <w:rsid w:val="0056558D"/>
    <w:rsid w:val="005656E2"/>
    <w:rsid w:val="00565826"/>
    <w:rsid w:val="00565924"/>
    <w:rsid w:val="005659A8"/>
    <w:rsid w:val="00565A44"/>
    <w:rsid w:val="00565AA7"/>
    <w:rsid w:val="00565C0E"/>
    <w:rsid w:val="00565C78"/>
    <w:rsid w:val="00565CE0"/>
    <w:rsid w:val="00565CEF"/>
    <w:rsid w:val="00565E21"/>
    <w:rsid w:val="00565F3A"/>
    <w:rsid w:val="00565F95"/>
    <w:rsid w:val="005660E0"/>
    <w:rsid w:val="00566281"/>
    <w:rsid w:val="005662E5"/>
    <w:rsid w:val="00566320"/>
    <w:rsid w:val="00566598"/>
    <w:rsid w:val="0056663E"/>
    <w:rsid w:val="00566692"/>
    <w:rsid w:val="00566714"/>
    <w:rsid w:val="005667C4"/>
    <w:rsid w:val="0056681D"/>
    <w:rsid w:val="0056683F"/>
    <w:rsid w:val="005669CC"/>
    <w:rsid w:val="005669DE"/>
    <w:rsid w:val="00566C1E"/>
    <w:rsid w:val="00566C9E"/>
    <w:rsid w:val="00566CFA"/>
    <w:rsid w:val="00566D4F"/>
    <w:rsid w:val="00566DFC"/>
    <w:rsid w:val="00566E13"/>
    <w:rsid w:val="00566F99"/>
    <w:rsid w:val="00566FEE"/>
    <w:rsid w:val="00566FF4"/>
    <w:rsid w:val="00567006"/>
    <w:rsid w:val="0056701A"/>
    <w:rsid w:val="005670D1"/>
    <w:rsid w:val="00567115"/>
    <w:rsid w:val="0056731E"/>
    <w:rsid w:val="00567333"/>
    <w:rsid w:val="005673A9"/>
    <w:rsid w:val="005673FA"/>
    <w:rsid w:val="0056749F"/>
    <w:rsid w:val="005674EA"/>
    <w:rsid w:val="00567529"/>
    <w:rsid w:val="00567534"/>
    <w:rsid w:val="0056757D"/>
    <w:rsid w:val="005675E0"/>
    <w:rsid w:val="0056778F"/>
    <w:rsid w:val="00567792"/>
    <w:rsid w:val="00567840"/>
    <w:rsid w:val="005678AD"/>
    <w:rsid w:val="00567B15"/>
    <w:rsid w:val="00567C6D"/>
    <w:rsid w:val="00567C73"/>
    <w:rsid w:val="00567EF7"/>
    <w:rsid w:val="00567FD6"/>
    <w:rsid w:val="005701C3"/>
    <w:rsid w:val="00570227"/>
    <w:rsid w:val="0057030B"/>
    <w:rsid w:val="0057037A"/>
    <w:rsid w:val="005703B4"/>
    <w:rsid w:val="005704F2"/>
    <w:rsid w:val="0057073A"/>
    <w:rsid w:val="00570747"/>
    <w:rsid w:val="00570A1E"/>
    <w:rsid w:val="00570E68"/>
    <w:rsid w:val="00570EEA"/>
    <w:rsid w:val="005710AD"/>
    <w:rsid w:val="00571110"/>
    <w:rsid w:val="00571114"/>
    <w:rsid w:val="005712FA"/>
    <w:rsid w:val="0057136E"/>
    <w:rsid w:val="005713C7"/>
    <w:rsid w:val="005713F2"/>
    <w:rsid w:val="005715FD"/>
    <w:rsid w:val="00571677"/>
    <w:rsid w:val="005716AB"/>
    <w:rsid w:val="0057171C"/>
    <w:rsid w:val="00571746"/>
    <w:rsid w:val="00571749"/>
    <w:rsid w:val="005717AB"/>
    <w:rsid w:val="00571A15"/>
    <w:rsid w:val="00571A5B"/>
    <w:rsid w:val="00571B53"/>
    <w:rsid w:val="00571B85"/>
    <w:rsid w:val="00571F81"/>
    <w:rsid w:val="00571FF8"/>
    <w:rsid w:val="00572022"/>
    <w:rsid w:val="005722DB"/>
    <w:rsid w:val="0057249A"/>
    <w:rsid w:val="00572539"/>
    <w:rsid w:val="005725BB"/>
    <w:rsid w:val="005725C9"/>
    <w:rsid w:val="00572689"/>
    <w:rsid w:val="005726BD"/>
    <w:rsid w:val="00572739"/>
    <w:rsid w:val="005727DF"/>
    <w:rsid w:val="005728F4"/>
    <w:rsid w:val="00572A24"/>
    <w:rsid w:val="00572B06"/>
    <w:rsid w:val="00572BC9"/>
    <w:rsid w:val="00572E34"/>
    <w:rsid w:val="00572F33"/>
    <w:rsid w:val="00572F5F"/>
    <w:rsid w:val="00572F8A"/>
    <w:rsid w:val="00572FA3"/>
    <w:rsid w:val="005731FC"/>
    <w:rsid w:val="00573555"/>
    <w:rsid w:val="0057355A"/>
    <w:rsid w:val="0057356C"/>
    <w:rsid w:val="00573584"/>
    <w:rsid w:val="005735B9"/>
    <w:rsid w:val="0057380E"/>
    <w:rsid w:val="0057381D"/>
    <w:rsid w:val="005738A3"/>
    <w:rsid w:val="00573988"/>
    <w:rsid w:val="00573A45"/>
    <w:rsid w:val="00573A6E"/>
    <w:rsid w:val="00573AA1"/>
    <w:rsid w:val="00573AE4"/>
    <w:rsid w:val="00573B05"/>
    <w:rsid w:val="00573B89"/>
    <w:rsid w:val="00573CB2"/>
    <w:rsid w:val="00573D5E"/>
    <w:rsid w:val="00573E59"/>
    <w:rsid w:val="00573EA6"/>
    <w:rsid w:val="0057411D"/>
    <w:rsid w:val="00574184"/>
    <w:rsid w:val="0057426E"/>
    <w:rsid w:val="0057444E"/>
    <w:rsid w:val="00574598"/>
    <w:rsid w:val="0057459B"/>
    <w:rsid w:val="005745B9"/>
    <w:rsid w:val="00574669"/>
    <w:rsid w:val="00574682"/>
    <w:rsid w:val="005747FA"/>
    <w:rsid w:val="0057485D"/>
    <w:rsid w:val="00574A7B"/>
    <w:rsid w:val="00574ACF"/>
    <w:rsid w:val="00574B38"/>
    <w:rsid w:val="00574CF6"/>
    <w:rsid w:val="00574D3F"/>
    <w:rsid w:val="00574F04"/>
    <w:rsid w:val="005750AA"/>
    <w:rsid w:val="00575130"/>
    <w:rsid w:val="00575218"/>
    <w:rsid w:val="0057535B"/>
    <w:rsid w:val="00575474"/>
    <w:rsid w:val="0057550D"/>
    <w:rsid w:val="00575613"/>
    <w:rsid w:val="005756B7"/>
    <w:rsid w:val="005759D9"/>
    <w:rsid w:val="00575A42"/>
    <w:rsid w:val="00575BEF"/>
    <w:rsid w:val="00575C77"/>
    <w:rsid w:val="00575D08"/>
    <w:rsid w:val="00575E1B"/>
    <w:rsid w:val="00575F93"/>
    <w:rsid w:val="00575FA1"/>
    <w:rsid w:val="00576217"/>
    <w:rsid w:val="005762E1"/>
    <w:rsid w:val="005764EB"/>
    <w:rsid w:val="00576545"/>
    <w:rsid w:val="0057656C"/>
    <w:rsid w:val="00576713"/>
    <w:rsid w:val="0057687F"/>
    <w:rsid w:val="00576B64"/>
    <w:rsid w:val="00576BC0"/>
    <w:rsid w:val="00576D0F"/>
    <w:rsid w:val="00576D53"/>
    <w:rsid w:val="00576DB3"/>
    <w:rsid w:val="00576E20"/>
    <w:rsid w:val="00576E52"/>
    <w:rsid w:val="00576EF0"/>
    <w:rsid w:val="00576F92"/>
    <w:rsid w:val="00576F9F"/>
    <w:rsid w:val="00576FB5"/>
    <w:rsid w:val="00576FE5"/>
    <w:rsid w:val="00577006"/>
    <w:rsid w:val="005770CB"/>
    <w:rsid w:val="00577102"/>
    <w:rsid w:val="00577305"/>
    <w:rsid w:val="00577363"/>
    <w:rsid w:val="0057743F"/>
    <w:rsid w:val="0057767E"/>
    <w:rsid w:val="00577790"/>
    <w:rsid w:val="0057782F"/>
    <w:rsid w:val="00577886"/>
    <w:rsid w:val="00577914"/>
    <w:rsid w:val="005779A4"/>
    <w:rsid w:val="005779FF"/>
    <w:rsid w:val="00577A6D"/>
    <w:rsid w:val="00577B4D"/>
    <w:rsid w:val="00577B69"/>
    <w:rsid w:val="00577BC7"/>
    <w:rsid w:val="00577D05"/>
    <w:rsid w:val="00577D08"/>
    <w:rsid w:val="00577D57"/>
    <w:rsid w:val="00577DB3"/>
    <w:rsid w:val="00577DC6"/>
    <w:rsid w:val="00577FA9"/>
    <w:rsid w:val="005801A8"/>
    <w:rsid w:val="005801D3"/>
    <w:rsid w:val="00580546"/>
    <w:rsid w:val="005805B6"/>
    <w:rsid w:val="005805FB"/>
    <w:rsid w:val="0058062A"/>
    <w:rsid w:val="0058068A"/>
    <w:rsid w:val="005808C8"/>
    <w:rsid w:val="005808F4"/>
    <w:rsid w:val="005809A6"/>
    <w:rsid w:val="005809B9"/>
    <w:rsid w:val="00580ADC"/>
    <w:rsid w:val="00580B06"/>
    <w:rsid w:val="00580B8F"/>
    <w:rsid w:val="00580C15"/>
    <w:rsid w:val="00580C83"/>
    <w:rsid w:val="00580D96"/>
    <w:rsid w:val="00580E61"/>
    <w:rsid w:val="00580F44"/>
    <w:rsid w:val="005810C5"/>
    <w:rsid w:val="005812DB"/>
    <w:rsid w:val="0058130C"/>
    <w:rsid w:val="00581518"/>
    <w:rsid w:val="0058152A"/>
    <w:rsid w:val="0058154A"/>
    <w:rsid w:val="005815AA"/>
    <w:rsid w:val="0058173F"/>
    <w:rsid w:val="00581781"/>
    <w:rsid w:val="005819CF"/>
    <w:rsid w:val="00581ACE"/>
    <w:rsid w:val="00581B61"/>
    <w:rsid w:val="00581BAA"/>
    <w:rsid w:val="00581BBC"/>
    <w:rsid w:val="00581BD1"/>
    <w:rsid w:val="00581D53"/>
    <w:rsid w:val="00581DD9"/>
    <w:rsid w:val="00581F70"/>
    <w:rsid w:val="0058206A"/>
    <w:rsid w:val="0058208A"/>
    <w:rsid w:val="005821FB"/>
    <w:rsid w:val="00582293"/>
    <w:rsid w:val="005822E1"/>
    <w:rsid w:val="005822F4"/>
    <w:rsid w:val="00582369"/>
    <w:rsid w:val="00582460"/>
    <w:rsid w:val="0058246F"/>
    <w:rsid w:val="00582471"/>
    <w:rsid w:val="00582492"/>
    <w:rsid w:val="005825A6"/>
    <w:rsid w:val="005826CA"/>
    <w:rsid w:val="00582944"/>
    <w:rsid w:val="00582A90"/>
    <w:rsid w:val="00582AF7"/>
    <w:rsid w:val="00582B80"/>
    <w:rsid w:val="00582BA8"/>
    <w:rsid w:val="00582DC7"/>
    <w:rsid w:val="00582EC9"/>
    <w:rsid w:val="00583069"/>
    <w:rsid w:val="005830A1"/>
    <w:rsid w:val="00583132"/>
    <w:rsid w:val="00583229"/>
    <w:rsid w:val="0058324C"/>
    <w:rsid w:val="0058328D"/>
    <w:rsid w:val="00583318"/>
    <w:rsid w:val="00583374"/>
    <w:rsid w:val="0058343F"/>
    <w:rsid w:val="005834DF"/>
    <w:rsid w:val="00583544"/>
    <w:rsid w:val="00583590"/>
    <w:rsid w:val="005835CE"/>
    <w:rsid w:val="005835EF"/>
    <w:rsid w:val="00583692"/>
    <w:rsid w:val="00583979"/>
    <w:rsid w:val="00583ACA"/>
    <w:rsid w:val="00583BC1"/>
    <w:rsid w:val="00583C3C"/>
    <w:rsid w:val="00583C57"/>
    <w:rsid w:val="00583D11"/>
    <w:rsid w:val="00583DAB"/>
    <w:rsid w:val="00583DAD"/>
    <w:rsid w:val="00583E30"/>
    <w:rsid w:val="00583E92"/>
    <w:rsid w:val="00583FA5"/>
    <w:rsid w:val="00583FBD"/>
    <w:rsid w:val="00583FD0"/>
    <w:rsid w:val="00583FD3"/>
    <w:rsid w:val="005841AA"/>
    <w:rsid w:val="00584209"/>
    <w:rsid w:val="005842A4"/>
    <w:rsid w:val="0058460A"/>
    <w:rsid w:val="0058467E"/>
    <w:rsid w:val="0058469C"/>
    <w:rsid w:val="005846A9"/>
    <w:rsid w:val="005847F3"/>
    <w:rsid w:val="00584A3D"/>
    <w:rsid w:val="00584AA5"/>
    <w:rsid w:val="00584CC2"/>
    <w:rsid w:val="00584CDE"/>
    <w:rsid w:val="00584D7D"/>
    <w:rsid w:val="00584F63"/>
    <w:rsid w:val="005850BF"/>
    <w:rsid w:val="005850C3"/>
    <w:rsid w:val="0058512C"/>
    <w:rsid w:val="0058517B"/>
    <w:rsid w:val="00585376"/>
    <w:rsid w:val="00585400"/>
    <w:rsid w:val="005854D3"/>
    <w:rsid w:val="0058562F"/>
    <w:rsid w:val="00585667"/>
    <w:rsid w:val="0058575A"/>
    <w:rsid w:val="005858BE"/>
    <w:rsid w:val="00585981"/>
    <w:rsid w:val="005859C0"/>
    <w:rsid w:val="005859C5"/>
    <w:rsid w:val="005859DB"/>
    <w:rsid w:val="00585C5A"/>
    <w:rsid w:val="00585D10"/>
    <w:rsid w:val="00585D2F"/>
    <w:rsid w:val="00585FAD"/>
    <w:rsid w:val="00586151"/>
    <w:rsid w:val="005861FD"/>
    <w:rsid w:val="0058627D"/>
    <w:rsid w:val="005863B5"/>
    <w:rsid w:val="00586542"/>
    <w:rsid w:val="005865D5"/>
    <w:rsid w:val="005865E3"/>
    <w:rsid w:val="005866E8"/>
    <w:rsid w:val="0058677B"/>
    <w:rsid w:val="005867A2"/>
    <w:rsid w:val="005867BB"/>
    <w:rsid w:val="005867BE"/>
    <w:rsid w:val="00586842"/>
    <w:rsid w:val="0058689F"/>
    <w:rsid w:val="00586935"/>
    <w:rsid w:val="0058697C"/>
    <w:rsid w:val="00586A1A"/>
    <w:rsid w:val="00586AE0"/>
    <w:rsid w:val="00586BF2"/>
    <w:rsid w:val="00586C46"/>
    <w:rsid w:val="00586C56"/>
    <w:rsid w:val="00586D30"/>
    <w:rsid w:val="00586E42"/>
    <w:rsid w:val="00586F9A"/>
    <w:rsid w:val="00587033"/>
    <w:rsid w:val="00587109"/>
    <w:rsid w:val="0058727A"/>
    <w:rsid w:val="0058730F"/>
    <w:rsid w:val="0058735A"/>
    <w:rsid w:val="0058738F"/>
    <w:rsid w:val="005874CC"/>
    <w:rsid w:val="005874EF"/>
    <w:rsid w:val="00587564"/>
    <w:rsid w:val="00587598"/>
    <w:rsid w:val="005875A0"/>
    <w:rsid w:val="005876CB"/>
    <w:rsid w:val="005876E8"/>
    <w:rsid w:val="005877A5"/>
    <w:rsid w:val="00587876"/>
    <w:rsid w:val="00587A11"/>
    <w:rsid w:val="00587B6D"/>
    <w:rsid w:val="00587C19"/>
    <w:rsid w:val="00587C2F"/>
    <w:rsid w:val="00587C45"/>
    <w:rsid w:val="00587C6D"/>
    <w:rsid w:val="00587CEA"/>
    <w:rsid w:val="00587E95"/>
    <w:rsid w:val="00587F30"/>
    <w:rsid w:val="00587F8E"/>
    <w:rsid w:val="00587FC5"/>
    <w:rsid w:val="00587FE2"/>
    <w:rsid w:val="005900DC"/>
    <w:rsid w:val="00590115"/>
    <w:rsid w:val="005901F1"/>
    <w:rsid w:val="00590235"/>
    <w:rsid w:val="00590263"/>
    <w:rsid w:val="00590276"/>
    <w:rsid w:val="005902CE"/>
    <w:rsid w:val="005904F1"/>
    <w:rsid w:val="0059051F"/>
    <w:rsid w:val="005905C5"/>
    <w:rsid w:val="0059063D"/>
    <w:rsid w:val="005907B2"/>
    <w:rsid w:val="005909C1"/>
    <w:rsid w:val="00590A7D"/>
    <w:rsid w:val="00590BF2"/>
    <w:rsid w:val="00590CAF"/>
    <w:rsid w:val="00590D72"/>
    <w:rsid w:val="00590E69"/>
    <w:rsid w:val="00591332"/>
    <w:rsid w:val="00591349"/>
    <w:rsid w:val="005914FB"/>
    <w:rsid w:val="00591516"/>
    <w:rsid w:val="00591623"/>
    <w:rsid w:val="00591739"/>
    <w:rsid w:val="005917C5"/>
    <w:rsid w:val="0059187B"/>
    <w:rsid w:val="005918E8"/>
    <w:rsid w:val="005919B1"/>
    <w:rsid w:val="005919FB"/>
    <w:rsid w:val="00591AA2"/>
    <w:rsid w:val="00591AFC"/>
    <w:rsid w:val="00591B33"/>
    <w:rsid w:val="00591CDB"/>
    <w:rsid w:val="00591F3C"/>
    <w:rsid w:val="00591FEE"/>
    <w:rsid w:val="0059211D"/>
    <w:rsid w:val="00592314"/>
    <w:rsid w:val="00592417"/>
    <w:rsid w:val="0059245C"/>
    <w:rsid w:val="005925AD"/>
    <w:rsid w:val="005925B4"/>
    <w:rsid w:val="005926C3"/>
    <w:rsid w:val="005926D0"/>
    <w:rsid w:val="005927EA"/>
    <w:rsid w:val="005927F1"/>
    <w:rsid w:val="00592A09"/>
    <w:rsid w:val="00592B57"/>
    <w:rsid w:val="00592D15"/>
    <w:rsid w:val="00592D58"/>
    <w:rsid w:val="00592E9C"/>
    <w:rsid w:val="00592F05"/>
    <w:rsid w:val="00592F1F"/>
    <w:rsid w:val="00592FF2"/>
    <w:rsid w:val="0059301E"/>
    <w:rsid w:val="005930B8"/>
    <w:rsid w:val="00593103"/>
    <w:rsid w:val="0059318C"/>
    <w:rsid w:val="0059327B"/>
    <w:rsid w:val="0059329B"/>
    <w:rsid w:val="00593317"/>
    <w:rsid w:val="00593363"/>
    <w:rsid w:val="0059342E"/>
    <w:rsid w:val="005934CC"/>
    <w:rsid w:val="00593592"/>
    <w:rsid w:val="0059360F"/>
    <w:rsid w:val="0059394B"/>
    <w:rsid w:val="00593971"/>
    <w:rsid w:val="005939C2"/>
    <w:rsid w:val="005939CC"/>
    <w:rsid w:val="005939EA"/>
    <w:rsid w:val="00593A0A"/>
    <w:rsid w:val="00593B8A"/>
    <w:rsid w:val="00593DC6"/>
    <w:rsid w:val="00593E74"/>
    <w:rsid w:val="00593E97"/>
    <w:rsid w:val="00593F1F"/>
    <w:rsid w:val="00593F5D"/>
    <w:rsid w:val="0059403F"/>
    <w:rsid w:val="005940FF"/>
    <w:rsid w:val="0059410A"/>
    <w:rsid w:val="005941DF"/>
    <w:rsid w:val="0059433E"/>
    <w:rsid w:val="005944BB"/>
    <w:rsid w:val="005944C6"/>
    <w:rsid w:val="005944D7"/>
    <w:rsid w:val="005945E6"/>
    <w:rsid w:val="005946AA"/>
    <w:rsid w:val="0059475B"/>
    <w:rsid w:val="00594826"/>
    <w:rsid w:val="0059482F"/>
    <w:rsid w:val="00594873"/>
    <w:rsid w:val="005948D7"/>
    <w:rsid w:val="0059499F"/>
    <w:rsid w:val="00594B06"/>
    <w:rsid w:val="00594B2B"/>
    <w:rsid w:val="00594D8C"/>
    <w:rsid w:val="00594DC1"/>
    <w:rsid w:val="00594E82"/>
    <w:rsid w:val="00595117"/>
    <w:rsid w:val="00595155"/>
    <w:rsid w:val="005951B5"/>
    <w:rsid w:val="005951C4"/>
    <w:rsid w:val="0059528E"/>
    <w:rsid w:val="005952A5"/>
    <w:rsid w:val="0059531F"/>
    <w:rsid w:val="00595338"/>
    <w:rsid w:val="00595344"/>
    <w:rsid w:val="0059540D"/>
    <w:rsid w:val="00595472"/>
    <w:rsid w:val="005954E4"/>
    <w:rsid w:val="005954F0"/>
    <w:rsid w:val="00595572"/>
    <w:rsid w:val="005956B7"/>
    <w:rsid w:val="005956DA"/>
    <w:rsid w:val="00595709"/>
    <w:rsid w:val="005957D4"/>
    <w:rsid w:val="00595883"/>
    <w:rsid w:val="005958E0"/>
    <w:rsid w:val="005958F9"/>
    <w:rsid w:val="00595999"/>
    <w:rsid w:val="00595A97"/>
    <w:rsid w:val="00595AF2"/>
    <w:rsid w:val="00595B0F"/>
    <w:rsid w:val="00595D33"/>
    <w:rsid w:val="00595D41"/>
    <w:rsid w:val="00595DD0"/>
    <w:rsid w:val="00595EEC"/>
    <w:rsid w:val="00595F47"/>
    <w:rsid w:val="00595F69"/>
    <w:rsid w:val="00595F6A"/>
    <w:rsid w:val="00595F6C"/>
    <w:rsid w:val="00596011"/>
    <w:rsid w:val="00596072"/>
    <w:rsid w:val="005960DB"/>
    <w:rsid w:val="00596212"/>
    <w:rsid w:val="00596421"/>
    <w:rsid w:val="00596489"/>
    <w:rsid w:val="005964F7"/>
    <w:rsid w:val="00596582"/>
    <w:rsid w:val="005967D8"/>
    <w:rsid w:val="005968E7"/>
    <w:rsid w:val="0059690B"/>
    <w:rsid w:val="0059691C"/>
    <w:rsid w:val="00596971"/>
    <w:rsid w:val="005969F0"/>
    <w:rsid w:val="00596AB5"/>
    <w:rsid w:val="00596AF8"/>
    <w:rsid w:val="00596AFE"/>
    <w:rsid w:val="00596B8C"/>
    <w:rsid w:val="00596BF3"/>
    <w:rsid w:val="00596C22"/>
    <w:rsid w:val="00596C3F"/>
    <w:rsid w:val="00596CB8"/>
    <w:rsid w:val="00596D06"/>
    <w:rsid w:val="00596D2D"/>
    <w:rsid w:val="00596DB2"/>
    <w:rsid w:val="00596F3B"/>
    <w:rsid w:val="00597035"/>
    <w:rsid w:val="0059708F"/>
    <w:rsid w:val="005970F6"/>
    <w:rsid w:val="00597375"/>
    <w:rsid w:val="005973A7"/>
    <w:rsid w:val="005973F8"/>
    <w:rsid w:val="005974C0"/>
    <w:rsid w:val="005974EA"/>
    <w:rsid w:val="005974FF"/>
    <w:rsid w:val="0059758E"/>
    <w:rsid w:val="00597802"/>
    <w:rsid w:val="005978B2"/>
    <w:rsid w:val="0059790B"/>
    <w:rsid w:val="00597B62"/>
    <w:rsid w:val="00597B74"/>
    <w:rsid w:val="00597E43"/>
    <w:rsid w:val="00597FF0"/>
    <w:rsid w:val="005A0188"/>
    <w:rsid w:val="005A0385"/>
    <w:rsid w:val="005A03CD"/>
    <w:rsid w:val="005A044C"/>
    <w:rsid w:val="005A0641"/>
    <w:rsid w:val="005A06E9"/>
    <w:rsid w:val="005A0725"/>
    <w:rsid w:val="005A0917"/>
    <w:rsid w:val="005A098F"/>
    <w:rsid w:val="005A0C8E"/>
    <w:rsid w:val="005A0DF2"/>
    <w:rsid w:val="005A0E96"/>
    <w:rsid w:val="005A0F7A"/>
    <w:rsid w:val="005A104E"/>
    <w:rsid w:val="005A1074"/>
    <w:rsid w:val="005A1363"/>
    <w:rsid w:val="005A1382"/>
    <w:rsid w:val="005A142F"/>
    <w:rsid w:val="005A158F"/>
    <w:rsid w:val="005A1593"/>
    <w:rsid w:val="005A15E2"/>
    <w:rsid w:val="005A170F"/>
    <w:rsid w:val="005A1730"/>
    <w:rsid w:val="005A1979"/>
    <w:rsid w:val="005A1D70"/>
    <w:rsid w:val="005A1EE0"/>
    <w:rsid w:val="005A2024"/>
    <w:rsid w:val="005A2026"/>
    <w:rsid w:val="005A2291"/>
    <w:rsid w:val="005A22CE"/>
    <w:rsid w:val="005A2367"/>
    <w:rsid w:val="005A23D5"/>
    <w:rsid w:val="005A2423"/>
    <w:rsid w:val="005A244C"/>
    <w:rsid w:val="005A2454"/>
    <w:rsid w:val="005A2476"/>
    <w:rsid w:val="005A24A5"/>
    <w:rsid w:val="005A2751"/>
    <w:rsid w:val="005A2769"/>
    <w:rsid w:val="005A27BA"/>
    <w:rsid w:val="005A27CD"/>
    <w:rsid w:val="005A2832"/>
    <w:rsid w:val="005A2867"/>
    <w:rsid w:val="005A28DE"/>
    <w:rsid w:val="005A2A30"/>
    <w:rsid w:val="005A2AD8"/>
    <w:rsid w:val="005A2AE5"/>
    <w:rsid w:val="005A2B69"/>
    <w:rsid w:val="005A2BEA"/>
    <w:rsid w:val="005A2BF0"/>
    <w:rsid w:val="005A2CC4"/>
    <w:rsid w:val="005A2CED"/>
    <w:rsid w:val="005A2D45"/>
    <w:rsid w:val="005A2DBD"/>
    <w:rsid w:val="005A2E97"/>
    <w:rsid w:val="005A2E9D"/>
    <w:rsid w:val="005A2ECA"/>
    <w:rsid w:val="005A2F92"/>
    <w:rsid w:val="005A30BB"/>
    <w:rsid w:val="005A3161"/>
    <w:rsid w:val="005A31A3"/>
    <w:rsid w:val="005A3306"/>
    <w:rsid w:val="005A3363"/>
    <w:rsid w:val="005A3445"/>
    <w:rsid w:val="005A3462"/>
    <w:rsid w:val="005A36EE"/>
    <w:rsid w:val="005A372C"/>
    <w:rsid w:val="005A3748"/>
    <w:rsid w:val="005A379E"/>
    <w:rsid w:val="005A3871"/>
    <w:rsid w:val="005A390A"/>
    <w:rsid w:val="005A397A"/>
    <w:rsid w:val="005A3A3D"/>
    <w:rsid w:val="005A3C33"/>
    <w:rsid w:val="005A3CB6"/>
    <w:rsid w:val="005A3CC9"/>
    <w:rsid w:val="005A3E23"/>
    <w:rsid w:val="005A3ED9"/>
    <w:rsid w:val="005A3EFE"/>
    <w:rsid w:val="005A4106"/>
    <w:rsid w:val="005A421A"/>
    <w:rsid w:val="005A440E"/>
    <w:rsid w:val="005A4546"/>
    <w:rsid w:val="005A4579"/>
    <w:rsid w:val="005A464A"/>
    <w:rsid w:val="005A4836"/>
    <w:rsid w:val="005A487C"/>
    <w:rsid w:val="005A4B0B"/>
    <w:rsid w:val="005A4B17"/>
    <w:rsid w:val="005A4B5A"/>
    <w:rsid w:val="005A4BD8"/>
    <w:rsid w:val="005A4C73"/>
    <w:rsid w:val="005A4CF7"/>
    <w:rsid w:val="005A4DB9"/>
    <w:rsid w:val="005A4F06"/>
    <w:rsid w:val="005A4F3C"/>
    <w:rsid w:val="005A4FA6"/>
    <w:rsid w:val="005A4FDE"/>
    <w:rsid w:val="005A5007"/>
    <w:rsid w:val="005A5093"/>
    <w:rsid w:val="005A5194"/>
    <w:rsid w:val="005A5452"/>
    <w:rsid w:val="005A54F0"/>
    <w:rsid w:val="005A550F"/>
    <w:rsid w:val="005A5537"/>
    <w:rsid w:val="005A5568"/>
    <w:rsid w:val="005A570F"/>
    <w:rsid w:val="005A5871"/>
    <w:rsid w:val="005A5898"/>
    <w:rsid w:val="005A5B32"/>
    <w:rsid w:val="005A5EEF"/>
    <w:rsid w:val="005A5FF2"/>
    <w:rsid w:val="005A6077"/>
    <w:rsid w:val="005A6085"/>
    <w:rsid w:val="005A60B6"/>
    <w:rsid w:val="005A60EA"/>
    <w:rsid w:val="005A60F8"/>
    <w:rsid w:val="005A615C"/>
    <w:rsid w:val="005A639C"/>
    <w:rsid w:val="005A63A4"/>
    <w:rsid w:val="005A64ED"/>
    <w:rsid w:val="005A6505"/>
    <w:rsid w:val="005A6511"/>
    <w:rsid w:val="005A65BE"/>
    <w:rsid w:val="005A673E"/>
    <w:rsid w:val="005A6811"/>
    <w:rsid w:val="005A6874"/>
    <w:rsid w:val="005A6A49"/>
    <w:rsid w:val="005A6B87"/>
    <w:rsid w:val="005A6C29"/>
    <w:rsid w:val="005A6E01"/>
    <w:rsid w:val="005A6E7E"/>
    <w:rsid w:val="005A6EA9"/>
    <w:rsid w:val="005A71AE"/>
    <w:rsid w:val="005A7420"/>
    <w:rsid w:val="005A76FC"/>
    <w:rsid w:val="005A7737"/>
    <w:rsid w:val="005A77AB"/>
    <w:rsid w:val="005A79E9"/>
    <w:rsid w:val="005A7B5E"/>
    <w:rsid w:val="005A7BC5"/>
    <w:rsid w:val="005A7CC4"/>
    <w:rsid w:val="005A7CC9"/>
    <w:rsid w:val="005A7D23"/>
    <w:rsid w:val="005A7D63"/>
    <w:rsid w:val="005A7E6B"/>
    <w:rsid w:val="005A7F84"/>
    <w:rsid w:val="005A7FCE"/>
    <w:rsid w:val="005B01B7"/>
    <w:rsid w:val="005B02E4"/>
    <w:rsid w:val="005B03B7"/>
    <w:rsid w:val="005B0407"/>
    <w:rsid w:val="005B0454"/>
    <w:rsid w:val="005B0491"/>
    <w:rsid w:val="005B04EC"/>
    <w:rsid w:val="005B06C0"/>
    <w:rsid w:val="005B07F2"/>
    <w:rsid w:val="005B08E2"/>
    <w:rsid w:val="005B096B"/>
    <w:rsid w:val="005B0B22"/>
    <w:rsid w:val="005B0C16"/>
    <w:rsid w:val="005B0C18"/>
    <w:rsid w:val="005B0C81"/>
    <w:rsid w:val="005B0DAE"/>
    <w:rsid w:val="005B0DEE"/>
    <w:rsid w:val="005B0E7A"/>
    <w:rsid w:val="005B0EB6"/>
    <w:rsid w:val="005B0F6C"/>
    <w:rsid w:val="005B0FEE"/>
    <w:rsid w:val="005B1363"/>
    <w:rsid w:val="005B13B8"/>
    <w:rsid w:val="005B13BB"/>
    <w:rsid w:val="005B1587"/>
    <w:rsid w:val="005B158A"/>
    <w:rsid w:val="005B1677"/>
    <w:rsid w:val="005B16D3"/>
    <w:rsid w:val="005B1754"/>
    <w:rsid w:val="005B1890"/>
    <w:rsid w:val="005B194C"/>
    <w:rsid w:val="005B1952"/>
    <w:rsid w:val="005B1AEC"/>
    <w:rsid w:val="005B1B41"/>
    <w:rsid w:val="005B1C4E"/>
    <w:rsid w:val="005B1D33"/>
    <w:rsid w:val="005B1D41"/>
    <w:rsid w:val="005B1E93"/>
    <w:rsid w:val="005B1E95"/>
    <w:rsid w:val="005B1F9E"/>
    <w:rsid w:val="005B203A"/>
    <w:rsid w:val="005B2070"/>
    <w:rsid w:val="005B2079"/>
    <w:rsid w:val="005B21DF"/>
    <w:rsid w:val="005B247A"/>
    <w:rsid w:val="005B24F2"/>
    <w:rsid w:val="005B2556"/>
    <w:rsid w:val="005B25CD"/>
    <w:rsid w:val="005B2610"/>
    <w:rsid w:val="005B263F"/>
    <w:rsid w:val="005B26FB"/>
    <w:rsid w:val="005B2828"/>
    <w:rsid w:val="005B2856"/>
    <w:rsid w:val="005B2881"/>
    <w:rsid w:val="005B2B40"/>
    <w:rsid w:val="005B2B5B"/>
    <w:rsid w:val="005B2B79"/>
    <w:rsid w:val="005B2BFD"/>
    <w:rsid w:val="005B2E35"/>
    <w:rsid w:val="005B2E6C"/>
    <w:rsid w:val="005B2E8D"/>
    <w:rsid w:val="005B2ED2"/>
    <w:rsid w:val="005B2FC6"/>
    <w:rsid w:val="005B30D5"/>
    <w:rsid w:val="005B30F4"/>
    <w:rsid w:val="005B3176"/>
    <w:rsid w:val="005B318D"/>
    <w:rsid w:val="005B31AF"/>
    <w:rsid w:val="005B323F"/>
    <w:rsid w:val="005B32A1"/>
    <w:rsid w:val="005B33BD"/>
    <w:rsid w:val="005B3480"/>
    <w:rsid w:val="005B3662"/>
    <w:rsid w:val="005B36CA"/>
    <w:rsid w:val="005B3747"/>
    <w:rsid w:val="005B3760"/>
    <w:rsid w:val="005B37BB"/>
    <w:rsid w:val="005B38BF"/>
    <w:rsid w:val="005B3B16"/>
    <w:rsid w:val="005B3BAA"/>
    <w:rsid w:val="005B3CC8"/>
    <w:rsid w:val="005B3D4C"/>
    <w:rsid w:val="005B3E75"/>
    <w:rsid w:val="005B3EF7"/>
    <w:rsid w:val="005B4081"/>
    <w:rsid w:val="005B409B"/>
    <w:rsid w:val="005B4104"/>
    <w:rsid w:val="005B42D6"/>
    <w:rsid w:val="005B42DD"/>
    <w:rsid w:val="005B4349"/>
    <w:rsid w:val="005B43C9"/>
    <w:rsid w:val="005B446E"/>
    <w:rsid w:val="005B4525"/>
    <w:rsid w:val="005B4670"/>
    <w:rsid w:val="005B46FA"/>
    <w:rsid w:val="005B47E5"/>
    <w:rsid w:val="005B4886"/>
    <w:rsid w:val="005B491D"/>
    <w:rsid w:val="005B4929"/>
    <w:rsid w:val="005B498D"/>
    <w:rsid w:val="005B4B8C"/>
    <w:rsid w:val="005B4CD4"/>
    <w:rsid w:val="005B4D30"/>
    <w:rsid w:val="005B4D7A"/>
    <w:rsid w:val="005B4E47"/>
    <w:rsid w:val="005B4EA7"/>
    <w:rsid w:val="005B4EDF"/>
    <w:rsid w:val="005B4EFF"/>
    <w:rsid w:val="005B4FDE"/>
    <w:rsid w:val="005B50D9"/>
    <w:rsid w:val="005B5143"/>
    <w:rsid w:val="005B5148"/>
    <w:rsid w:val="005B5326"/>
    <w:rsid w:val="005B548B"/>
    <w:rsid w:val="005B55C2"/>
    <w:rsid w:val="005B561E"/>
    <w:rsid w:val="005B56A0"/>
    <w:rsid w:val="005B578F"/>
    <w:rsid w:val="005B57CB"/>
    <w:rsid w:val="005B57FB"/>
    <w:rsid w:val="005B5933"/>
    <w:rsid w:val="005B593F"/>
    <w:rsid w:val="005B5997"/>
    <w:rsid w:val="005B59B3"/>
    <w:rsid w:val="005B5DB4"/>
    <w:rsid w:val="005B5DFE"/>
    <w:rsid w:val="005B5EF6"/>
    <w:rsid w:val="005B5F30"/>
    <w:rsid w:val="005B5FB0"/>
    <w:rsid w:val="005B6095"/>
    <w:rsid w:val="005B60DB"/>
    <w:rsid w:val="005B6152"/>
    <w:rsid w:val="005B61B7"/>
    <w:rsid w:val="005B61B8"/>
    <w:rsid w:val="005B62ED"/>
    <w:rsid w:val="005B6509"/>
    <w:rsid w:val="005B6527"/>
    <w:rsid w:val="005B65CF"/>
    <w:rsid w:val="005B65EE"/>
    <w:rsid w:val="005B6899"/>
    <w:rsid w:val="005B68A9"/>
    <w:rsid w:val="005B68D5"/>
    <w:rsid w:val="005B6A47"/>
    <w:rsid w:val="005B6A85"/>
    <w:rsid w:val="005B6B4F"/>
    <w:rsid w:val="005B6E09"/>
    <w:rsid w:val="005B6FED"/>
    <w:rsid w:val="005B7022"/>
    <w:rsid w:val="005B705A"/>
    <w:rsid w:val="005B70D0"/>
    <w:rsid w:val="005B722E"/>
    <w:rsid w:val="005B7244"/>
    <w:rsid w:val="005B7375"/>
    <w:rsid w:val="005B7392"/>
    <w:rsid w:val="005B73E9"/>
    <w:rsid w:val="005B75F2"/>
    <w:rsid w:val="005B7682"/>
    <w:rsid w:val="005B76C5"/>
    <w:rsid w:val="005B7910"/>
    <w:rsid w:val="005B7942"/>
    <w:rsid w:val="005B7966"/>
    <w:rsid w:val="005B7AAE"/>
    <w:rsid w:val="005B7BC2"/>
    <w:rsid w:val="005B7C2B"/>
    <w:rsid w:val="005B7C5B"/>
    <w:rsid w:val="005B7C84"/>
    <w:rsid w:val="005B7CAE"/>
    <w:rsid w:val="005B7D0A"/>
    <w:rsid w:val="005C0070"/>
    <w:rsid w:val="005C0168"/>
    <w:rsid w:val="005C02CD"/>
    <w:rsid w:val="005C0342"/>
    <w:rsid w:val="005C037C"/>
    <w:rsid w:val="005C03BF"/>
    <w:rsid w:val="005C045C"/>
    <w:rsid w:val="005C04A1"/>
    <w:rsid w:val="005C04D1"/>
    <w:rsid w:val="005C06BA"/>
    <w:rsid w:val="005C06DA"/>
    <w:rsid w:val="005C074F"/>
    <w:rsid w:val="005C07E7"/>
    <w:rsid w:val="005C0840"/>
    <w:rsid w:val="005C0893"/>
    <w:rsid w:val="005C0905"/>
    <w:rsid w:val="005C099A"/>
    <w:rsid w:val="005C0A11"/>
    <w:rsid w:val="005C0A13"/>
    <w:rsid w:val="005C0F16"/>
    <w:rsid w:val="005C0FD8"/>
    <w:rsid w:val="005C107F"/>
    <w:rsid w:val="005C122F"/>
    <w:rsid w:val="005C1387"/>
    <w:rsid w:val="005C13EF"/>
    <w:rsid w:val="005C166B"/>
    <w:rsid w:val="005C1694"/>
    <w:rsid w:val="005C17BB"/>
    <w:rsid w:val="005C1955"/>
    <w:rsid w:val="005C19C9"/>
    <w:rsid w:val="005C19EF"/>
    <w:rsid w:val="005C1ED9"/>
    <w:rsid w:val="005C22FE"/>
    <w:rsid w:val="005C2360"/>
    <w:rsid w:val="005C264D"/>
    <w:rsid w:val="005C2722"/>
    <w:rsid w:val="005C2750"/>
    <w:rsid w:val="005C2842"/>
    <w:rsid w:val="005C284E"/>
    <w:rsid w:val="005C28D2"/>
    <w:rsid w:val="005C2959"/>
    <w:rsid w:val="005C2BCF"/>
    <w:rsid w:val="005C2C40"/>
    <w:rsid w:val="005C2D1B"/>
    <w:rsid w:val="005C2D76"/>
    <w:rsid w:val="005C2F37"/>
    <w:rsid w:val="005C300E"/>
    <w:rsid w:val="005C310A"/>
    <w:rsid w:val="005C32EF"/>
    <w:rsid w:val="005C34B8"/>
    <w:rsid w:val="005C356C"/>
    <w:rsid w:val="005C35C8"/>
    <w:rsid w:val="005C35E7"/>
    <w:rsid w:val="005C3821"/>
    <w:rsid w:val="005C3835"/>
    <w:rsid w:val="005C3876"/>
    <w:rsid w:val="005C38EF"/>
    <w:rsid w:val="005C3962"/>
    <w:rsid w:val="005C3A95"/>
    <w:rsid w:val="005C3B07"/>
    <w:rsid w:val="005C3D89"/>
    <w:rsid w:val="005C3D93"/>
    <w:rsid w:val="005C3E28"/>
    <w:rsid w:val="005C3F7A"/>
    <w:rsid w:val="005C4148"/>
    <w:rsid w:val="005C4327"/>
    <w:rsid w:val="005C44C1"/>
    <w:rsid w:val="005C44F9"/>
    <w:rsid w:val="005C4688"/>
    <w:rsid w:val="005C4A53"/>
    <w:rsid w:val="005C4AF0"/>
    <w:rsid w:val="005C4B4C"/>
    <w:rsid w:val="005C4D77"/>
    <w:rsid w:val="005C4FFE"/>
    <w:rsid w:val="005C50B9"/>
    <w:rsid w:val="005C5123"/>
    <w:rsid w:val="005C5142"/>
    <w:rsid w:val="005C5203"/>
    <w:rsid w:val="005C5272"/>
    <w:rsid w:val="005C5591"/>
    <w:rsid w:val="005C578E"/>
    <w:rsid w:val="005C57BF"/>
    <w:rsid w:val="005C5826"/>
    <w:rsid w:val="005C5860"/>
    <w:rsid w:val="005C58CF"/>
    <w:rsid w:val="005C5937"/>
    <w:rsid w:val="005C59DE"/>
    <w:rsid w:val="005C5A37"/>
    <w:rsid w:val="005C5B9A"/>
    <w:rsid w:val="005C5C2E"/>
    <w:rsid w:val="005C5C3F"/>
    <w:rsid w:val="005C5D38"/>
    <w:rsid w:val="005C5F0E"/>
    <w:rsid w:val="005C60A7"/>
    <w:rsid w:val="005C611C"/>
    <w:rsid w:val="005C6206"/>
    <w:rsid w:val="005C62E4"/>
    <w:rsid w:val="005C646E"/>
    <w:rsid w:val="005C64CB"/>
    <w:rsid w:val="005C65FD"/>
    <w:rsid w:val="005C6853"/>
    <w:rsid w:val="005C698F"/>
    <w:rsid w:val="005C69D1"/>
    <w:rsid w:val="005C6BD9"/>
    <w:rsid w:val="005C6C58"/>
    <w:rsid w:val="005C6C6D"/>
    <w:rsid w:val="005C6D58"/>
    <w:rsid w:val="005C6D6C"/>
    <w:rsid w:val="005C6E96"/>
    <w:rsid w:val="005C70E9"/>
    <w:rsid w:val="005C718B"/>
    <w:rsid w:val="005C71D0"/>
    <w:rsid w:val="005C746F"/>
    <w:rsid w:val="005C74A4"/>
    <w:rsid w:val="005C74E3"/>
    <w:rsid w:val="005C754D"/>
    <w:rsid w:val="005C771D"/>
    <w:rsid w:val="005C772F"/>
    <w:rsid w:val="005C77AC"/>
    <w:rsid w:val="005C7991"/>
    <w:rsid w:val="005C7B9D"/>
    <w:rsid w:val="005C7C8C"/>
    <w:rsid w:val="005C7CE5"/>
    <w:rsid w:val="005C7DBE"/>
    <w:rsid w:val="005C7E11"/>
    <w:rsid w:val="005C7E45"/>
    <w:rsid w:val="005C7E6C"/>
    <w:rsid w:val="005C7F48"/>
    <w:rsid w:val="005D000A"/>
    <w:rsid w:val="005D00F3"/>
    <w:rsid w:val="005D014E"/>
    <w:rsid w:val="005D016D"/>
    <w:rsid w:val="005D024A"/>
    <w:rsid w:val="005D0260"/>
    <w:rsid w:val="005D0317"/>
    <w:rsid w:val="005D049B"/>
    <w:rsid w:val="005D0500"/>
    <w:rsid w:val="005D0571"/>
    <w:rsid w:val="005D05A0"/>
    <w:rsid w:val="005D06E8"/>
    <w:rsid w:val="005D07C1"/>
    <w:rsid w:val="005D082B"/>
    <w:rsid w:val="005D08B7"/>
    <w:rsid w:val="005D0950"/>
    <w:rsid w:val="005D0A08"/>
    <w:rsid w:val="005D0B5D"/>
    <w:rsid w:val="005D0C21"/>
    <w:rsid w:val="005D0CA7"/>
    <w:rsid w:val="005D0D34"/>
    <w:rsid w:val="005D0DC8"/>
    <w:rsid w:val="005D0F42"/>
    <w:rsid w:val="005D0FE6"/>
    <w:rsid w:val="005D106A"/>
    <w:rsid w:val="005D10C9"/>
    <w:rsid w:val="005D1106"/>
    <w:rsid w:val="005D1172"/>
    <w:rsid w:val="005D124A"/>
    <w:rsid w:val="005D13B5"/>
    <w:rsid w:val="005D1449"/>
    <w:rsid w:val="005D147A"/>
    <w:rsid w:val="005D14EA"/>
    <w:rsid w:val="005D14F3"/>
    <w:rsid w:val="005D1534"/>
    <w:rsid w:val="005D157F"/>
    <w:rsid w:val="005D1593"/>
    <w:rsid w:val="005D1658"/>
    <w:rsid w:val="005D170F"/>
    <w:rsid w:val="005D1822"/>
    <w:rsid w:val="005D188E"/>
    <w:rsid w:val="005D18F3"/>
    <w:rsid w:val="005D1905"/>
    <w:rsid w:val="005D19F4"/>
    <w:rsid w:val="005D1BC0"/>
    <w:rsid w:val="005D1C1A"/>
    <w:rsid w:val="005D1C38"/>
    <w:rsid w:val="005D1DBB"/>
    <w:rsid w:val="005D1E6A"/>
    <w:rsid w:val="005D1ECE"/>
    <w:rsid w:val="005D1F00"/>
    <w:rsid w:val="005D2208"/>
    <w:rsid w:val="005D2339"/>
    <w:rsid w:val="005D23D4"/>
    <w:rsid w:val="005D25EF"/>
    <w:rsid w:val="005D262B"/>
    <w:rsid w:val="005D2722"/>
    <w:rsid w:val="005D279A"/>
    <w:rsid w:val="005D279E"/>
    <w:rsid w:val="005D2919"/>
    <w:rsid w:val="005D2A4F"/>
    <w:rsid w:val="005D2C07"/>
    <w:rsid w:val="005D2C52"/>
    <w:rsid w:val="005D2CEE"/>
    <w:rsid w:val="005D2DCF"/>
    <w:rsid w:val="005D2F44"/>
    <w:rsid w:val="005D2F95"/>
    <w:rsid w:val="005D305B"/>
    <w:rsid w:val="005D3164"/>
    <w:rsid w:val="005D3187"/>
    <w:rsid w:val="005D344A"/>
    <w:rsid w:val="005D35F8"/>
    <w:rsid w:val="005D3713"/>
    <w:rsid w:val="005D3844"/>
    <w:rsid w:val="005D38E9"/>
    <w:rsid w:val="005D395B"/>
    <w:rsid w:val="005D3964"/>
    <w:rsid w:val="005D3A81"/>
    <w:rsid w:val="005D3CFF"/>
    <w:rsid w:val="005D3D0B"/>
    <w:rsid w:val="005D3DDF"/>
    <w:rsid w:val="005D3DFE"/>
    <w:rsid w:val="005D3E0B"/>
    <w:rsid w:val="005D3F77"/>
    <w:rsid w:val="005D3FC7"/>
    <w:rsid w:val="005D4031"/>
    <w:rsid w:val="005D403A"/>
    <w:rsid w:val="005D4082"/>
    <w:rsid w:val="005D414A"/>
    <w:rsid w:val="005D41B5"/>
    <w:rsid w:val="005D4236"/>
    <w:rsid w:val="005D4254"/>
    <w:rsid w:val="005D4339"/>
    <w:rsid w:val="005D435F"/>
    <w:rsid w:val="005D4480"/>
    <w:rsid w:val="005D4591"/>
    <w:rsid w:val="005D4605"/>
    <w:rsid w:val="005D473A"/>
    <w:rsid w:val="005D48A6"/>
    <w:rsid w:val="005D4919"/>
    <w:rsid w:val="005D4A7D"/>
    <w:rsid w:val="005D4A83"/>
    <w:rsid w:val="005D4D26"/>
    <w:rsid w:val="005D4DD6"/>
    <w:rsid w:val="005D4E0F"/>
    <w:rsid w:val="005D4ED8"/>
    <w:rsid w:val="005D50A9"/>
    <w:rsid w:val="005D50D7"/>
    <w:rsid w:val="005D518C"/>
    <w:rsid w:val="005D520B"/>
    <w:rsid w:val="005D5221"/>
    <w:rsid w:val="005D52D0"/>
    <w:rsid w:val="005D54C4"/>
    <w:rsid w:val="005D5548"/>
    <w:rsid w:val="005D576D"/>
    <w:rsid w:val="005D58C3"/>
    <w:rsid w:val="005D5989"/>
    <w:rsid w:val="005D598A"/>
    <w:rsid w:val="005D599C"/>
    <w:rsid w:val="005D59E4"/>
    <w:rsid w:val="005D5A59"/>
    <w:rsid w:val="005D5B48"/>
    <w:rsid w:val="005D5C5F"/>
    <w:rsid w:val="005D5DA7"/>
    <w:rsid w:val="005D5DC7"/>
    <w:rsid w:val="005D5E6B"/>
    <w:rsid w:val="005D60FE"/>
    <w:rsid w:val="005D6176"/>
    <w:rsid w:val="005D61AF"/>
    <w:rsid w:val="005D629F"/>
    <w:rsid w:val="005D644A"/>
    <w:rsid w:val="005D650F"/>
    <w:rsid w:val="005D652A"/>
    <w:rsid w:val="005D652D"/>
    <w:rsid w:val="005D65C5"/>
    <w:rsid w:val="005D6654"/>
    <w:rsid w:val="005D6666"/>
    <w:rsid w:val="005D6673"/>
    <w:rsid w:val="005D66BA"/>
    <w:rsid w:val="005D678C"/>
    <w:rsid w:val="005D6791"/>
    <w:rsid w:val="005D67F8"/>
    <w:rsid w:val="005D6807"/>
    <w:rsid w:val="005D68BC"/>
    <w:rsid w:val="005D6BCB"/>
    <w:rsid w:val="005D6BFD"/>
    <w:rsid w:val="005D6C01"/>
    <w:rsid w:val="005D6C17"/>
    <w:rsid w:val="005D6D3C"/>
    <w:rsid w:val="005D6DD7"/>
    <w:rsid w:val="005D6E33"/>
    <w:rsid w:val="005D700F"/>
    <w:rsid w:val="005D72E9"/>
    <w:rsid w:val="005D740E"/>
    <w:rsid w:val="005D749E"/>
    <w:rsid w:val="005D74C4"/>
    <w:rsid w:val="005D74D0"/>
    <w:rsid w:val="005D7530"/>
    <w:rsid w:val="005D75E0"/>
    <w:rsid w:val="005D7605"/>
    <w:rsid w:val="005D768A"/>
    <w:rsid w:val="005D76F8"/>
    <w:rsid w:val="005D77A3"/>
    <w:rsid w:val="005D781C"/>
    <w:rsid w:val="005D78A7"/>
    <w:rsid w:val="005D7993"/>
    <w:rsid w:val="005D79FB"/>
    <w:rsid w:val="005D7ABD"/>
    <w:rsid w:val="005D7BFA"/>
    <w:rsid w:val="005D7CBE"/>
    <w:rsid w:val="005D7DEB"/>
    <w:rsid w:val="005D7E3E"/>
    <w:rsid w:val="005D7E91"/>
    <w:rsid w:val="005E003D"/>
    <w:rsid w:val="005E004A"/>
    <w:rsid w:val="005E0071"/>
    <w:rsid w:val="005E0144"/>
    <w:rsid w:val="005E0242"/>
    <w:rsid w:val="005E026C"/>
    <w:rsid w:val="005E02E3"/>
    <w:rsid w:val="005E0407"/>
    <w:rsid w:val="005E04C5"/>
    <w:rsid w:val="005E0633"/>
    <w:rsid w:val="005E0733"/>
    <w:rsid w:val="005E075F"/>
    <w:rsid w:val="005E099D"/>
    <w:rsid w:val="005E0A77"/>
    <w:rsid w:val="005E0AF5"/>
    <w:rsid w:val="005E0B31"/>
    <w:rsid w:val="005E0B89"/>
    <w:rsid w:val="005E0D39"/>
    <w:rsid w:val="005E0DFC"/>
    <w:rsid w:val="005E0E2D"/>
    <w:rsid w:val="005E0F4B"/>
    <w:rsid w:val="005E0FA4"/>
    <w:rsid w:val="005E0FA9"/>
    <w:rsid w:val="005E105F"/>
    <w:rsid w:val="005E1361"/>
    <w:rsid w:val="005E147C"/>
    <w:rsid w:val="005E1578"/>
    <w:rsid w:val="005E16A1"/>
    <w:rsid w:val="005E1859"/>
    <w:rsid w:val="005E18F8"/>
    <w:rsid w:val="005E1A09"/>
    <w:rsid w:val="005E1AF3"/>
    <w:rsid w:val="005E1B1D"/>
    <w:rsid w:val="005E1C43"/>
    <w:rsid w:val="005E1C58"/>
    <w:rsid w:val="005E1CC3"/>
    <w:rsid w:val="005E1CC4"/>
    <w:rsid w:val="005E1CC9"/>
    <w:rsid w:val="005E1D02"/>
    <w:rsid w:val="005E1D26"/>
    <w:rsid w:val="005E1EBB"/>
    <w:rsid w:val="005E2150"/>
    <w:rsid w:val="005E21B0"/>
    <w:rsid w:val="005E21C2"/>
    <w:rsid w:val="005E227D"/>
    <w:rsid w:val="005E2347"/>
    <w:rsid w:val="005E2485"/>
    <w:rsid w:val="005E24ED"/>
    <w:rsid w:val="005E250A"/>
    <w:rsid w:val="005E262D"/>
    <w:rsid w:val="005E27B8"/>
    <w:rsid w:val="005E288C"/>
    <w:rsid w:val="005E28F7"/>
    <w:rsid w:val="005E2A6F"/>
    <w:rsid w:val="005E2AEF"/>
    <w:rsid w:val="005E2B00"/>
    <w:rsid w:val="005E2B01"/>
    <w:rsid w:val="005E2B75"/>
    <w:rsid w:val="005E2B7D"/>
    <w:rsid w:val="005E2BB3"/>
    <w:rsid w:val="005E2C42"/>
    <w:rsid w:val="005E2C77"/>
    <w:rsid w:val="005E30F4"/>
    <w:rsid w:val="005E33CF"/>
    <w:rsid w:val="005E3400"/>
    <w:rsid w:val="005E3511"/>
    <w:rsid w:val="005E3557"/>
    <w:rsid w:val="005E357E"/>
    <w:rsid w:val="005E3764"/>
    <w:rsid w:val="005E39AD"/>
    <w:rsid w:val="005E3A70"/>
    <w:rsid w:val="005E3A9C"/>
    <w:rsid w:val="005E3AE0"/>
    <w:rsid w:val="005E3B1D"/>
    <w:rsid w:val="005E3B3F"/>
    <w:rsid w:val="005E3B75"/>
    <w:rsid w:val="005E3C09"/>
    <w:rsid w:val="005E3C0D"/>
    <w:rsid w:val="005E3C71"/>
    <w:rsid w:val="005E3CD0"/>
    <w:rsid w:val="005E3CFC"/>
    <w:rsid w:val="005E3E6C"/>
    <w:rsid w:val="005E3E74"/>
    <w:rsid w:val="005E3FE8"/>
    <w:rsid w:val="005E400F"/>
    <w:rsid w:val="005E405F"/>
    <w:rsid w:val="005E40F3"/>
    <w:rsid w:val="005E418C"/>
    <w:rsid w:val="005E421F"/>
    <w:rsid w:val="005E429B"/>
    <w:rsid w:val="005E42C7"/>
    <w:rsid w:val="005E431B"/>
    <w:rsid w:val="005E443E"/>
    <w:rsid w:val="005E4482"/>
    <w:rsid w:val="005E454D"/>
    <w:rsid w:val="005E46BD"/>
    <w:rsid w:val="005E4A63"/>
    <w:rsid w:val="005E4AC5"/>
    <w:rsid w:val="005E4B82"/>
    <w:rsid w:val="005E4E75"/>
    <w:rsid w:val="005E51A5"/>
    <w:rsid w:val="005E5214"/>
    <w:rsid w:val="005E5237"/>
    <w:rsid w:val="005E5443"/>
    <w:rsid w:val="005E5481"/>
    <w:rsid w:val="005E5866"/>
    <w:rsid w:val="005E58DA"/>
    <w:rsid w:val="005E5A0C"/>
    <w:rsid w:val="005E5B11"/>
    <w:rsid w:val="005E5D22"/>
    <w:rsid w:val="005E5E7F"/>
    <w:rsid w:val="005E5E8E"/>
    <w:rsid w:val="005E5F20"/>
    <w:rsid w:val="005E60A1"/>
    <w:rsid w:val="005E61F5"/>
    <w:rsid w:val="005E6270"/>
    <w:rsid w:val="005E62C5"/>
    <w:rsid w:val="005E63C2"/>
    <w:rsid w:val="005E640D"/>
    <w:rsid w:val="005E6496"/>
    <w:rsid w:val="005E66FE"/>
    <w:rsid w:val="005E6719"/>
    <w:rsid w:val="005E6744"/>
    <w:rsid w:val="005E697E"/>
    <w:rsid w:val="005E6A7C"/>
    <w:rsid w:val="005E6B62"/>
    <w:rsid w:val="005E6C23"/>
    <w:rsid w:val="005E6D2F"/>
    <w:rsid w:val="005E6D8A"/>
    <w:rsid w:val="005E6E74"/>
    <w:rsid w:val="005E712A"/>
    <w:rsid w:val="005E718E"/>
    <w:rsid w:val="005E71F7"/>
    <w:rsid w:val="005E723D"/>
    <w:rsid w:val="005E7433"/>
    <w:rsid w:val="005E7560"/>
    <w:rsid w:val="005E7571"/>
    <w:rsid w:val="005E77FB"/>
    <w:rsid w:val="005E78E5"/>
    <w:rsid w:val="005E7A6F"/>
    <w:rsid w:val="005E7A99"/>
    <w:rsid w:val="005E7AC3"/>
    <w:rsid w:val="005E7C0F"/>
    <w:rsid w:val="005E7C22"/>
    <w:rsid w:val="005E7C6E"/>
    <w:rsid w:val="005E7D07"/>
    <w:rsid w:val="005E7D5F"/>
    <w:rsid w:val="005E7D89"/>
    <w:rsid w:val="005E7D8B"/>
    <w:rsid w:val="005F0097"/>
    <w:rsid w:val="005F00F6"/>
    <w:rsid w:val="005F0123"/>
    <w:rsid w:val="005F0136"/>
    <w:rsid w:val="005F0284"/>
    <w:rsid w:val="005F02D5"/>
    <w:rsid w:val="005F0363"/>
    <w:rsid w:val="005F04E0"/>
    <w:rsid w:val="005F0520"/>
    <w:rsid w:val="005F05BF"/>
    <w:rsid w:val="005F063F"/>
    <w:rsid w:val="005F093E"/>
    <w:rsid w:val="005F0ACB"/>
    <w:rsid w:val="005F0ACD"/>
    <w:rsid w:val="005F0ADB"/>
    <w:rsid w:val="005F0B8F"/>
    <w:rsid w:val="005F0BFC"/>
    <w:rsid w:val="005F0DE7"/>
    <w:rsid w:val="005F0E5C"/>
    <w:rsid w:val="005F0E6D"/>
    <w:rsid w:val="005F0FBC"/>
    <w:rsid w:val="005F11CA"/>
    <w:rsid w:val="005F124B"/>
    <w:rsid w:val="005F12C8"/>
    <w:rsid w:val="005F12F9"/>
    <w:rsid w:val="005F133C"/>
    <w:rsid w:val="005F15B6"/>
    <w:rsid w:val="005F1640"/>
    <w:rsid w:val="005F16D7"/>
    <w:rsid w:val="005F17E8"/>
    <w:rsid w:val="005F1800"/>
    <w:rsid w:val="005F1874"/>
    <w:rsid w:val="005F191C"/>
    <w:rsid w:val="005F1A27"/>
    <w:rsid w:val="005F1A46"/>
    <w:rsid w:val="005F1A81"/>
    <w:rsid w:val="005F1AD5"/>
    <w:rsid w:val="005F1B00"/>
    <w:rsid w:val="005F1B62"/>
    <w:rsid w:val="005F1C05"/>
    <w:rsid w:val="005F1D21"/>
    <w:rsid w:val="005F1E2E"/>
    <w:rsid w:val="005F1E70"/>
    <w:rsid w:val="005F1EB4"/>
    <w:rsid w:val="005F1EC8"/>
    <w:rsid w:val="005F1EE2"/>
    <w:rsid w:val="005F1EF0"/>
    <w:rsid w:val="005F22AE"/>
    <w:rsid w:val="005F23BB"/>
    <w:rsid w:val="005F23D2"/>
    <w:rsid w:val="005F2479"/>
    <w:rsid w:val="005F24D3"/>
    <w:rsid w:val="005F26F0"/>
    <w:rsid w:val="005F28A8"/>
    <w:rsid w:val="005F28FA"/>
    <w:rsid w:val="005F2929"/>
    <w:rsid w:val="005F2942"/>
    <w:rsid w:val="005F298B"/>
    <w:rsid w:val="005F2A36"/>
    <w:rsid w:val="005F2AB5"/>
    <w:rsid w:val="005F2B90"/>
    <w:rsid w:val="005F2C45"/>
    <w:rsid w:val="005F2C6E"/>
    <w:rsid w:val="005F2D50"/>
    <w:rsid w:val="005F2EA0"/>
    <w:rsid w:val="005F2EFA"/>
    <w:rsid w:val="005F2FA6"/>
    <w:rsid w:val="005F31DA"/>
    <w:rsid w:val="005F31E1"/>
    <w:rsid w:val="005F3474"/>
    <w:rsid w:val="005F355F"/>
    <w:rsid w:val="005F35C3"/>
    <w:rsid w:val="005F3708"/>
    <w:rsid w:val="005F38D3"/>
    <w:rsid w:val="005F392E"/>
    <w:rsid w:val="005F3944"/>
    <w:rsid w:val="005F398B"/>
    <w:rsid w:val="005F3A3B"/>
    <w:rsid w:val="005F3AFF"/>
    <w:rsid w:val="005F3B1F"/>
    <w:rsid w:val="005F3B53"/>
    <w:rsid w:val="005F3C37"/>
    <w:rsid w:val="005F3C78"/>
    <w:rsid w:val="005F3E6F"/>
    <w:rsid w:val="005F3FF5"/>
    <w:rsid w:val="005F40DD"/>
    <w:rsid w:val="005F4266"/>
    <w:rsid w:val="005F43E9"/>
    <w:rsid w:val="005F44EA"/>
    <w:rsid w:val="005F4656"/>
    <w:rsid w:val="005F46A7"/>
    <w:rsid w:val="005F46B9"/>
    <w:rsid w:val="005F4713"/>
    <w:rsid w:val="005F4794"/>
    <w:rsid w:val="005F4805"/>
    <w:rsid w:val="005F4853"/>
    <w:rsid w:val="005F4969"/>
    <w:rsid w:val="005F496D"/>
    <w:rsid w:val="005F497F"/>
    <w:rsid w:val="005F4A99"/>
    <w:rsid w:val="005F4AA8"/>
    <w:rsid w:val="005F4B02"/>
    <w:rsid w:val="005F4BB4"/>
    <w:rsid w:val="005F4CB3"/>
    <w:rsid w:val="005F4D00"/>
    <w:rsid w:val="005F4D8A"/>
    <w:rsid w:val="005F4DCF"/>
    <w:rsid w:val="005F4DFC"/>
    <w:rsid w:val="005F4EAC"/>
    <w:rsid w:val="005F4EF9"/>
    <w:rsid w:val="005F4F81"/>
    <w:rsid w:val="005F50B3"/>
    <w:rsid w:val="005F51AA"/>
    <w:rsid w:val="005F5213"/>
    <w:rsid w:val="005F52D3"/>
    <w:rsid w:val="005F52EA"/>
    <w:rsid w:val="005F547C"/>
    <w:rsid w:val="005F551F"/>
    <w:rsid w:val="005F5555"/>
    <w:rsid w:val="005F5666"/>
    <w:rsid w:val="005F57DC"/>
    <w:rsid w:val="005F5A31"/>
    <w:rsid w:val="005F5A39"/>
    <w:rsid w:val="005F5A96"/>
    <w:rsid w:val="005F5B12"/>
    <w:rsid w:val="005F5EEF"/>
    <w:rsid w:val="005F5F52"/>
    <w:rsid w:val="005F5FC6"/>
    <w:rsid w:val="005F61B3"/>
    <w:rsid w:val="005F678A"/>
    <w:rsid w:val="005F67C1"/>
    <w:rsid w:val="005F6849"/>
    <w:rsid w:val="005F688A"/>
    <w:rsid w:val="005F6981"/>
    <w:rsid w:val="005F6A0F"/>
    <w:rsid w:val="005F6C70"/>
    <w:rsid w:val="005F6D8B"/>
    <w:rsid w:val="005F6E06"/>
    <w:rsid w:val="005F6E72"/>
    <w:rsid w:val="005F6EB0"/>
    <w:rsid w:val="005F6EEB"/>
    <w:rsid w:val="005F6EF0"/>
    <w:rsid w:val="005F7034"/>
    <w:rsid w:val="005F70EC"/>
    <w:rsid w:val="005F71B1"/>
    <w:rsid w:val="005F7351"/>
    <w:rsid w:val="005F73A3"/>
    <w:rsid w:val="005F7517"/>
    <w:rsid w:val="005F7619"/>
    <w:rsid w:val="005F7821"/>
    <w:rsid w:val="005F7827"/>
    <w:rsid w:val="005F78F6"/>
    <w:rsid w:val="005F78FF"/>
    <w:rsid w:val="005F79F4"/>
    <w:rsid w:val="005F7AA5"/>
    <w:rsid w:val="005F7AC7"/>
    <w:rsid w:val="005F7AD6"/>
    <w:rsid w:val="005F7B21"/>
    <w:rsid w:val="005F7C64"/>
    <w:rsid w:val="005F7CC4"/>
    <w:rsid w:val="005F7CE7"/>
    <w:rsid w:val="005F7CF1"/>
    <w:rsid w:val="005F7E2C"/>
    <w:rsid w:val="005F7E75"/>
    <w:rsid w:val="00600009"/>
    <w:rsid w:val="006000E7"/>
    <w:rsid w:val="006001B6"/>
    <w:rsid w:val="006001BF"/>
    <w:rsid w:val="006001ED"/>
    <w:rsid w:val="006001F6"/>
    <w:rsid w:val="00600304"/>
    <w:rsid w:val="00600323"/>
    <w:rsid w:val="006003F7"/>
    <w:rsid w:val="006003FD"/>
    <w:rsid w:val="0060056B"/>
    <w:rsid w:val="00600864"/>
    <w:rsid w:val="006009CE"/>
    <w:rsid w:val="00600A8E"/>
    <w:rsid w:val="00600B0E"/>
    <w:rsid w:val="00600C43"/>
    <w:rsid w:val="00600CDD"/>
    <w:rsid w:val="00600E7C"/>
    <w:rsid w:val="00600EFC"/>
    <w:rsid w:val="00600F99"/>
    <w:rsid w:val="0060101C"/>
    <w:rsid w:val="00601097"/>
    <w:rsid w:val="00601129"/>
    <w:rsid w:val="006011AC"/>
    <w:rsid w:val="00601281"/>
    <w:rsid w:val="00601318"/>
    <w:rsid w:val="00601390"/>
    <w:rsid w:val="0060167B"/>
    <w:rsid w:val="006016AB"/>
    <w:rsid w:val="006017C6"/>
    <w:rsid w:val="00601924"/>
    <w:rsid w:val="006019F9"/>
    <w:rsid w:val="00601AE6"/>
    <w:rsid w:val="00601B60"/>
    <w:rsid w:val="00601C57"/>
    <w:rsid w:val="00601C9B"/>
    <w:rsid w:val="00601D16"/>
    <w:rsid w:val="00601D91"/>
    <w:rsid w:val="00601E1D"/>
    <w:rsid w:val="00601E2C"/>
    <w:rsid w:val="00601E63"/>
    <w:rsid w:val="00601E7B"/>
    <w:rsid w:val="00601EC4"/>
    <w:rsid w:val="006020DB"/>
    <w:rsid w:val="0060211A"/>
    <w:rsid w:val="0060222B"/>
    <w:rsid w:val="0060242B"/>
    <w:rsid w:val="006024B0"/>
    <w:rsid w:val="00602588"/>
    <w:rsid w:val="00602607"/>
    <w:rsid w:val="0060272D"/>
    <w:rsid w:val="00602871"/>
    <w:rsid w:val="006028D2"/>
    <w:rsid w:val="00602926"/>
    <w:rsid w:val="006029C9"/>
    <w:rsid w:val="00602AE8"/>
    <w:rsid w:val="00602D55"/>
    <w:rsid w:val="00602DAD"/>
    <w:rsid w:val="00602F2F"/>
    <w:rsid w:val="00602FBB"/>
    <w:rsid w:val="006030ED"/>
    <w:rsid w:val="006031DE"/>
    <w:rsid w:val="00603239"/>
    <w:rsid w:val="00603296"/>
    <w:rsid w:val="006035D1"/>
    <w:rsid w:val="006035EE"/>
    <w:rsid w:val="0060366C"/>
    <w:rsid w:val="006036EE"/>
    <w:rsid w:val="00603774"/>
    <w:rsid w:val="00603792"/>
    <w:rsid w:val="006038B9"/>
    <w:rsid w:val="006039C1"/>
    <w:rsid w:val="00603CA7"/>
    <w:rsid w:val="00603E22"/>
    <w:rsid w:val="00603E34"/>
    <w:rsid w:val="00603E62"/>
    <w:rsid w:val="00603F96"/>
    <w:rsid w:val="0060404B"/>
    <w:rsid w:val="00604077"/>
    <w:rsid w:val="006040A9"/>
    <w:rsid w:val="0060421A"/>
    <w:rsid w:val="0060435F"/>
    <w:rsid w:val="00604419"/>
    <w:rsid w:val="0060442D"/>
    <w:rsid w:val="0060450F"/>
    <w:rsid w:val="006045EE"/>
    <w:rsid w:val="0060466B"/>
    <w:rsid w:val="00604749"/>
    <w:rsid w:val="006047E0"/>
    <w:rsid w:val="00604862"/>
    <w:rsid w:val="00604960"/>
    <w:rsid w:val="00604A64"/>
    <w:rsid w:val="00604C08"/>
    <w:rsid w:val="00604CB4"/>
    <w:rsid w:val="00604CC7"/>
    <w:rsid w:val="00604D27"/>
    <w:rsid w:val="00604DD6"/>
    <w:rsid w:val="00604E98"/>
    <w:rsid w:val="00604FC9"/>
    <w:rsid w:val="0060506D"/>
    <w:rsid w:val="00605094"/>
    <w:rsid w:val="00605095"/>
    <w:rsid w:val="006050A5"/>
    <w:rsid w:val="006050BB"/>
    <w:rsid w:val="006050C1"/>
    <w:rsid w:val="006050E7"/>
    <w:rsid w:val="00605453"/>
    <w:rsid w:val="00605467"/>
    <w:rsid w:val="006054D4"/>
    <w:rsid w:val="0060554F"/>
    <w:rsid w:val="00605700"/>
    <w:rsid w:val="0060584C"/>
    <w:rsid w:val="00605894"/>
    <w:rsid w:val="006058AA"/>
    <w:rsid w:val="006059D4"/>
    <w:rsid w:val="00605A41"/>
    <w:rsid w:val="00605A65"/>
    <w:rsid w:val="00605ACF"/>
    <w:rsid w:val="00605B27"/>
    <w:rsid w:val="00605C35"/>
    <w:rsid w:val="00605C92"/>
    <w:rsid w:val="00605CE2"/>
    <w:rsid w:val="00605E01"/>
    <w:rsid w:val="00605EC8"/>
    <w:rsid w:val="00605FF2"/>
    <w:rsid w:val="0060608A"/>
    <w:rsid w:val="00606158"/>
    <w:rsid w:val="0060615C"/>
    <w:rsid w:val="006061E3"/>
    <w:rsid w:val="006062BA"/>
    <w:rsid w:val="00606366"/>
    <w:rsid w:val="0060648D"/>
    <w:rsid w:val="006064B0"/>
    <w:rsid w:val="0060659D"/>
    <w:rsid w:val="006065F0"/>
    <w:rsid w:val="0060673D"/>
    <w:rsid w:val="0060676F"/>
    <w:rsid w:val="00606783"/>
    <w:rsid w:val="00606816"/>
    <w:rsid w:val="006068BD"/>
    <w:rsid w:val="00606941"/>
    <w:rsid w:val="00606950"/>
    <w:rsid w:val="00606A57"/>
    <w:rsid w:val="00606C7F"/>
    <w:rsid w:val="00606DB7"/>
    <w:rsid w:val="00606E99"/>
    <w:rsid w:val="0060704A"/>
    <w:rsid w:val="006071B6"/>
    <w:rsid w:val="006072B7"/>
    <w:rsid w:val="006073A3"/>
    <w:rsid w:val="0060743C"/>
    <w:rsid w:val="00607489"/>
    <w:rsid w:val="006075B3"/>
    <w:rsid w:val="00607728"/>
    <w:rsid w:val="00607740"/>
    <w:rsid w:val="00607763"/>
    <w:rsid w:val="00607778"/>
    <w:rsid w:val="006077D1"/>
    <w:rsid w:val="00607856"/>
    <w:rsid w:val="006078A2"/>
    <w:rsid w:val="00607A7D"/>
    <w:rsid w:val="00607B71"/>
    <w:rsid w:val="00607BFE"/>
    <w:rsid w:val="00607E08"/>
    <w:rsid w:val="00607E18"/>
    <w:rsid w:val="00610017"/>
    <w:rsid w:val="006100E6"/>
    <w:rsid w:val="006102E4"/>
    <w:rsid w:val="00610353"/>
    <w:rsid w:val="006104C3"/>
    <w:rsid w:val="006104D3"/>
    <w:rsid w:val="006107B9"/>
    <w:rsid w:val="00610843"/>
    <w:rsid w:val="00610852"/>
    <w:rsid w:val="0061097C"/>
    <w:rsid w:val="00610A8B"/>
    <w:rsid w:val="00610AD1"/>
    <w:rsid w:val="00610B9B"/>
    <w:rsid w:val="00610B9C"/>
    <w:rsid w:val="00610D30"/>
    <w:rsid w:val="00610DA6"/>
    <w:rsid w:val="00610E88"/>
    <w:rsid w:val="00611075"/>
    <w:rsid w:val="0061109B"/>
    <w:rsid w:val="006110B1"/>
    <w:rsid w:val="00611191"/>
    <w:rsid w:val="006111A5"/>
    <w:rsid w:val="006111FF"/>
    <w:rsid w:val="006112BF"/>
    <w:rsid w:val="00611338"/>
    <w:rsid w:val="006114D0"/>
    <w:rsid w:val="0061160E"/>
    <w:rsid w:val="006116BA"/>
    <w:rsid w:val="006116BB"/>
    <w:rsid w:val="00611786"/>
    <w:rsid w:val="0061187A"/>
    <w:rsid w:val="006118DF"/>
    <w:rsid w:val="006118EE"/>
    <w:rsid w:val="006119B4"/>
    <w:rsid w:val="006119E4"/>
    <w:rsid w:val="00611A6C"/>
    <w:rsid w:val="00611B05"/>
    <w:rsid w:val="00611C43"/>
    <w:rsid w:val="00611D2E"/>
    <w:rsid w:val="00611ED9"/>
    <w:rsid w:val="00611EDF"/>
    <w:rsid w:val="00611EFB"/>
    <w:rsid w:val="00611F74"/>
    <w:rsid w:val="0061205B"/>
    <w:rsid w:val="00612108"/>
    <w:rsid w:val="006121F9"/>
    <w:rsid w:val="006122E2"/>
    <w:rsid w:val="006123F5"/>
    <w:rsid w:val="0061243E"/>
    <w:rsid w:val="006124C5"/>
    <w:rsid w:val="006125E7"/>
    <w:rsid w:val="0061261D"/>
    <w:rsid w:val="00612683"/>
    <w:rsid w:val="006127CA"/>
    <w:rsid w:val="0061283F"/>
    <w:rsid w:val="006129F3"/>
    <w:rsid w:val="00612A47"/>
    <w:rsid w:val="00612BDC"/>
    <w:rsid w:val="00612CC0"/>
    <w:rsid w:val="00612D6B"/>
    <w:rsid w:val="00612DB1"/>
    <w:rsid w:val="00612FC2"/>
    <w:rsid w:val="0061303C"/>
    <w:rsid w:val="006131D1"/>
    <w:rsid w:val="00613249"/>
    <w:rsid w:val="00613299"/>
    <w:rsid w:val="006132FE"/>
    <w:rsid w:val="00613311"/>
    <w:rsid w:val="0061340C"/>
    <w:rsid w:val="0061359A"/>
    <w:rsid w:val="006135FA"/>
    <w:rsid w:val="0061378E"/>
    <w:rsid w:val="00613838"/>
    <w:rsid w:val="00613873"/>
    <w:rsid w:val="00613A17"/>
    <w:rsid w:val="00613AB2"/>
    <w:rsid w:val="00613C76"/>
    <w:rsid w:val="00613DA4"/>
    <w:rsid w:val="00613E2A"/>
    <w:rsid w:val="00613E60"/>
    <w:rsid w:val="00613F37"/>
    <w:rsid w:val="00613F75"/>
    <w:rsid w:val="00614093"/>
    <w:rsid w:val="00614136"/>
    <w:rsid w:val="006141E9"/>
    <w:rsid w:val="0061425E"/>
    <w:rsid w:val="00614358"/>
    <w:rsid w:val="0061435D"/>
    <w:rsid w:val="00614386"/>
    <w:rsid w:val="006143D3"/>
    <w:rsid w:val="0061464F"/>
    <w:rsid w:val="006146F6"/>
    <w:rsid w:val="006147C8"/>
    <w:rsid w:val="00614861"/>
    <w:rsid w:val="00614AFC"/>
    <w:rsid w:val="00614B83"/>
    <w:rsid w:val="00614C3C"/>
    <w:rsid w:val="00614C6C"/>
    <w:rsid w:val="00614CAA"/>
    <w:rsid w:val="00614CD2"/>
    <w:rsid w:val="00614CF8"/>
    <w:rsid w:val="00614D0B"/>
    <w:rsid w:val="00614E49"/>
    <w:rsid w:val="00614F0F"/>
    <w:rsid w:val="00615021"/>
    <w:rsid w:val="00615066"/>
    <w:rsid w:val="006150C7"/>
    <w:rsid w:val="006150DB"/>
    <w:rsid w:val="00615296"/>
    <w:rsid w:val="006152C6"/>
    <w:rsid w:val="006152F3"/>
    <w:rsid w:val="0061533D"/>
    <w:rsid w:val="0061543E"/>
    <w:rsid w:val="006154B6"/>
    <w:rsid w:val="006154FB"/>
    <w:rsid w:val="00615578"/>
    <w:rsid w:val="006156F5"/>
    <w:rsid w:val="0061575E"/>
    <w:rsid w:val="00615763"/>
    <w:rsid w:val="006158F6"/>
    <w:rsid w:val="00615B5B"/>
    <w:rsid w:val="00615CB3"/>
    <w:rsid w:val="00615D05"/>
    <w:rsid w:val="00615DD0"/>
    <w:rsid w:val="00615E74"/>
    <w:rsid w:val="00615F4B"/>
    <w:rsid w:val="00615FF8"/>
    <w:rsid w:val="00616225"/>
    <w:rsid w:val="006162ED"/>
    <w:rsid w:val="00616306"/>
    <w:rsid w:val="00616309"/>
    <w:rsid w:val="006164E0"/>
    <w:rsid w:val="00616538"/>
    <w:rsid w:val="006165FF"/>
    <w:rsid w:val="006166B3"/>
    <w:rsid w:val="006167D2"/>
    <w:rsid w:val="00616841"/>
    <w:rsid w:val="0061697F"/>
    <w:rsid w:val="006169A2"/>
    <w:rsid w:val="00616B56"/>
    <w:rsid w:val="00616C1E"/>
    <w:rsid w:val="00616C47"/>
    <w:rsid w:val="00616CB7"/>
    <w:rsid w:val="00616CF4"/>
    <w:rsid w:val="00616E2D"/>
    <w:rsid w:val="00616E45"/>
    <w:rsid w:val="00616EFF"/>
    <w:rsid w:val="006171EE"/>
    <w:rsid w:val="0061727B"/>
    <w:rsid w:val="006172BA"/>
    <w:rsid w:val="006173A1"/>
    <w:rsid w:val="00617436"/>
    <w:rsid w:val="006174E1"/>
    <w:rsid w:val="00617583"/>
    <w:rsid w:val="00617599"/>
    <w:rsid w:val="006179E0"/>
    <w:rsid w:val="00617A84"/>
    <w:rsid w:val="00617ADE"/>
    <w:rsid w:val="00617B43"/>
    <w:rsid w:val="00617C5A"/>
    <w:rsid w:val="00617D15"/>
    <w:rsid w:val="00617E67"/>
    <w:rsid w:val="00617E8D"/>
    <w:rsid w:val="00620075"/>
    <w:rsid w:val="0062014B"/>
    <w:rsid w:val="00620219"/>
    <w:rsid w:val="006202D9"/>
    <w:rsid w:val="00620315"/>
    <w:rsid w:val="0062057C"/>
    <w:rsid w:val="006205D2"/>
    <w:rsid w:val="006205D3"/>
    <w:rsid w:val="006206F3"/>
    <w:rsid w:val="0062071B"/>
    <w:rsid w:val="0062093B"/>
    <w:rsid w:val="00620B08"/>
    <w:rsid w:val="00620C09"/>
    <w:rsid w:val="00620CF6"/>
    <w:rsid w:val="00620DA1"/>
    <w:rsid w:val="00620EC1"/>
    <w:rsid w:val="00620ED2"/>
    <w:rsid w:val="00620F42"/>
    <w:rsid w:val="0062105C"/>
    <w:rsid w:val="00621101"/>
    <w:rsid w:val="00621132"/>
    <w:rsid w:val="00621179"/>
    <w:rsid w:val="00621244"/>
    <w:rsid w:val="0062137E"/>
    <w:rsid w:val="00621387"/>
    <w:rsid w:val="006213EC"/>
    <w:rsid w:val="00621485"/>
    <w:rsid w:val="00621572"/>
    <w:rsid w:val="006215AB"/>
    <w:rsid w:val="006215AF"/>
    <w:rsid w:val="00621878"/>
    <w:rsid w:val="006218CB"/>
    <w:rsid w:val="00621944"/>
    <w:rsid w:val="006219D0"/>
    <w:rsid w:val="00621A2C"/>
    <w:rsid w:val="00621A7C"/>
    <w:rsid w:val="00621B3A"/>
    <w:rsid w:val="00621C0A"/>
    <w:rsid w:val="00621C39"/>
    <w:rsid w:val="00621EB1"/>
    <w:rsid w:val="00621EC3"/>
    <w:rsid w:val="00621ED3"/>
    <w:rsid w:val="00621F7B"/>
    <w:rsid w:val="0062203F"/>
    <w:rsid w:val="006223F6"/>
    <w:rsid w:val="0062244E"/>
    <w:rsid w:val="00622616"/>
    <w:rsid w:val="00622648"/>
    <w:rsid w:val="006226BA"/>
    <w:rsid w:val="006226F5"/>
    <w:rsid w:val="006226F8"/>
    <w:rsid w:val="0062270F"/>
    <w:rsid w:val="00622746"/>
    <w:rsid w:val="00622758"/>
    <w:rsid w:val="006227A8"/>
    <w:rsid w:val="006227AC"/>
    <w:rsid w:val="006227C1"/>
    <w:rsid w:val="00622839"/>
    <w:rsid w:val="00622887"/>
    <w:rsid w:val="006229EE"/>
    <w:rsid w:val="00622BE4"/>
    <w:rsid w:val="00622CE0"/>
    <w:rsid w:val="00622CE4"/>
    <w:rsid w:val="00622CEF"/>
    <w:rsid w:val="00622D25"/>
    <w:rsid w:val="00622D98"/>
    <w:rsid w:val="00622EB8"/>
    <w:rsid w:val="00622F63"/>
    <w:rsid w:val="00622FEC"/>
    <w:rsid w:val="0062312F"/>
    <w:rsid w:val="0062321E"/>
    <w:rsid w:val="00623251"/>
    <w:rsid w:val="006232C4"/>
    <w:rsid w:val="0062339B"/>
    <w:rsid w:val="006233D5"/>
    <w:rsid w:val="006235E1"/>
    <w:rsid w:val="00623607"/>
    <w:rsid w:val="00623676"/>
    <w:rsid w:val="0062370E"/>
    <w:rsid w:val="0062376F"/>
    <w:rsid w:val="00623AD8"/>
    <w:rsid w:val="00623C09"/>
    <w:rsid w:val="00623DDD"/>
    <w:rsid w:val="00623ECC"/>
    <w:rsid w:val="00623FE9"/>
    <w:rsid w:val="0062407B"/>
    <w:rsid w:val="0062414A"/>
    <w:rsid w:val="006241A0"/>
    <w:rsid w:val="00624257"/>
    <w:rsid w:val="0062427E"/>
    <w:rsid w:val="006243FB"/>
    <w:rsid w:val="00624439"/>
    <w:rsid w:val="00624483"/>
    <w:rsid w:val="006244F5"/>
    <w:rsid w:val="006244F8"/>
    <w:rsid w:val="0062450B"/>
    <w:rsid w:val="006245B7"/>
    <w:rsid w:val="00624779"/>
    <w:rsid w:val="006247E5"/>
    <w:rsid w:val="00624822"/>
    <w:rsid w:val="0062482E"/>
    <w:rsid w:val="0062483E"/>
    <w:rsid w:val="00624940"/>
    <w:rsid w:val="00624A98"/>
    <w:rsid w:val="00624AD1"/>
    <w:rsid w:val="00624B31"/>
    <w:rsid w:val="00624CE6"/>
    <w:rsid w:val="00624D4D"/>
    <w:rsid w:val="00624DF1"/>
    <w:rsid w:val="00624E41"/>
    <w:rsid w:val="00624EA9"/>
    <w:rsid w:val="00625058"/>
    <w:rsid w:val="0062508D"/>
    <w:rsid w:val="00625154"/>
    <w:rsid w:val="006252D6"/>
    <w:rsid w:val="006252D9"/>
    <w:rsid w:val="0062531F"/>
    <w:rsid w:val="0062535A"/>
    <w:rsid w:val="006253B7"/>
    <w:rsid w:val="00625463"/>
    <w:rsid w:val="006255E9"/>
    <w:rsid w:val="0062560A"/>
    <w:rsid w:val="006256CA"/>
    <w:rsid w:val="006258A3"/>
    <w:rsid w:val="00625978"/>
    <w:rsid w:val="00625A2A"/>
    <w:rsid w:val="00625A57"/>
    <w:rsid w:val="00625B60"/>
    <w:rsid w:val="00625C77"/>
    <w:rsid w:val="00625EC0"/>
    <w:rsid w:val="00625F89"/>
    <w:rsid w:val="006261FC"/>
    <w:rsid w:val="00626294"/>
    <w:rsid w:val="0062630D"/>
    <w:rsid w:val="00626338"/>
    <w:rsid w:val="006263E4"/>
    <w:rsid w:val="006263E6"/>
    <w:rsid w:val="00626483"/>
    <w:rsid w:val="006264B8"/>
    <w:rsid w:val="006267D6"/>
    <w:rsid w:val="00626957"/>
    <w:rsid w:val="00626A13"/>
    <w:rsid w:val="00626BC2"/>
    <w:rsid w:val="00626CA1"/>
    <w:rsid w:val="00626CAA"/>
    <w:rsid w:val="00626CC2"/>
    <w:rsid w:val="00626DCD"/>
    <w:rsid w:val="00626DE7"/>
    <w:rsid w:val="00626DFD"/>
    <w:rsid w:val="00626F2B"/>
    <w:rsid w:val="00626FE4"/>
    <w:rsid w:val="00627035"/>
    <w:rsid w:val="00627042"/>
    <w:rsid w:val="006270D9"/>
    <w:rsid w:val="006270DB"/>
    <w:rsid w:val="006271BE"/>
    <w:rsid w:val="006272B9"/>
    <w:rsid w:val="006272C5"/>
    <w:rsid w:val="00627307"/>
    <w:rsid w:val="006275A2"/>
    <w:rsid w:val="0062769B"/>
    <w:rsid w:val="0062784C"/>
    <w:rsid w:val="00627883"/>
    <w:rsid w:val="00627B28"/>
    <w:rsid w:val="00627C96"/>
    <w:rsid w:val="00627D7A"/>
    <w:rsid w:val="00627DF9"/>
    <w:rsid w:val="00627EB1"/>
    <w:rsid w:val="00627ED5"/>
    <w:rsid w:val="00627F1A"/>
    <w:rsid w:val="00627FD3"/>
    <w:rsid w:val="00630178"/>
    <w:rsid w:val="006302D5"/>
    <w:rsid w:val="00630328"/>
    <w:rsid w:val="00630361"/>
    <w:rsid w:val="006303B7"/>
    <w:rsid w:val="006303D3"/>
    <w:rsid w:val="0063040D"/>
    <w:rsid w:val="0063045B"/>
    <w:rsid w:val="006304E9"/>
    <w:rsid w:val="00630515"/>
    <w:rsid w:val="0063053B"/>
    <w:rsid w:val="00630665"/>
    <w:rsid w:val="006306EA"/>
    <w:rsid w:val="00630736"/>
    <w:rsid w:val="00630862"/>
    <w:rsid w:val="00630898"/>
    <w:rsid w:val="00630A7B"/>
    <w:rsid w:val="00630B98"/>
    <w:rsid w:val="00630BD6"/>
    <w:rsid w:val="00630D04"/>
    <w:rsid w:val="00630DDF"/>
    <w:rsid w:val="00630E1B"/>
    <w:rsid w:val="00630E70"/>
    <w:rsid w:val="00630EE7"/>
    <w:rsid w:val="00630F70"/>
    <w:rsid w:val="00631047"/>
    <w:rsid w:val="00631361"/>
    <w:rsid w:val="0063138C"/>
    <w:rsid w:val="00631475"/>
    <w:rsid w:val="0063152E"/>
    <w:rsid w:val="00631540"/>
    <w:rsid w:val="006315BA"/>
    <w:rsid w:val="0063165E"/>
    <w:rsid w:val="006316A1"/>
    <w:rsid w:val="006316C3"/>
    <w:rsid w:val="00631812"/>
    <w:rsid w:val="006318EE"/>
    <w:rsid w:val="00631940"/>
    <w:rsid w:val="006319E4"/>
    <w:rsid w:val="00631A46"/>
    <w:rsid w:val="00631A6E"/>
    <w:rsid w:val="00631C07"/>
    <w:rsid w:val="00631D1F"/>
    <w:rsid w:val="00631D29"/>
    <w:rsid w:val="00631E3D"/>
    <w:rsid w:val="00631E4D"/>
    <w:rsid w:val="00631EA5"/>
    <w:rsid w:val="00631EE7"/>
    <w:rsid w:val="0063208E"/>
    <w:rsid w:val="006320B0"/>
    <w:rsid w:val="006321F8"/>
    <w:rsid w:val="0063244C"/>
    <w:rsid w:val="00632461"/>
    <w:rsid w:val="006326B2"/>
    <w:rsid w:val="00632738"/>
    <w:rsid w:val="0063281E"/>
    <w:rsid w:val="006329B7"/>
    <w:rsid w:val="006329C3"/>
    <w:rsid w:val="00632B1F"/>
    <w:rsid w:val="00632B4A"/>
    <w:rsid w:val="00632CC5"/>
    <w:rsid w:val="00632D11"/>
    <w:rsid w:val="00632D96"/>
    <w:rsid w:val="00632E32"/>
    <w:rsid w:val="00632E85"/>
    <w:rsid w:val="00632FA5"/>
    <w:rsid w:val="00633179"/>
    <w:rsid w:val="00633198"/>
    <w:rsid w:val="0063328B"/>
    <w:rsid w:val="006332F6"/>
    <w:rsid w:val="00633423"/>
    <w:rsid w:val="00633509"/>
    <w:rsid w:val="00633539"/>
    <w:rsid w:val="0063377B"/>
    <w:rsid w:val="00633794"/>
    <w:rsid w:val="006337DA"/>
    <w:rsid w:val="00633A32"/>
    <w:rsid w:val="00633AB2"/>
    <w:rsid w:val="00633F06"/>
    <w:rsid w:val="00633FB5"/>
    <w:rsid w:val="0063402C"/>
    <w:rsid w:val="00634099"/>
    <w:rsid w:val="0063409F"/>
    <w:rsid w:val="006340DF"/>
    <w:rsid w:val="006342D0"/>
    <w:rsid w:val="00634461"/>
    <w:rsid w:val="0063448B"/>
    <w:rsid w:val="006344F3"/>
    <w:rsid w:val="006344FA"/>
    <w:rsid w:val="00634559"/>
    <w:rsid w:val="006345AF"/>
    <w:rsid w:val="00634633"/>
    <w:rsid w:val="0063484B"/>
    <w:rsid w:val="006348D7"/>
    <w:rsid w:val="006348EC"/>
    <w:rsid w:val="0063495B"/>
    <w:rsid w:val="00634A03"/>
    <w:rsid w:val="00634A4F"/>
    <w:rsid w:val="00634B16"/>
    <w:rsid w:val="00634B8F"/>
    <w:rsid w:val="00634BB6"/>
    <w:rsid w:val="00634C24"/>
    <w:rsid w:val="00634C6B"/>
    <w:rsid w:val="00634C98"/>
    <w:rsid w:val="00634E37"/>
    <w:rsid w:val="00634E67"/>
    <w:rsid w:val="00634E6E"/>
    <w:rsid w:val="00634EEE"/>
    <w:rsid w:val="00634FD7"/>
    <w:rsid w:val="006350A0"/>
    <w:rsid w:val="00635403"/>
    <w:rsid w:val="0063541F"/>
    <w:rsid w:val="0063543F"/>
    <w:rsid w:val="00635543"/>
    <w:rsid w:val="0063572B"/>
    <w:rsid w:val="00635770"/>
    <w:rsid w:val="006357FD"/>
    <w:rsid w:val="006358DC"/>
    <w:rsid w:val="0063593F"/>
    <w:rsid w:val="006359D3"/>
    <w:rsid w:val="00635A2F"/>
    <w:rsid w:val="00635B11"/>
    <w:rsid w:val="00635C6A"/>
    <w:rsid w:val="00635D94"/>
    <w:rsid w:val="00635DB2"/>
    <w:rsid w:val="00635DC1"/>
    <w:rsid w:val="00635DD6"/>
    <w:rsid w:val="00635E74"/>
    <w:rsid w:val="00635EC9"/>
    <w:rsid w:val="00635F7A"/>
    <w:rsid w:val="00636206"/>
    <w:rsid w:val="0063624D"/>
    <w:rsid w:val="006362B8"/>
    <w:rsid w:val="00636364"/>
    <w:rsid w:val="00636397"/>
    <w:rsid w:val="006364A3"/>
    <w:rsid w:val="006364FE"/>
    <w:rsid w:val="006365F0"/>
    <w:rsid w:val="00636746"/>
    <w:rsid w:val="00636818"/>
    <w:rsid w:val="0063691E"/>
    <w:rsid w:val="00636ABC"/>
    <w:rsid w:val="00636B42"/>
    <w:rsid w:val="00636D3A"/>
    <w:rsid w:val="00636D93"/>
    <w:rsid w:val="00636ED3"/>
    <w:rsid w:val="006370A5"/>
    <w:rsid w:val="0063726B"/>
    <w:rsid w:val="006372F1"/>
    <w:rsid w:val="00637302"/>
    <w:rsid w:val="0063736E"/>
    <w:rsid w:val="006373DA"/>
    <w:rsid w:val="00637429"/>
    <w:rsid w:val="006374E7"/>
    <w:rsid w:val="006374FD"/>
    <w:rsid w:val="00637556"/>
    <w:rsid w:val="0063760B"/>
    <w:rsid w:val="006376E0"/>
    <w:rsid w:val="0063784D"/>
    <w:rsid w:val="0063786B"/>
    <w:rsid w:val="006378C5"/>
    <w:rsid w:val="006379F9"/>
    <w:rsid w:val="00637C34"/>
    <w:rsid w:val="00637D1C"/>
    <w:rsid w:val="00637D92"/>
    <w:rsid w:val="00637DA1"/>
    <w:rsid w:val="00637DCB"/>
    <w:rsid w:val="00637F34"/>
    <w:rsid w:val="00640080"/>
    <w:rsid w:val="00640125"/>
    <w:rsid w:val="006401B7"/>
    <w:rsid w:val="0064028E"/>
    <w:rsid w:val="006402B1"/>
    <w:rsid w:val="006403AC"/>
    <w:rsid w:val="006403F5"/>
    <w:rsid w:val="006404E2"/>
    <w:rsid w:val="00640514"/>
    <w:rsid w:val="0064067A"/>
    <w:rsid w:val="006406EA"/>
    <w:rsid w:val="0064071A"/>
    <w:rsid w:val="0064077D"/>
    <w:rsid w:val="0064097D"/>
    <w:rsid w:val="00640993"/>
    <w:rsid w:val="00640C33"/>
    <w:rsid w:val="00640D6A"/>
    <w:rsid w:val="00640D7E"/>
    <w:rsid w:val="00640DC6"/>
    <w:rsid w:val="00640EE8"/>
    <w:rsid w:val="00640F0E"/>
    <w:rsid w:val="00640F2C"/>
    <w:rsid w:val="0064106C"/>
    <w:rsid w:val="0064114F"/>
    <w:rsid w:val="0064127E"/>
    <w:rsid w:val="006412F9"/>
    <w:rsid w:val="00641390"/>
    <w:rsid w:val="006413AC"/>
    <w:rsid w:val="0064148E"/>
    <w:rsid w:val="0064153C"/>
    <w:rsid w:val="0064169C"/>
    <w:rsid w:val="006417AE"/>
    <w:rsid w:val="006417E0"/>
    <w:rsid w:val="006417E8"/>
    <w:rsid w:val="006418AE"/>
    <w:rsid w:val="006418B0"/>
    <w:rsid w:val="00641946"/>
    <w:rsid w:val="00641B05"/>
    <w:rsid w:val="00641B3F"/>
    <w:rsid w:val="00641D8E"/>
    <w:rsid w:val="00641E0B"/>
    <w:rsid w:val="00641F80"/>
    <w:rsid w:val="00641F9C"/>
    <w:rsid w:val="00641FD7"/>
    <w:rsid w:val="006421F5"/>
    <w:rsid w:val="006422B2"/>
    <w:rsid w:val="006422CA"/>
    <w:rsid w:val="006424C3"/>
    <w:rsid w:val="006424EB"/>
    <w:rsid w:val="00642543"/>
    <w:rsid w:val="0064257B"/>
    <w:rsid w:val="00642582"/>
    <w:rsid w:val="00642661"/>
    <w:rsid w:val="0064269E"/>
    <w:rsid w:val="006426B4"/>
    <w:rsid w:val="00642788"/>
    <w:rsid w:val="006427E4"/>
    <w:rsid w:val="0064289F"/>
    <w:rsid w:val="00642937"/>
    <w:rsid w:val="0064293B"/>
    <w:rsid w:val="00642A85"/>
    <w:rsid w:val="00642BDB"/>
    <w:rsid w:val="00642BF5"/>
    <w:rsid w:val="00642CA0"/>
    <w:rsid w:val="00642CAB"/>
    <w:rsid w:val="00642DEE"/>
    <w:rsid w:val="00642E93"/>
    <w:rsid w:val="0064311F"/>
    <w:rsid w:val="00643260"/>
    <w:rsid w:val="006432F6"/>
    <w:rsid w:val="00643341"/>
    <w:rsid w:val="0064346B"/>
    <w:rsid w:val="0064352F"/>
    <w:rsid w:val="00643535"/>
    <w:rsid w:val="00643561"/>
    <w:rsid w:val="006435D3"/>
    <w:rsid w:val="00643725"/>
    <w:rsid w:val="00643A70"/>
    <w:rsid w:val="00643A7D"/>
    <w:rsid w:val="00643B4C"/>
    <w:rsid w:val="00643B7F"/>
    <w:rsid w:val="00643C08"/>
    <w:rsid w:val="00643C2D"/>
    <w:rsid w:val="00643CE7"/>
    <w:rsid w:val="00643DDC"/>
    <w:rsid w:val="00644197"/>
    <w:rsid w:val="00644407"/>
    <w:rsid w:val="00644546"/>
    <w:rsid w:val="00644620"/>
    <w:rsid w:val="0064462D"/>
    <w:rsid w:val="006449D4"/>
    <w:rsid w:val="00644A2E"/>
    <w:rsid w:val="00644AEC"/>
    <w:rsid w:val="00644B7D"/>
    <w:rsid w:val="00644B91"/>
    <w:rsid w:val="00644BA9"/>
    <w:rsid w:val="00644C1C"/>
    <w:rsid w:val="00644CF0"/>
    <w:rsid w:val="00644D29"/>
    <w:rsid w:val="00644D3E"/>
    <w:rsid w:val="00644DF3"/>
    <w:rsid w:val="00644F74"/>
    <w:rsid w:val="0064506B"/>
    <w:rsid w:val="00645128"/>
    <w:rsid w:val="0064528A"/>
    <w:rsid w:val="0064536C"/>
    <w:rsid w:val="006453D6"/>
    <w:rsid w:val="006453E1"/>
    <w:rsid w:val="00645480"/>
    <w:rsid w:val="00645485"/>
    <w:rsid w:val="00645595"/>
    <w:rsid w:val="006455A5"/>
    <w:rsid w:val="006455EE"/>
    <w:rsid w:val="00645688"/>
    <w:rsid w:val="006456C8"/>
    <w:rsid w:val="006458C7"/>
    <w:rsid w:val="0064597E"/>
    <w:rsid w:val="00645A09"/>
    <w:rsid w:val="00645A5C"/>
    <w:rsid w:val="00645A8C"/>
    <w:rsid w:val="00645B14"/>
    <w:rsid w:val="00645B59"/>
    <w:rsid w:val="00645BFF"/>
    <w:rsid w:val="00645CFB"/>
    <w:rsid w:val="00645E96"/>
    <w:rsid w:val="00645EB3"/>
    <w:rsid w:val="00645F48"/>
    <w:rsid w:val="00645FBD"/>
    <w:rsid w:val="00645FC2"/>
    <w:rsid w:val="00645FE6"/>
    <w:rsid w:val="00646009"/>
    <w:rsid w:val="006460C8"/>
    <w:rsid w:val="006462F1"/>
    <w:rsid w:val="00646470"/>
    <w:rsid w:val="00646488"/>
    <w:rsid w:val="00646490"/>
    <w:rsid w:val="006464FC"/>
    <w:rsid w:val="00646697"/>
    <w:rsid w:val="00646831"/>
    <w:rsid w:val="006469B3"/>
    <w:rsid w:val="006469C9"/>
    <w:rsid w:val="00646AB0"/>
    <w:rsid w:val="00646B73"/>
    <w:rsid w:val="00646B7C"/>
    <w:rsid w:val="00646C33"/>
    <w:rsid w:val="00646D91"/>
    <w:rsid w:val="00646EDC"/>
    <w:rsid w:val="00646F03"/>
    <w:rsid w:val="00646F4F"/>
    <w:rsid w:val="00646F86"/>
    <w:rsid w:val="006471A9"/>
    <w:rsid w:val="0064735E"/>
    <w:rsid w:val="00647366"/>
    <w:rsid w:val="006474DE"/>
    <w:rsid w:val="00647630"/>
    <w:rsid w:val="006476C3"/>
    <w:rsid w:val="006476D1"/>
    <w:rsid w:val="006476EA"/>
    <w:rsid w:val="0064771E"/>
    <w:rsid w:val="00647725"/>
    <w:rsid w:val="00647910"/>
    <w:rsid w:val="006479A2"/>
    <w:rsid w:val="006479B1"/>
    <w:rsid w:val="00647A8B"/>
    <w:rsid w:val="00647B3F"/>
    <w:rsid w:val="00647BF9"/>
    <w:rsid w:val="00647C3E"/>
    <w:rsid w:val="00647DCF"/>
    <w:rsid w:val="00647E85"/>
    <w:rsid w:val="00647F8B"/>
    <w:rsid w:val="00647FB1"/>
    <w:rsid w:val="00650016"/>
    <w:rsid w:val="00650231"/>
    <w:rsid w:val="00650290"/>
    <w:rsid w:val="0065034E"/>
    <w:rsid w:val="0065042E"/>
    <w:rsid w:val="006504B0"/>
    <w:rsid w:val="006504B4"/>
    <w:rsid w:val="0065070B"/>
    <w:rsid w:val="00650793"/>
    <w:rsid w:val="00650801"/>
    <w:rsid w:val="00650846"/>
    <w:rsid w:val="006508C5"/>
    <w:rsid w:val="0065099B"/>
    <w:rsid w:val="006509A0"/>
    <w:rsid w:val="00650AB6"/>
    <w:rsid w:val="00650B04"/>
    <w:rsid w:val="00650B08"/>
    <w:rsid w:val="00650DF9"/>
    <w:rsid w:val="00650E00"/>
    <w:rsid w:val="00650E84"/>
    <w:rsid w:val="00650EE2"/>
    <w:rsid w:val="00650F4B"/>
    <w:rsid w:val="00650F9B"/>
    <w:rsid w:val="00651060"/>
    <w:rsid w:val="006510AC"/>
    <w:rsid w:val="00651114"/>
    <w:rsid w:val="00651245"/>
    <w:rsid w:val="006514F7"/>
    <w:rsid w:val="006515DE"/>
    <w:rsid w:val="006515F0"/>
    <w:rsid w:val="0065162F"/>
    <w:rsid w:val="0065163D"/>
    <w:rsid w:val="00651794"/>
    <w:rsid w:val="00651AD7"/>
    <w:rsid w:val="00651AF4"/>
    <w:rsid w:val="00651B5F"/>
    <w:rsid w:val="00651C11"/>
    <w:rsid w:val="00651C2C"/>
    <w:rsid w:val="00651C39"/>
    <w:rsid w:val="00651D51"/>
    <w:rsid w:val="00651DEA"/>
    <w:rsid w:val="00651EEB"/>
    <w:rsid w:val="00651F13"/>
    <w:rsid w:val="00651FB8"/>
    <w:rsid w:val="00652056"/>
    <w:rsid w:val="00652514"/>
    <w:rsid w:val="00652515"/>
    <w:rsid w:val="00652627"/>
    <w:rsid w:val="00652737"/>
    <w:rsid w:val="0065285B"/>
    <w:rsid w:val="0065294C"/>
    <w:rsid w:val="006529D1"/>
    <w:rsid w:val="006529E7"/>
    <w:rsid w:val="00652A1C"/>
    <w:rsid w:val="00652A22"/>
    <w:rsid w:val="00652AAE"/>
    <w:rsid w:val="00652BD5"/>
    <w:rsid w:val="00652BDF"/>
    <w:rsid w:val="00652C8A"/>
    <w:rsid w:val="00652DC4"/>
    <w:rsid w:val="00652F05"/>
    <w:rsid w:val="00652F93"/>
    <w:rsid w:val="00652FAA"/>
    <w:rsid w:val="00653096"/>
    <w:rsid w:val="006530A1"/>
    <w:rsid w:val="006530F6"/>
    <w:rsid w:val="00653270"/>
    <w:rsid w:val="006534A9"/>
    <w:rsid w:val="006534BC"/>
    <w:rsid w:val="0065351E"/>
    <w:rsid w:val="00653A44"/>
    <w:rsid w:val="00653A8B"/>
    <w:rsid w:val="00653AD5"/>
    <w:rsid w:val="00653DAC"/>
    <w:rsid w:val="00653EF5"/>
    <w:rsid w:val="00653F10"/>
    <w:rsid w:val="00653F3A"/>
    <w:rsid w:val="00653F91"/>
    <w:rsid w:val="00653FA8"/>
    <w:rsid w:val="0065417B"/>
    <w:rsid w:val="0065434E"/>
    <w:rsid w:val="0065455D"/>
    <w:rsid w:val="006545D6"/>
    <w:rsid w:val="006546C5"/>
    <w:rsid w:val="00654764"/>
    <w:rsid w:val="0065482B"/>
    <w:rsid w:val="0065492D"/>
    <w:rsid w:val="00654933"/>
    <w:rsid w:val="00654A16"/>
    <w:rsid w:val="00654A48"/>
    <w:rsid w:val="00654B47"/>
    <w:rsid w:val="00654BDD"/>
    <w:rsid w:val="00654BEA"/>
    <w:rsid w:val="00654C4A"/>
    <w:rsid w:val="00654D1F"/>
    <w:rsid w:val="00654DF0"/>
    <w:rsid w:val="00654F14"/>
    <w:rsid w:val="00654FD0"/>
    <w:rsid w:val="00655068"/>
    <w:rsid w:val="006550FD"/>
    <w:rsid w:val="0065521D"/>
    <w:rsid w:val="00655245"/>
    <w:rsid w:val="006552E9"/>
    <w:rsid w:val="0065548D"/>
    <w:rsid w:val="00655546"/>
    <w:rsid w:val="006555E2"/>
    <w:rsid w:val="0065573F"/>
    <w:rsid w:val="0065582C"/>
    <w:rsid w:val="006559FE"/>
    <w:rsid w:val="00655A52"/>
    <w:rsid w:val="00655BA7"/>
    <w:rsid w:val="00655BF1"/>
    <w:rsid w:val="00655C78"/>
    <w:rsid w:val="00655CA0"/>
    <w:rsid w:val="00655E31"/>
    <w:rsid w:val="00655E3D"/>
    <w:rsid w:val="00655EE7"/>
    <w:rsid w:val="00655F04"/>
    <w:rsid w:val="00656142"/>
    <w:rsid w:val="0065620F"/>
    <w:rsid w:val="00656290"/>
    <w:rsid w:val="00656392"/>
    <w:rsid w:val="006563FE"/>
    <w:rsid w:val="00656446"/>
    <w:rsid w:val="00656486"/>
    <w:rsid w:val="0065651D"/>
    <w:rsid w:val="00656522"/>
    <w:rsid w:val="006565DA"/>
    <w:rsid w:val="0065693E"/>
    <w:rsid w:val="00656C1E"/>
    <w:rsid w:val="00656CAD"/>
    <w:rsid w:val="00656D11"/>
    <w:rsid w:val="00656DED"/>
    <w:rsid w:val="00656EF7"/>
    <w:rsid w:val="006570A2"/>
    <w:rsid w:val="006570EC"/>
    <w:rsid w:val="006571EA"/>
    <w:rsid w:val="0065720A"/>
    <w:rsid w:val="0065752A"/>
    <w:rsid w:val="00657538"/>
    <w:rsid w:val="0065755B"/>
    <w:rsid w:val="006577DC"/>
    <w:rsid w:val="00657808"/>
    <w:rsid w:val="00657875"/>
    <w:rsid w:val="0065787D"/>
    <w:rsid w:val="0065798D"/>
    <w:rsid w:val="006579A4"/>
    <w:rsid w:val="006579B3"/>
    <w:rsid w:val="006579B8"/>
    <w:rsid w:val="006579D3"/>
    <w:rsid w:val="00657A0B"/>
    <w:rsid w:val="00657A29"/>
    <w:rsid w:val="00657A44"/>
    <w:rsid w:val="00657B07"/>
    <w:rsid w:val="00657D36"/>
    <w:rsid w:val="00657D98"/>
    <w:rsid w:val="00657DB9"/>
    <w:rsid w:val="00657DCD"/>
    <w:rsid w:val="00657E27"/>
    <w:rsid w:val="00657E3B"/>
    <w:rsid w:val="00657FAA"/>
    <w:rsid w:val="00660008"/>
    <w:rsid w:val="006600E9"/>
    <w:rsid w:val="0066014D"/>
    <w:rsid w:val="006602B9"/>
    <w:rsid w:val="0066030B"/>
    <w:rsid w:val="00660335"/>
    <w:rsid w:val="0066056D"/>
    <w:rsid w:val="00660839"/>
    <w:rsid w:val="006608EC"/>
    <w:rsid w:val="006609E4"/>
    <w:rsid w:val="00660BFA"/>
    <w:rsid w:val="00660C62"/>
    <w:rsid w:val="00660D97"/>
    <w:rsid w:val="00660DF7"/>
    <w:rsid w:val="00660F58"/>
    <w:rsid w:val="00660FA3"/>
    <w:rsid w:val="006611F1"/>
    <w:rsid w:val="00661273"/>
    <w:rsid w:val="006612A2"/>
    <w:rsid w:val="006612D9"/>
    <w:rsid w:val="0066138C"/>
    <w:rsid w:val="006613D7"/>
    <w:rsid w:val="00661415"/>
    <w:rsid w:val="00661431"/>
    <w:rsid w:val="0066145E"/>
    <w:rsid w:val="00661592"/>
    <w:rsid w:val="006615B6"/>
    <w:rsid w:val="00661733"/>
    <w:rsid w:val="006617AA"/>
    <w:rsid w:val="006617E4"/>
    <w:rsid w:val="0066197F"/>
    <w:rsid w:val="00661A08"/>
    <w:rsid w:val="00661B3C"/>
    <w:rsid w:val="00661BB5"/>
    <w:rsid w:val="00661CD0"/>
    <w:rsid w:val="00661CED"/>
    <w:rsid w:val="00661E77"/>
    <w:rsid w:val="00661F97"/>
    <w:rsid w:val="006620FD"/>
    <w:rsid w:val="0066218F"/>
    <w:rsid w:val="006622A4"/>
    <w:rsid w:val="00662346"/>
    <w:rsid w:val="0066258D"/>
    <w:rsid w:val="0066275F"/>
    <w:rsid w:val="006627CE"/>
    <w:rsid w:val="00662823"/>
    <w:rsid w:val="0066290B"/>
    <w:rsid w:val="00662962"/>
    <w:rsid w:val="00662C9A"/>
    <w:rsid w:val="00662CC0"/>
    <w:rsid w:val="00662D65"/>
    <w:rsid w:val="00662D7F"/>
    <w:rsid w:val="00662F17"/>
    <w:rsid w:val="006630C6"/>
    <w:rsid w:val="00663305"/>
    <w:rsid w:val="00663311"/>
    <w:rsid w:val="00663344"/>
    <w:rsid w:val="00663357"/>
    <w:rsid w:val="006633FA"/>
    <w:rsid w:val="00663468"/>
    <w:rsid w:val="006634E5"/>
    <w:rsid w:val="006635E8"/>
    <w:rsid w:val="00663620"/>
    <w:rsid w:val="0066367B"/>
    <w:rsid w:val="0066372E"/>
    <w:rsid w:val="00663750"/>
    <w:rsid w:val="006637CC"/>
    <w:rsid w:val="00663864"/>
    <w:rsid w:val="00663B6C"/>
    <w:rsid w:val="00663BFF"/>
    <w:rsid w:val="00663D0E"/>
    <w:rsid w:val="00663E25"/>
    <w:rsid w:val="00663E71"/>
    <w:rsid w:val="00663E89"/>
    <w:rsid w:val="00663EE0"/>
    <w:rsid w:val="00664106"/>
    <w:rsid w:val="0066435A"/>
    <w:rsid w:val="006643A6"/>
    <w:rsid w:val="00664478"/>
    <w:rsid w:val="00664482"/>
    <w:rsid w:val="0066449D"/>
    <w:rsid w:val="006644E6"/>
    <w:rsid w:val="00664547"/>
    <w:rsid w:val="00664679"/>
    <w:rsid w:val="00664783"/>
    <w:rsid w:val="0066480F"/>
    <w:rsid w:val="00664891"/>
    <w:rsid w:val="0066493E"/>
    <w:rsid w:val="0066498F"/>
    <w:rsid w:val="006649E3"/>
    <w:rsid w:val="006649FD"/>
    <w:rsid w:val="00664A68"/>
    <w:rsid w:val="00664CF4"/>
    <w:rsid w:val="00664D55"/>
    <w:rsid w:val="00664DF8"/>
    <w:rsid w:val="00664F3E"/>
    <w:rsid w:val="00665015"/>
    <w:rsid w:val="0066506D"/>
    <w:rsid w:val="006652B7"/>
    <w:rsid w:val="0066535C"/>
    <w:rsid w:val="006656D1"/>
    <w:rsid w:val="006658A5"/>
    <w:rsid w:val="0066592A"/>
    <w:rsid w:val="00665A39"/>
    <w:rsid w:val="00665A73"/>
    <w:rsid w:val="00665B8C"/>
    <w:rsid w:val="00665BF2"/>
    <w:rsid w:val="00665D66"/>
    <w:rsid w:val="00665DEE"/>
    <w:rsid w:val="00665E2F"/>
    <w:rsid w:val="00665E6D"/>
    <w:rsid w:val="00665EE8"/>
    <w:rsid w:val="00665F18"/>
    <w:rsid w:val="00666050"/>
    <w:rsid w:val="0066605B"/>
    <w:rsid w:val="0066608E"/>
    <w:rsid w:val="00666090"/>
    <w:rsid w:val="006660A6"/>
    <w:rsid w:val="006660FB"/>
    <w:rsid w:val="0066613D"/>
    <w:rsid w:val="006661C4"/>
    <w:rsid w:val="00666327"/>
    <w:rsid w:val="00666328"/>
    <w:rsid w:val="0066633C"/>
    <w:rsid w:val="0066642A"/>
    <w:rsid w:val="006664E1"/>
    <w:rsid w:val="00666569"/>
    <w:rsid w:val="00666600"/>
    <w:rsid w:val="00666710"/>
    <w:rsid w:val="00666821"/>
    <w:rsid w:val="00666949"/>
    <w:rsid w:val="006669C8"/>
    <w:rsid w:val="006669E0"/>
    <w:rsid w:val="00666C5E"/>
    <w:rsid w:val="00666DED"/>
    <w:rsid w:val="00666E6E"/>
    <w:rsid w:val="00666E87"/>
    <w:rsid w:val="00666FBD"/>
    <w:rsid w:val="00667008"/>
    <w:rsid w:val="00667209"/>
    <w:rsid w:val="00667211"/>
    <w:rsid w:val="006673BD"/>
    <w:rsid w:val="00667431"/>
    <w:rsid w:val="006675C9"/>
    <w:rsid w:val="00667626"/>
    <w:rsid w:val="00667697"/>
    <w:rsid w:val="0066784C"/>
    <w:rsid w:val="00667862"/>
    <w:rsid w:val="006678E4"/>
    <w:rsid w:val="00667942"/>
    <w:rsid w:val="00667961"/>
    <w:rsid w:val="00667994"/>
    <w:rsid w:val="00667A4E"/>
    <w:rsid w:val="00667AF0"/>
    <w:rsid w:val="00667B50"/>
    <w:rsid w:val="00667BEE"/>
    <w:rsid w:val="00667CEE"/>
    <w:rsid w:val="00667D5D"/>
    <w:rsid w:val="00667DD3"/>
    <w:rsid w:val="00667F98"/>
    <w:rsid w:val="00667FED"/>
    <w:rsid w:val="0067002E"/>
    <w:rsid w:val="00670085"/>
    <w:rsid w:val="006701D7"/>
    <w:rsid w:val="00670336"/>
    <w:rsid w:val="00670452"/>
    <w:rsid w:val="0067047F"/>
    <w:rsid w:val="0067050A"/>
    <w:rsid w:val="0067051D"/>
    <w:rsid w:val="0067054E"/>
    <w:rsid w:val="00670630"/>
    <w:rsid w:val="0067075A"/>
    <w:rsid w:val="006708C2"/>
    <w:rsid w:val="00670A27"/>
    <w:rsid w:val="00670EAE"/>
    <w:rsid w:val="00670F43"/>
    <w:rsid w:val="00670F9F"/>
    <w:rsid w:val="00671029"/>
    <w:rsid w:val="0067102C"/>
    <w:rsid w:val="00671092"/>
    <w:rsid w:val="006712F5"/>
    <w:rsid w:val="0067152B"/>
    <w:rsid w:val="006715EB"/>
    <w:rsid w:val="0067163B"/>
    <w:rsid w:val="00671863"/>
    <w:rsid w:val="00671882"/>
    <w:rsid w:val="0067197E"/>
    <w:rsid w:val="006719E6"/>
    <w:rsid w:val="00671B92"/>
    <w:rsid w:val="00671BA0"/>
    <w:rsid w:val="00671D48"/>
    <w:rsid w:val="00671FF8"/>
    <w:rsid w:val="00672080"/>
    <w:rsid w:val="0067209E"/>
    <w:rsid w:val="00672161"/>
    <w:rsid w:val="006721B5"/>
    <w:rsid w:val="006721C5"/>
    <w:rsid w:val="006725DC"/>
    <w:rsid w:val="00672606"/>
    <w:rsid w:val="006727BA"/>
    <w:rsid w:val="00672816"/>
    <w:rsid w:val="006728F2"/>
    <w:rsid w:val="00672AAE"/>
    <w:rsid w:val="00672AD6"/>
    <w:rsid w:val="00672B5B"/>
    <w:rsid w:val="00672BE7"/>
    <w:rsid w:val="00672D7D"/>
    <w:rsid w:val="00672D89"/>
    <w:rsid w:val="00672DBC"/>
    <w:rsid w:val="006730BC"/>
    <w:rsid w:val="006730ED"/>
    <w:rsid w:val="006730F0"/>
    <w:rsid w:val="0067311D"/>
    <w:rsid w:val="00673139"/>
    <w:rsid w:val="0067319B"/>
    <w:rsid w:val="006731E7"/>
    <w:rsid w:val="006732EC"/>
    <w:rsid w:val="0067360B"/>
    <w:rsid w:val="00673692"/>
    <w:rsid w:val="006736CF"/>
    <w:rsid w:val="0067373B"/>
    <w:rsid w:val="00673C91"/>
    <w:rsid w:val="00673D9A"/>
    <w:rsid w:val="00673E97"/>
    <w:rsid w:val="00673EB1"/>
    <w:rsid w:val="00673EBF"/>
    <w:rsid w:val="00673FCF"/>
    <w:rsid w:val="00674137"/>
    <w:rsid w:val="00674155"/>
    <w:rsid w:val="006741A8"/>
    <w:rsid w:val="00674255"/>
    <w:rsid w:val="00674332"/>
    <w:rsid w:val="00674344"/>
    <w:rsid w:val="0067439F"/>
    <w:rsid w:val="006744B9"/>
    <w:rsid w:val="0067455D"/>
    <w:rsid w:val="006745CA"/>
    <w:rsid w:val="00674658"/>
    <w:rsid w:val="006746D9"/>
    <w:rsid w:val="00674707"/>
    <w:rsid w:val="006747B1"/>
    <w:rsid w:val="006749C8"/>
    <w:rsid w:val="006749F6"/>
    <w:rsid w:val="00674A26"/>
    <w:rsid w:val="00674B25"/>
    <w:rsid w:val="00674C69"/>
    <w:rsid w:val="00674DFB"/>
    <w:rsid w:val="0067505C"/>
    <w:rsid w:val="00675153"/>
    <w:rsid w:val="006752A3"/>
    <w:rsid w:val="006752AE"/>
    <w:rsid w:val="00675304"/>
    <w:rsid w:val="00675315"/>
    <w:rsid w:val="00675419"/>
    <w:rsid w:val="006754DD"/>
    <w:rsid w:val="0067559D"/>
    <w:rsid w:val="006755CA"/>
    <w:rsid w:val="00675653"/>
    <w:rsid w:val="006756FE"/>
    <w:rsid w:val="0067591C"/>
    <w:rsid w:val="0067592F"/>
    <w:rsid w:val="00675B2C"/>
    <w:rsid w:val="00675B62"/>
    <w:rsid w:val="00675CFE"/>
    <w:rsid w:val="00675D52"/>
    <w:rsid w:val="00675F19"/>
    <w:rsid w:val="00675F84"/>
    <w:rsid w:val="00675FB4"/>
    <w:rsid w:val="00676054"/>
    <w:rsid w:val="0067614B"/>
    <w:rsid w:val="00676181"/>
    <w:rsid w:val="006762D9"/>
    <w:rsid w:val="0067630D"/>
    <w:rsid w:val="006763F7"/>
    <w:rsid w:val="0067649C"/>
    <w:rsid w:val="006764A9"/>
    <w:rsid w:val="0067651E"/>
    <w:rsid w:val="0067662E"/>
    <w:rsid w:val="0067670E"/>
    <w:rsid w:val="00676947"/>
    <w:rsid w:val="00676987"/>
    <w:rsid w:val="006769D3"/>
    <w:rsid w:val="00676A31"/>
    <w:rsid w:val="00676A41"/>
    <w:rsid w:val="00676C10"/>
    <w:rsid w:val="00676C9A"/>
    <w:rsid w:val="00676F40"/>
    <w:rsid w:val="0067724D"/>
    <w:rsid w:val="00677291"/>
    <w:rsid w:val="006773AC"/>
    <w:rsid w:val="006774DF"/>
    <w:rsid w:val="0067773E"/>
    <w:rsid w:val="00677753"/>
    <w:rsid w:val="006777BD"/>
    <w:rsid w:val="0067798E"/>
    <w:rsid w:val="00677991"/>
    <w:rsid w:val="0067799B"/>
    <w:rsid w:val="006779D2"/>
    <w:rsid w:val="00677A74"/>
    <w:rsid w:val="00677ADD"/>
    <w:rsid w:val="00677C01"/>
    <w:rsid w:val="00677C49"/>
    <w:rsid w:val="00677CE0"/>
    <w:rsid w:val="00677D77"/>
    <w:rsid w:val="00677E43"/>
    <w:rsid w:val="00677EA4"/>
    <w:rsid w:val="0068012A"/>
    <w:rsid w:val="00680159"/>
    <w:rsid w:val="00680262"/>
    <w:rsid w:val="006803D7"/>
    <w:rsid w:val="0068046A"/>
    <w:rsid w:val="006804A8"/>
    <w:rsid w:val="00680570"/>
    <w:rsid w:val="00680589"/>
    <w:rsid w:val="0068061B"/>
    <w:rsid w:val="0068064F"/>
    <w:rsid w:val="00680696"/>
    <w:rsid w:val="006806C1"/>
    <w:rsid w:val="00680702"/>
    <w:rsid w:val="00680765"/>
    <w:rsid w:val="0068080E"/>
    <w:rsid w:val="00680A6F"/>
    <w:rsid w:val="00680A80"/>
    <w:rsid w:val="00680ABE"/>
    <w:rsid w:val="00680BB5"/>
    <w:rsid w:val="00680C40"/>
    <w:rsid w:val="00680CC5"/>
    <w:rsid w:val="00680D28"/>
    <w:rsid w:val="00680E50"/>
    <w:rsid w:val="00680EFB"/>
    <w:rsid w:val="00680F9C"/>
    <w:rsid w:val="00680F9D"/>
    <w:rsid w:val="0068101E"/>
    <w:rsid w:val="0068107A"/>
    <w:rsid w:val="006810DA"/>
    <w:rsid w:val="006811F4"/>
    <w:rsid w:val="006812B4"/>
    <w:rsid w:val="006814DC"/>
    <w:rsid w:val="00681500"/>
    <w:rsid w:val="00681646"/>
    <w:rsid w:val="0068164C"/>
    <w:rsid w:val="0068181A"/>
    <w:rsid w:val="00681826"/>
    <w:rsid w:val="006819F0"/>
    <w:rsid w:val="00681A74"/>
    <w:rsid w:val="00681ABE"/>
    <w:rsid w:val="00681B37"/>
    <w:rsid w:val="00681C0B"/>
    <w:rsid w:val="00681C2A"/>
    <w:rsid w:val="00681D36"/>
    <w:rsid w:val="00681DB3"/>
    <w:rsid w:val="00681DB5"/>
    <w:rsid w:val="00681E2E"/>
    <w:rsid w:val="00681F18"/>
    <w:rsid w:val="00681F83"/>
    <w:rsid w:val="00681FA7"/>
    <w:rsid w:val="006820DA"/>
    <w:rsid w:val="0068211C"/>
    <w:rsid w:val="00682308"/>
    <w:rsid w:val="00682545"/>
    <w:rsid w:val="0068270B"/>
    <w:rsid w:val="0068271A"/>
    <w:rsid w:val="00682725"/>
    <w:rsid w:val="006827E0"/>
    <w:rsid w:val="00682870"/>
    <w:rsid w:val="006828F3"/>
    <w:rsid w:val="00682950"/>
    <w:rsid w:val="00682ADC"/>
    <w:rsid w:val="00682AEF"/>
    <w:rsid w:val="00682B35"/>
    <w:rsid w:val="00682B6A"/>
    <w:rsid w:val="00682BB3"/>
    <w:rsid w:val="00682BBA"/>
    <w:rsid w:val="00682DED"/>
    <w:rsid w:val="00682EA4"/>
    <w:rsid w:val="00683016"/>
    <w:rsid w:val="00683029"/>
    <w:rsid w:val="0068314A"/>
    <w:rsid w:val="0068316A"/>
    <w:rsid w:val="00683198"/>
    <w:rsid w:val="006833D7"/>
    <w:rsid w:val="00683536"/>
    <w:rsid w:val="006835D7"/>
    <w:rsid w:val="006835DF"/>
    <w:rsid w:val="0068365F"/>
    <w:rsid w:val="00683676"/>
    <w:rsid w:val="00683792"/>
    <w:rsid w:val="006837F7"/>
    <w:rsid w:val="006837FD"/>
    <w:rsid w:val="00683832"/>
    <w:rsid w:val="006839AA"/>
    <w:rsid w:val="006839E2"/>
    <w:rsid w:val="00683B5E"/>
    <w:rsid w:val="00683CF1"/>
    <w:rsid w:val="00683D83"/>
    <w:rsid w:val="00683DB3"/>
    <w:rsid w:val="00684194"/>
    <w:rsid w:val="00684246"/>
    <w:rsid w:val="0068454B"/>
    <w:rsid w:val="00684606"/>
    <w:rsid w:val="0068465B"/>
    <w:rsid w:val="00684893"/>
    <w:rsid w:val="00684A02"/>
    <w:rsid w:val="00684B20"/>
    <w:rsid w:val="00684B75"/>
    <w:rsid w:val="00684B91"/>
    <w:rsid w:val="00684BC4"/>
    <w:rsid w:val="00684C4F"/>
    <w:rsid w:val="00684C7C"/>
    <w:rsid w:val="00684CF4"/>
    <w:rsid w:val="00684D8E"/>
    <w:rsid w:val="00684F4A"/>
    <w:rsid w:val="00684F97"/>
    <w:rsid w:val="00684FE3"/>
    <w:rsid w:val="00684FFA"/>
    <w:rsid w:val="00685067"/>
    <w:rsid w:val="006850F5"/>
    <w:rsid w:val="00685129"/>
    <w:rsid w:val="0068516B"/>
    <w:rsid w:val="0068519B"/>
    <w:rsid w:val="00685265"/>
    <w:rsid w:val="0068527C"/>
    <w:rsid w:val="006853AC"/>
    <w:rsid w:val="0068546F"/>
    <w:rsid w:val="00685536"/>
    <w:rsid w:val="006855CD"/>
    <w:rsid w:val="0068562A"/>
    <w:rsid w:val="006856D1"/>
    <w:rsid w:val="006857C7"/>
    <w:rsid w:val="006857E2"/>
    <w:rsid w:val="00685A05"/>
    <w:rsid w:val="00685A7F"/>
    <w:rsid w:val="00685AF6"/>
    <w:rsid w:val="00685B00"/>
    <w:rsid w:val="00685B22"/>
    <w:rsid w:val="00685B32"/>
    <w:rsid w:val="00685B84"/>
    <w:rsid w:val="00685BA1"/>
    <w:rsid w:val="00685D2D"/>
    <w:rsid w:val="006861D1"/>
    <w:rsid w:val="006862B1"/>
    <w:rsid w:val="00686408"/>
    <w:rsid w:val="00686416"/>
    <w:rsid w:val="00686500"/>
    <w:rsid w:val="00686698"/>
    <w:rsid w:val="00686755"/>
    <w:rsid w:val="00686761"/>
    <w:rsid w:val="00686784"/>
    <w:rsid w:val="00686865"/>
    <w:rsid w:val="00686A85"/>
    <w:rsid w:val="00686A98"/>
    <w:rsid w:val="00686AF2"/>
    <w:rsid w:val="00686C1C"/>
    <w:rsid w:val="00686C59"/>
    <w:rsid w:val="00686C9E"/>
    <w:rsid w:val="00686D01"/>
    <w:rsid w:val="00686DCC"/>
    <w:rsid w:val="00686E8D"/>
    <w:rsid w:val="00686ED0"/>
    <w:rsid w:val="00686F8A"/>
    <w:rsid w:val="00686FDA"/>
    <w:rsid w:val="00687008"/>
    <w:rsid w:val="00687089"/>
    <w:rsid w:val="006870C5"/>
    <w:rsid w:val="006870F9"/>
    <w:rsid w:val="006871ED"/>
    <w:rsid w:val="0068734E"/>
    <w:rsid w:val="006873E3"/>
    <w:rsid w:val="006875AF"/>
    <w:rsid w:val="00687605"/>
    <w:rsid w:val="0068762C"/>
    <w:rsid w:val="00687755"/>
    <w:rsid w:val="00687892"/>
    <w:rsid w:val="0068791E"/>
    <w:rsid w:val="00687B3D"/>
    <w:rsid w:val="00687DCB"/>
    <w:rsid w:val="00687DCE"/>
    <w:rsid w:val="00687F86"/>
    <w:rsid w:val="0068B050"/>
    <w:rsid w:val="00690298"/>
    <w:rsid w:val="00690339"/>
    <w:rsid w:val="006903DB"/>
    <w:rsid w:val="0069046D"/>
    <w:rsid w:val="0069049D"/>
    <w:rsid w:val="006904A2"/>
    <w:rsid w:val="006906DD"/>
    <w:rsid w:val="006907CC"/>
    <w:rsid w:val="0069086A"/>
    <w:rsid w:val="006908A7"/>
    <w:rsid w:val="00690A78"/>
    <w:rsid w:val="00690A91"/>
    <w:rsid w:val="00690C81"/>
    <w:rsid w:val="00690CEC"/>
    <w:rsid w:val="00690E73"/>
    <w:rsid w:val="00691032"/>
    <w:rsid w:val="006910DD"/>
    <w:rsid w:val="00691154"/>
    <w:rsid w:val="006911A8"/>
    <w:rsid w:val="00691418"/>
    <w:rsid w:val="0069146C"/>
    <w:rsid w:val="0069147A"/>
    <w:rsid w:val="00691490"/>
    <w:rsid w:val="006914C3"/>
    <w:rsid w:val="00691575"/>
    <w:rsid w:val="00691617"/>
    <w:rsid w:val="0069165A"/>
    <w:rsid w:val="006916F0"/>
    <w:rsid w:val="00691736"/>
    <w:rsid w:val="0069173A"/>
    <w:rsid w:val="0069183A"/>
    <w:rsid w:val="00691A59"/>
    <w:rsid w:val="00691ABB"/>
    <w:rsid w:val="00691C08"/>
    <w:rsid w:val="00691C81"/>
    <w:rsid w:val="00691D10"/>
    <w:rsid w:val="00691DFE"/>
    <w:rsid w:val="00691F1D"/>
    <w:rsid w:val="006921F4"/>
    <w:rsid w:val="0069220F"/>
    <w:rsid w:val="006923DB"/>
    <w:rsid w:val="0069243F"/>
    <w:rsid w:val="0069256C"/>
    <w:rsid w:val="006925C5"/>
    <w:rsid w:val="0069265C"/>
    <w:rsid w:val="006926E8"/>
    <w:rsid w:val="006927F7"/>
    <w:rsid w:val="00692A20"/>
    <w:rsid w:val="00692A39"/>
    <w:rsid w:val="00692A73"/>
    <w:rsid w:val="00692A90"/>
    <w:rsid w:val="00692A92"/>
    <w:rsid w:val="00692AE4"/>
    <w:rsid w:val="00692B03"/>
    <w:rsid w:val="00692BD9"/>
    <w:rsid w:val="00692BF5"/>
    <w:rsid w:val="00692C30"/>
    <w:rsid w:val="00692F0B"/>
    <w:rsid w:val="00692F6D"/>
    <w:rsid w:val="00693181"/>
    <w:rsid w:val="00693183"/>
    <w:rsid w:val="006931EF"/>
    <w:rsid w:val="006931F0"/>
    <w:rsid w:val="006932C8"/>
    <w:rsid w:val="006932FA"/>
    <w:rsid w:val="0069334D"/>
    <w:rsid w:val="0069342E"/>
    <w:rsid w:val="0069355D"/>
    <w:rsid w:val="00693665"/>
    <w:rsid w:val="0069372F"/>
    <w:rsid w:val="0069386C"/>
    <w:rsid w:val="006938FF"/>
    <w:rsid w:val="00693951"/>
    <w:rsid w:val="00693972"/>
    <w:rsid w:val="00693A49"/>
    <w:rsid w:val="00693ABE"/>
    <w:rsid w:val="00693B14"/>
    <w:rsid w:val="00693B9F"/>
    <w:rsid w:val="00693C46"/>
    <w:rsid w:val="00693D0E"/>
    <w:rsid w:val="00693D72"/>
    <w:rsid w:val="00693DFB"/>
    <w:rsid w:val="00693E35"/>
    <w:rsid w:val="00693EDA"/>
    <w:rsid w:val="00693F5E"/>
    <w:rsid w:val="00693F89"/>
    <w:rsid w:val="00693FB5"/>
    <w:rsid w:val="00694180"/>
    <w:rsid w:val="00694381"/>
    <w:rsid w:val="0069439A"/>
    <w:rsid w:val="006943A4"/>
    <w:rsid w:val="006944F3"/>
    <w:rsid w:val="0069451E"/>
    <w:rsid w:val="0069458C"/>
    <w:rsid w:val="00694599"/>
    <w:rsid w:val="00694682"/>
    <w:rsid w:val="006946A8"/>
    <w:rsid w:val="00694983"/>
    <w:rsid w:val="006949E2"/>
    <w:rsid w:val="00694A1D"/>
    <w:rsid w:val="00694A35"/>
    <w:rsid w:val="00694A3D"/>
    <w:rsid w:val="00694CC4"/>
    <w:rsid w:val="00694DB9"/>
    <w:rsid w:val="00694DD1"/>
    <w:rsid w:val="00694DE7"/>
    <w:rsid w:val="00694DF5"/>
    <w:rsid w:val="00694FAB"/>
    <w:rsid w:val="00694FED"/>
    <w:rsid w:val="006950FA"/>
    <w:rsid w:val="0069526A"/>
    <w:rsid w:val="006952E7"/>
    <w:rsid w:val="00695320"/>
    <w:rsid w:val="006953D5"/>
    <w:rsid w:val="006955E7"/>
    <w:rsid w:val="006958FD"/>
    <w:rsid w:val="006959C8"/>
    <w:rsid w:val="00695A73"/>
    <w:rsid w:val="00695B71"/>
    <w:rsid w:val="00695B88"/>
    <w:rsid w:val="00695C23"/>
    <w:rsid w:val="00695E3C"/>
    <w:rsid w:val="00695E58"/>
    <w:rsid w:val="00695E5C"/>
    <w:rsid w:val="00695F77"/>
    <w:rsid w:val="006961DF"/>
    <w:rsid w:val="00696226"/>
    <w:rsid w:val="006962EC"/>
    <w:rsid w:val="00696370"/>
    <w:rsid w:val="00696426"/>
    <w:rsid w:val="00696454"/>
    <w:rsid w:val="006964A0"/>
    <w:rsid w:val="006965AA"/>
    <w:rsid w:val="0069665B"/>
    <w:rsid w:val="00696662"/>
    <w:rsid w:val="006967AC"/>
    <w:rsid w:val="0069685F"/>
    <w:rsid w:val="00696925"/>
    <w:rsid w:val="00696A28"/>
    <w:rsid w:val="00696AF8"/>
    <w:rsid w:val="00696B1C"/>
    <w:rsid w:val="00696B3B"/>
    <w:rsid w:val="00696C7E"/>
    <w:rsid w:val="00696D1D"/>
    <w:rsid w:val="00696E2E"/>
    <w:rsid w:val="00696E54"/>
    <w:rsid w:val="00696E76"/>
    <w:rsid w:val="00696E99"/>
    <w:rsid w:val="00696EA5"/>
    <w:rsid w:val="00696F1C"/>
    <w:rsid w:val="00696FE1"/>
    <w:rsid w:val="00697039"/>
    <w:rsid w:val="00697043"/>
    <w:rsid w:val="006972AF"/>
    <w:rsid w:val="00697315"/>
    <w:rsid w:val="00697393"/>
    <w:rsid w:val="006974B5"/>
    <w:rsid w:val="00697530"/>
    <w:rsid w:val="0069794B"/>
    <w:rsid w:val="00697A93"/>
    <w:rsid w:val="00697ED5"/>
    <w:rsid w:val="006A0036"/>
    <w:rsid w:val="006A003C"/>
    <w:rsid w:val="006A0109"/>
    <w:rsid w:val="006A0263"/>
    <w:rsid w:val="006A02DA"/>
    <w:rsid w:val="006A038A"/>
    <w:rsid w:val="006A07F6"/>
    <w:rsid w:val="006A0824"/>
    <w:rsid w:val="006A0BD4"/>
    <w:rsid w:val="006A0E7C"/>
    <w:rsid w:val="006A10BF"/>
    <w:rsid w:val="006A1272"/>
    <w:rsid w:val="006A12ED"/>
    <w:rsid w:val="006A134E"/>
    <w:rsid w:val="006A1543"/>
    <w:rsid w:val="006A15DC"/>
    <w:rsid w:val="006A16FE"/>
    <w:rsid w:val="006A1726"/>
    <w:rsid w:val="006A17B8"/>
    <w:rsid w:val="006A184D"/>
    <w:rsid w:val="006A19BA"/>
    <w:rsid w:val="006A19EC"/>
    <w:rsid w:val="006A1B47"/>
    <w:rsid w:val="006A1C07"/>
    <w:rsid w:val="006A1C0D"/>
    <w:rsid w:val="006A1C1C"/>
    <w:rsid w:val="006A1C4F"/>
    <w:rsid w:val="006A1FCC"/>
    <w:rsid w:val="006A1FE9"/>
    <w:rsid w:val="006A214C"/>
    <w:rsid w:val="006A2268"/>
    <w:rsid w:val="006A232E"/>
    <w:rsid w:val="006A23D5"/>
    <w:rsid w:val="006A2498"/>
    <w:rsid w:val="006A2552"/>
    <w:rsid w:val="006A256F"/>
    <w:rsid w:val="006A25FA"/>
    <w:rsid w:val="006A26A3"/>
    <w:rsid w:val="006A26C6"/>
    <w:rsid w:val="006A26F6"/>
    <w:rsid w:val="006A27CD"/>
    <w:rsid w:val="006A2854"/>
    <w:rsid w:val="006A28CF"/>
    <w:rsid w:val="006A290E"/>
    <w:rsid w:val="006A2991"/>
    <w:rsid w:val="006A2B14"/>
    <w:rsid w:val="006A2C47"/>
    <w:rsid w:val="006A2CB0"/>
    <w:rsid w:val="006A2CB3"/>
    <w:rsid w:val="006A2D4D"/>
    <w:rsid w:val="006A2E17"/>
    <w:rsid w:val="006A2EB6"/>
    <w:rsid w:val="006A2ECB"/>
    <w:rsid w:val="006A2FD6"/>
    <w:rsid w:val="006A300E"/>
    <w:rsid w:val="006A31D7"/>
    <w:rsid w:val="006A3209"/>
    <w:rsid w:val="006A3503"/>
    <w:rsid w:val="006A351E"/>
    <w:rsid w:val="006A36DE"/>
    <w:rsid w:val="006A36EB"/>
    <w:rsid w:val="006A373A"/>
    <w:rsid w:val="006A3769"/>
    <w:rsid w:val="006A37EB"/>
    <w:rsid w:val="006A382E"/>
    <w:rsid w:val="006A389A"/>
    <w:rsid w:val="006A38F8"/>
    <w:rsid w:val="006A3BCF"/>
    <w:rsid w:val="006A3C0A"/>
    <w:rsid w:val="006A3C70"/>
    <w:rsid w:val="006A3C99"/>
    <w:rsid w:val="006A3D43"/>
    <w:rsid w:val="006A3EBA"/>
    <w:rsid w:val="006A3EE8"/>
    <w:rsid w:val="006A402E"/>
    <w:rsid w:val="006A44FD"/>
    <w:rsid w:val="006A451E"/>
    <w:rsid w:val="006A4722"/>
    <w:rsid w:val="006A4A08"/>
    <w:rsid w:val="006A4A76"/>
    <w:rsid w:val="006A4A8C"/>
    <w:rsid w:val="006A4B35"/>
    <w:rsid w:val="006A4B3C"/>
    <w:rsid w:val="006A4BA8"/>
    <w:rsid w:val="006A4BBF"/>
    <w:rsid w:val="006A4CF3"/>
    <w:rsid w:val="006A4CF8"/>
    <w:rsid w:val="006A4D4C"/>
    <w:rsid w:val="006A4ECB"/>
    <w:rsid w:val="006A4F51"/>
    <w:rsid w:val="006A4FB7"/>
    <w:rsid w:val="006A50CD"/>
    <w:rsid w:val="006A518E"/>
    <w:rsid w:val="006A52A5"/>
    <w:rsid w:val="006A535D"/>
    <w:rsid w:val="006A54AB"/>
    <w:rsid w:val="006A551F"/>
    <w:rsid w:val="006A55D1"/>
    <w:rsid w:val="006A561D"/>
    <w:rsid w:val="006A5685"/>
    <w:rsid w:val="006A587D"/>
    <w:rsid w:val="006A59E1"/>
    <w:rsid w:val="006A59E8"/>
    <w:rsid w:val="006A5ACE"/>
    <w:rsid w:val="006A5C22"/>
    <w:rsid w:val="006A5C89"/>
    <w:rsid w:val="006A5C90"/>
    <w:rsid w:val="006A5D1D"/>
    <w:rsid w:val="006A5D3D"/>
    <w:rsid w:val="006A5D53"/>
    <w:rsid w:val="006A5DB5"/>
    <w:rsid w:val="006A5E73"/>
    <w:rsid w:val="006A5F18"/>
    <w:rsid w:val="006A610F"/>
    <w:rsid w:val="006A6364"/>
    <w:rsid w:val="006A637A"/>
    <w:rsid w:val="006A671F"/>
    <w:rsid w:val="006A68A7"/>
    <w:rsid w:val="006A6968"/>
    <w:rsid w:val="006A6B6B"/>
    <w:rsid w:val="006A6C63"/>
    <w:rsid w:val="006A6DE0"/>
    <w:rsid w:val="006A6E45"/>
    <w:rsid w:val="006A7123"/>
    <w:rsid w:val="006A721E"/>
    <w:rsid w:val="006A7395"/>
    <w:rsid w:val="006A73CE"/>
    <w:rsid w:val="006A73D5"/>
    <w:rsid w:val="006A73F8"/>
    <w:rsid w:val="006A740A"/>
    <w:rsid w:val="006A7614"/>
    <w:rsid w:val="006A7632"/>
    <w:rsid w:val="006A77C8"/>
    <w:rsid w:val="006A78ED"/>
    <w:rsid w:val="006A790D"/>
    <w:rsid w:val="006A7A64"/>
    <w:rsid w:val="006A7C94"/>
    <w:rsid w:val="006A7CF0"/>
    <w:rsid w:val="006A7D01"/>
    <w:rsid w:val="006A7DA4"/>
    <w:rsid w:val="006A7F1A"/>
    <w:rsid w:val="006B000E"/>
    <w:rsid w:val="006B0126"/>
    <w:rsid w:val="006B019D"/>
    <w:rsid w:val="006B02D3"/>
    <w:rsid w:val="006B02F3"/>
    <w:rsid w:val="006B0376"/>
    <w:rsid w:val="006B0381"/>
    <w:rsid w:val="006B042D"/>
    <w:rsid w:val="006B0505"/>
    <w:rsid w:val="006B050A"/>
    <w:rsid w:val="006B0558"/>
    <w:rsid w:val="006B075E"/>
    <w:rsid w:val="006B089A"/>
    <w:rsid w:val="006B0924"/>
    <w:rsid w:val="006B09AC"/>
    <w:rsid w:val="006B0A34"/>
    <w:rsid w:val="006B0AAB"/>
    <w:rsid w:val="006B0AE5"/>
    <w:rsid w:val="006B0CFE"/>
    <w:rsid w:val="006B0EAB"/>
    <w:rsid w:val="006B0F09"/>
    <w:rsid w:val="006B0F30"/>
    <w:rsid w:val="006B0FBC"/>
    <w:rsid w:val="006B1293"/>
    <w:rsid w:val="006B15DD"/>
    <w:rsid w:val="006B1670"/>
    <w:rsid w:val="006B17DF"/>
    <w:rsid w:val="006B1846"/>
    <w:rsid w:val="006B188C"/>
    <w:rsid w:val="006B190C"/>
    <w:rsid w:val="006B1978"/>
    <w:rsid w:val="006B19CE"/>
    <w:rsid w:val="006B1A0E"/>
    <w:rsid w:val="006B1AEE"/>
    <w:rsid w:val="006B1E1C"/>
    <w:rsid w:val="006B1E6B"/>
    <w:rsid w:val="006B1ED6"/>
    <w:rsid w:val="006B1F6A"/>
    <w:rsid w:val="006B1FCB"/>
    <w:rsid w:val="006B1FD2"/>
    <w:rsid w:val="006B201E"/>
    <w:rsid w:val="006B218D"/>
    <w:rsid w:val="006B2198"/>
    <w:rsid w:val="006B227A"/>
    <w:rsid w:val="006B23AE"/>
    <w:rsid w:val="006B23B5"/>
    <w:rsid w:val="006B2723"/>
    <w:rsid w:val="006B274C"/>
    <w:rsid w:val="006B276E"/>
    <w:rsid w:val="006B2F50"/>
    <w:rsid w:val="006B300A"/>
    <w:rsid w:val="006B3224"/>
    <w:rsid w:val="006B3234"/>
    <w:rsid w:val="006B32BE"/>
    <w:rsid w:val="006B32C2"/>
    <w:rsid w:val="006B3391"/>
    <w:rsid w:val="006B3415"/>
    <w:rsid w:val="006B345B"/>
    <w:rsid w:val="006B34F4"/>
    <w:rsid w:val="006B36D9"/>
    <w:rsid w:val="006B37D1"/>
    <w:rsid w:val="006B3824"/>
    <w:rsid w:val="006B3860"/>
    <w:rsid w:val="006B3972"/>
    <w:rsid w:val="006B3A39"/>
    <w:rsid w:val="006B3BDB"/>
    <w:rsid w:val="006B3BEE"/>
    <w:rsid w:val="006B3C08"/>
    <w:rsid w:val="006B3C0C"/>
    <w:rsid w:val="006B3C98"/>
    <w:rsid w:val="006B3ECD"/>
    <w:rsid w:val="006B3F0D"/>
    <w:rsid w:val="006B3FEB"/>
    <w:rsid w:val="006B402F"/>
    <w:rsid w:val="006B403A"/>
    <w:rsid w:val="006B40B6"/>
    <w:rsid w:val="006B418D"/>
    <w:rsid w:val="006B41E2"/>
    <w:rsid w:val="006B4203"/>
    <w:rsid w:val="006B4236"/>
    <w:rsid w:val="006B4470"/>
    <w:rsid w:val="006B4576"/>
    <w:rsid w:val="006B476A"/>
    <w:rsid w:val="006B49B8"/>
    <w:rsid w:val="006B49F3"/>
    <w:rsid w:val="006B4A17"/>
    <w:rsid w:val="006B4A24"/>
    <w:rsid w:val="006B4A64"/>
    <w:rsid w:val="006B4C87"/>
    <w:rsid w:val="006B4CFD"/>
    <w:rsid w:val="006B4D56"/>
    <w:rsid w:val="006B4D89"/>
    <w:rsid w:val="006B4DF9"/>
    <w:rsid w:val="006B4E97"/>
    <w:rsid w:val="006B4F47"/>
    <w:rsid w:val="006B4F5F"/>
    <w:rsid w:val="006B4FFA"/>
    <w:rsid w:val="006B5300"/>
    <w:rsid w:val="006B5788"/>
    <w:rsid w:val="006B57DD"/>
    <w:rsid w:val="006B58A7"/>
    <w:rsid w:val="006B59B3"/>
    <w:rsid w:val="006B5A5C"/>
    <w:rsid w:val="006B5A95"/>
    <w:rsid w:val="006B5AEA"/>
    <w:rsid w:val="006B5B20"/>
    <w:rsid w:val="006B5B2A"/>
    <w:rsid w:val="006B5B3E"/>
    <w:rsid w:val="006B5C3D"/>
    <w:rsid w:val="006B5D4F"/>
    <w:rsid w:val="006B5D8F"/>
    <w:rsid w:val="006B5DF2"/>
    <w:rsid w:val="006B5E74"/>
    <w:rsid w:val="006B61FF"/>
    <w:rsid w:val="006B62E6"/>
    <w:rsid w:val="006B6319"/>
    <w:rsid w:val="006B6359"/>
    <w:rsid w:val="006B6578"/>
    <w:rsid w:val="006B67D5"/>
    <w:rsid w:val="006B683D"/>
    <w:rsid w:val="006B68B0"/>
    <w:rsid w:val="006B6A3E"/>
    <w:rsid w:val="006B6AFC"/>
    <w:rsid w:val="006B6B43"/>
    <w:rsid w:val="006B6CA8"/>
    <w:rsid w:val="006B6CA9"/>
    <w:rsid w:val="006B6CCB"/>
    <w:rsid w:val="006B6F56"/>
    <w:rsid w:val="006B7592"/>
    <w:rsid w:val="006B75FA"/>
    <w:rsid w:val="006B75FF"/>
    <w:rsid w:val="006B7612"/>
    <w:rsid w:val="006B76D8"/>
    <w:rsid w:val="006B76F6"/>
    <w:rsid w:val="006B7827"/>
    <w:rsid w:val="006B785C"/>
    <w:rsid w:val="006B7879"/>
    <w:rsid w:val="006B7986"/>
    <w:rsid w:val="006B79E7"/>
    <w:rsid w:val="006B79F8"/>
    <w:rsid w:val="006B7C09"/>
    <w:rsid w:val="006B7C1D"/>
    <w:rsid w:val="006B7CAB"/>
    <w:rsid w:val="006B7EA8"/>
    <w:rsid w:val="006B7FA1"/>
    <w:rsid w:val="006C00F1"/>
    <w:rsid w:val="006C00F7"/>
    <w:rsid w:val="006C0251"/>
    <w:rsid w:val="006C033A"/>
    <w:rsid w:val="006C0436"/>
    <w:rsid w:val="006C04C5"/>
    <w:rsid w:val="006C04D6"/>
    <w:rsid w:val="006C0500"/>
    <w:rsid w:val="006C05B5"/>
    <w:rsid w:val="006C064B"/>
    <w:rsid w:val="006C0772"/>
    <w:rsid w:val="006C0926"/>
    <w:rsid w:val="006C0B55"/>
    <w:rsid w:val="006C0B59"/>
    <w:rsid w:val="006C0C77"/>
    <w:rsid w:val="006C0CFE"/>
    <w:rsid w:val="006C0D75"/>
    <w:rsid w:val="006C0DC6"/>
    <w:rsid w:val="006C0E50"/>
    <w:rsid w:val="006C0E65"/>
    <w:rsid w:val="006C0E6D"/>
    <w:rsid w:val="006C0EA0"/>
    <w:rsid w:val="006C0EE8"/>
    <w:rsid w:val="006C0FBC"/>
    <w:rsid w:val="006C1046"/>
    <w:rsid w:val="006C1110"/>
    <w:rsid w:val="006C11AD"/>
    <w:rsid w:val="006C1275"/>
    <w:rsid w:val="006C1356"/>
    <w:rsid w:val="006C1425"/>
    <w:rsid w:val="006C1476"/>
    <w:rsid w:val="006C14C4"/>
    <w:rsid w:val="006C14F3"/>
    <w:rsid w:val="006C150C"/>
    <w:rsid w:val="006C15AC"/>
    <w:rsid w:val="006C15D0"/>
    <w:rsid w:val="006C1609"/>
    <w:rsid w:val="006C16F6"/>
    <w:rsid w:val="006C1728"/>
    <w:rsid w:val="006C19A0"/>
    <w:rsid w:val="006C1A61"/>
    <w:rsid w:val="006C1A75"/>
    <w:rsid w:val="006C1B75"/>
    <w:rsid w:val="006C1B88"/>
    <w:rsid w:val="006C1C1C"/>
    <w:rsid w:val="006C1C5F"/>
    <w:rsid w:val="006C1CC0"/>
    <w:rsid w:val="006C1D08"/>
    <w:rsid w:val="006C1F1A"/>
    <w:rsid w:val="006C1F5D"/>
    <w:rsid w:val="006C1F67"/>
    <w:rsid w:val="006C1F76"/>
    <w:rsid w:val="006C1FA5"/>
    <w:rsid w:val="006C1FEC"/>
    <w:rsid w:val="006C2150"/>
    <w:rsid w:val="006C21AF"/>
    <w:rsid w:val="006C21E7"/>
    <w:rsid w:val="006C2205"/>
    <w:rsid w:val="006C2377"/>
    <w:rsid w:val="006C2468"/>
    <w:rsid w:val="006C24B8"/>
    <w:rsid w:val="006C2555"/>
    <w:rsid w:val="006C2580"/>
    <w:rsid w:val="006C2587"/>
    <w:rsid w:val="006C2640"/>
    <w:rsid w:val="006C2714"/>
    <w:rsid w:val="006C2722"/>
    <w:rsid w:val="006C27A0"/>
    <w:rsid w:val="006C2853"/>
    <w:rsid w:val="006C2A00"/>
    <w:rsid w:val="006C2A10"/>
    <w:rsid w:val="006C2A63"/>
    <w:rsid w:val="006C2B4F"/>
    <w:rsid w:val="006C2CCF"/>
    <w:rsid w:val="006C2CE9"/>
    <w:rsid w:val="006C2E27"/>
    <w:rsid w:val="006C3103"/>
    <w:rsid w:val="006C310B"/>
    <w:rsid w:val="006C31CB"/>
    <w:rsid w:val="006C3228"/>
    <w:rsid w:val="006C3250"/>
    <w:rsid w:val="006C3362"/>
    <w:rsid w:val="006C3367"/>
    <w:rsid w:val="006C3431"/>
    <w:rsid w:val="006C3559"/>
    <w:rsid w:val="006C3566"/>
    <w:rsid w:val="006C35A9"/>
    <w:rsid w:val="006C3745"/>
    <w:rsid w:val="006C37AF"/>
    <w:rsid w:val="006C387C"/>
    <w:rsid w:val="006C3930"/>
    <w:rsid w:val="006C39D3"/>
    <w:rsid w:val="006C3A1F"/>
    <w:rsid w:val="006C3A3E"/>
    <w:rsid w:val="006C3A4F"/>
    <w:rsid w:val="006C3A85"/>
    <w:rsid w:val="006C3A97"/>
    <w:rsid w:val="006C3ACE"/>
    <w:rsid w:val="006C3AD3"/>
    <w:rsid w:val="006C3BF9"/>
    <w:rsid w:val="006C3C6A"/>
    <w:rsid w:val="006C3C8F"/>
    <w:rsid w:val="006C3D61"/>
    <w:rsid w:val="006C3E9F"/>
    <w:rsid w:val="006C3EDC"/>
    <w:rsid w:val="006C3F4D"/>
    <w:rsid w:val="006C3FD6"/>
    <w:rsid w:val="006C4009"/>
    <w:rsid w:val="006C40A7"/>
    <w:rsid w:val="006C41F2"/>
    <w:rsid w:val="006C420A"/>
    <w:rsid w:val="006C43CD"/>
    <w:rsid w:val="006C4464"/>
    <w:rsid w:val="006C447D"/>
    <w:rsid w:val="006C46CD"/>
    <w:rsid w:val="006C4789"/>
    <w:rsid w:val="006C487D"/>
    <w:rsid w:val="006C48E2"/>
    <w:rsid w:val="006C4922"/>
    <w:rsid w:val="006C4A3A"/>
    <w:rsid w:val="006C4A7F"/>
    <w:rsid w:val="006C4C10"/>
    <w:rsid w:val="006C4C2C"/>
    <w:rsid w:val="006C4D23"/>
    <w:rsid w:val="006C4D43"/>
    <w:rsid w:val="006C4DFB"/>
    <w:rsid w:val="006C4FBF"/>
    <w:rsid w:val="006C51E0"/>
    <w:rsid w:val="006C52A6"/>
    <w:rsid w:val="006C542B"/>
    <w:rsid w:val="006C54FC"/>
    <w:rsid w:val="006C553E"/>
    <w:rsid w:val="006C556D"/>
    <w:rsid w:val="006C55A2"/>
    <w:rsid w:val="006C55FF"/>
    <w:rsid w:val="006C5651"/>
    <w:rsid w:val="006C5732"/>
    <w:rsid w:val="006C5810"/>
    <w:rsid w:val="006C5821"/>
    <w:rsid w:val="006C5856"/>
    <w:rsid w:val="006C58E7"/>
    <w:rsid w:val="006C5B4B"/>
    <w:rsid w:val="006C5B67"/>
    <w:rsid w:val="006C5BF2"/>
    <w:rsid w:val="006C5C36"/>
    <w:rsid w:val="006C5C9B"/>
    <w:rsid w:val="006C5CB2"/>
    <w:rsid w:val="006C5CE6"/>
    <w:rsid w:val="006C5EF7"/>
    <w:rsid w:val="006C6110"/>
    <w:rsid w:val="006C61BD"/>
    <w:rsid w:val="006C61EA"/>
    <w:rsid w:val="006C61F3"/>
    <w:rsid w:val="006C6452"/>
    <w:rsid w:val="006C6458"/>
    <w:rsid w:val="006C645C"/>
    <w:rsid w:val="006C649F"/>
    <w:rsid w:val="006C671E"/>
    <w:rsid w:val="006C6828"/>
    <w:rsid w:val="006C6841"/>
    <w:rsid w:val="006C6989"/>
    <w:rsid w:val="006C6B04"/>
    <w:rsid w:val="006C6B92"/>
    <w:rsid w:val="006C6BED"/>
    <w:rsid w:val="006C6C1D"/>
    <w:rsid w:val="006C6C93"/>
    <w:rsid w:val="006C6FFD"/>
    <w:rsid w:val="006C702A"/>
    <w:rsid w:val="006C7052"/>
    <w:rsid w:val="006C7053"/>
    <w:rsid w:val="006C7091"/>
    <w:rsid w:val="006C7172"/>
    <w:rsid w:val="006C72D2"/>
    <w:rsid w:val="006C73CF"/>
    <w:rsid w:val="006C7466"/>
    <w:rsid w:val="006C7479"/>
    <w:rsid w:val="006C78C0"/>
    <w:rsid w:val="006C7B01"/>
    <w:rsid w:val="006C7B15"/>
    <w:rsid w:val="006C7C70"/>
    <w:rsid w:val="006C7CAB"/>
    <w:rsid w:val="006C7D02"/>
    <w:rsid w:val="006C7D0C"/>
    <w:rsid w:val="006C7D86"/>
    <w:rsid w:val="006C7E01"/>
    <w:rsid w:val="006C7E2E"/>
    <w:rsid w:val="006C7EF0"/>
    <w:rsid w:val="006C7FA8"/>
    <w:rsid w:val="006CA001"/>
    <w:rsid w:val="006D01BB"/>
    <w:rsid w:val="006D028D"/>
    <w:rsid w:val="006D0363"/>
    <w:rsid w:val="006D0439"/>
    <w:rsid w:val="006D043B"/>
    <w:rsid w:val="006D0519"/>
    <w:rsid w:val="006D051C"/>
    <w:rsid w:val="006D070D"/>
    <w:rsid w:val="006D07A7"/>
    <w:rsid w:val="006D07DD"/>
    <w:rsid w:val="006D0867"/>
    <w:rsid w:val="006D08A1"/>
    <w:rsid w:val="006D08A5"/>
    <w:rsid w:val="006D0991"/>
    <w:rsid w:val="006D0BEC"/>
    <w:rsid w:val="006D0C0A"/>
    <w:rsid w:val="006D0C1A"/>
    <w:rsid w:val="006D0CEA"/>
    <w:rsid w:val="006D0DBB"/>
    <w:rsid w:val="006D0E72"/>
    <w:rsid w:val="006D0F14"/>
    <w:rsid w:val="006D0FCE"/>
    <w:rsid w:val="006D1094"/>
    <w:rsid w:val="006D10FC"/>
    <w:rsid w:val="006D1100"/>
    <w:rsid w:val="006D120A"/>
    <w:rsid w:val="006D1212"/>
    <w:rsid w:val="006D12E1"/>
    <w:rsid w:val="006D1317"/>
    <w:rsid w:val="006D1378"/>
    <w:rsid w:val="006D1572"/>
    <w:rsid w:val="006D158B"/>
    <w:rsid w:val="006D1711"/>
    <w:rsid w:val="006D185C"/>
    <w:rsid w:val="006D1AB3"/>
    <w:rsid w:val="006D1BDA"/>
    <w:rsid w:val="006D1C7F"/>
    <w:rsid w:val="006D1E58"/>
    <w:rsid w:val="006D205B"/>
    <w:rsid w:val="006D2069"/>
    <w:rsid w:val="006D2215"/>
    <w:rsid w:val="006D224D"/>
    <w:rsid w:val="006D22B4"/>
    <w:rsid w:val="006D238F"/>
    <w:rsid w:val="006D23C5"/>
    <w:rsid w:val="006D25D6"/>
    <w:rsid w:val="006D2668"/>
    <w:rsid w:val="006D272F"/>
    <w:rsid w:val="006D2994"/>
    <w:rsid w:val="006D29BE"/>
    <w:rsid w:val="006D2C14"/>
    <w:rsid w:val="006D2C68"/>
    <w:rsid w:val="006D2DF2"/>
    <w:rsid w:val="006D2E2B"/>
    <w:rsid w:val="006D2FA0"/>
    <w:rsid w:val="006D3024"/>
    <w:rsid w:val="006D3082"/>
    <w:rsid w:val="006D30E5"/>
    <w:rsid w:val="006D316F"/>
    <w:rsid w:val="006D34D1"/>
    <w:rsid w:val="006D3549"/>
    <w:rsid w:val="006D385C"/>
    <w:rsid w:val="006D39A4"/>
    <w:rsid w:val="006D3B04"/>
    <w:rsid w:val="006D3C72"/>
    <w:rsid w:val="006D3CEC"/>
    <w:rsid w:val="006D3D0F"/>
    <w:rsid w:val="006D3D15"/>
    <w:rsid w:val="006D3E01"/>
    <w:rsid w:val="006D3E44"/>
    <w:rsid w:val="006D3F36"/>
    <w:rsid w:val="006D3F6E"/>
    <w:rsid w:val="006D3FEF"/>
    <w:rsid w:val="006D401D"/>
    <w:rsid w:val="006D40AD"/>
    <w:rsid w:val="006D41D8"/>
    <w:rsid w:val="006D43E4"/>
    <w:rsid w:val="006D4435"/>
    <w:rsid w:val="006D445C"/>
    <w:rsid w:val="006D4507"/>
    <w:rsid w:val="006D467F"/>
    <w:rsid w:val="006D4AB0"/>
    <w:rsid w:val="006D4BFC"/>
    <w:rsid w:val="006D4DF7"/>
    <w:rsid w:val="006D4F7C"/>
    <w:rsid w:val="006D4FBD"/>
    <w:rsid w:val="006D4FF1"/>
    <w:rsid w:val="006D50B2"/>
    <w:rsid w:val="006D5331"/>
    <w:rsid w:val="006D5397"/>
    <w:rsid w:val="006D53DF"/>
    <w:rsid w:val="006D54E2"/>
    <w:rsid w:val="006D578C"/>
    <w:rsid w:val="006D57A5"/>
    <w:rsid w:val="006D5959"/>
    <w:rsid w:val="006D5A86"/>
    <w:rsid w:val="006D5ADB"/>
    <w:rsid w:val="006D5B75"/>
    <w:rsid w:val="006D5BA6"/>
    <w:rsid w:val="006D5BEB"/>
    <w:rsid w:val="006D5CC7"/>
    <w:rsid w:val="006D5CE9"/>
    <w:rsid w:val="006D5D8A"/>
    <w:rsid w:val="006D5EA8"/>
    <w:rsid w:val="006D5EE3"/>
    <w:rsid w:val="006D5F3C"/>
    <w:rsid w:val="006D5FB6"/>
    <w:rsid w:val="006D6092"/>
    <w:rsid w:val="006D60AC"/>
    <w:rsid w:val="006D615B"/>
    <w:rsid w:val="006D61FA"/>
    <w:rsid w:val="006D66C9"/>
    <w:rsid w:val="006D66DB"/>
    <w:rsid w:val="006D67C7"/>
    <w:rsid w:val="006D689C"/>
    <w:rsid w:val="006D692C"/>
    <w:rsid w:val="006D69DF"/>
    <w:rsid w:val="006D6A14"/>
    <w:rsid w:val="006D6B89"/>
    <w:rsid w:val="006D6C24"/>
    <w:rsid w:val="006D6CC3"/>
    <w:rsid w:val="006D6E8A"/>
    <w:rsid w:val="006D7057"/>
    <w:rsid w:val="006D70D1"/>
    <w:rsid w:val="006D7207"/>
    <w:rsid w:val="006D7212"/>
    <w:rsid w:val="006D738F"/>
    <w:rsid w:val="006D73CE"/>
    <w:rsid w:val="006D73E3"/>
    <w:rsid w:val="006D7439"/>
    <w:rsid w:val="006D746A"/>
    <w:rsid w:val="006D74AE"/>
    <w:rsid w:val="006D7547"/>
    <w:rsid w:val="006D7551"/>
    <w:rsid w:val="006D76A9"/>
    <w:rsid w:val="006D780B"/>
    <w:rsid w:val="006D7856"/>
    <w:rsid w:val="006D78DC"/>
    <w:rsid w:val="006D78FC"/>
    <w:rsid w:val="006D7938"/>
    <w:rsid w:val="006D798C"/>
    <w:rsid w:val="006D79A3"/>
    <w:rsid w:val="006D79C0"/>
    <w:rsid w:val="006D7A03"/>
    <w:rsid w:val="006D7B13"/>
    <w:rsid w:val="006D7B9C"/>
    <w:rsid w:val="006D7C30"/>
    <w:rsid w:val="006D7C8D"/>
    <w:rsid w:val="006D7D51"/>
    <w:rsid w:val="006D7DB5"/>
    <w:rsid w:val="006D7DE5"/>
    <w:rsid w:val="006D7F86"/>
    <w:rsid w:val="006D7FA9"/>
    <w:rsid w:val="006D7FD5"/>
    <w:rsid w:val="006D7FDB"/>
    <w:rsid w:val="006E000C"/>
    <w:rsid w:val="006E0065"/>
    <w:rsid w:val="006E00E1"/>
    <w:rsid w:val="006E0242"/>
    <w:rsid w:val="006E02AF"/>
    <w:rsid w:val="006E0378"/>
    <w:rsid w:val="006E038F"/>
    <w:rsid w:val="006E03F9"/>
    <w:rsid w:val="006E0487"/>
    <w:rsid w:val="006E0492"/>
    <w:rsid w:val="006E0498"/>
    <w:rsid w:val="006E05B8"/>
    <w:rsid w:val="006E06AF"/>
    <w:rsid w:val="006E0881"/>
    <w:rsid w:val="006E08C1"/>
    <w:rsid w:val="006E08C2"/>
    <w:rsid w:val="006E08E3"/>
    <w:rsid w:val="006E09D4"/>
    <w:rsid w:val="006E0A9F"/>
    <w:rsid w:val="006E0B1D"/>
    <w:rsid w:val="006E0DB2"/>
    <w:rsid w:val="006E10B9"/>
    <w:rsid w:val="006E111F"/>
    <w:rsid w:val="006E1275"/>
    <w:rsid w:val="006E13D3"/>
    <w:rsid w:val="006E14BF"/>
    <w:rsid w:val="006E14FF"/>
    <w:rsid w:val="006E1520"/>
    <w:rsid w:val="006E156B"/>
    <w:rsid w:val="006E156E"/>
    <w:rsid w:val="006E16EC"/>
    <w:rsid w:val="006E172F"/>
    <w:rsid w:val="006E1946"/>
    <w:rsid w:val="006E1AAD"/>
    <w:rsid w:val="006E1AB8"/>
    <w:rsid w:val="006E1B91"/>
    <w:rsid w:val="006E1B9D"/>
    <w:rsid w:val="006E1C21"/>
    <w:rsid w:val="006E1D79"/>
    <w:rsid w:val="006E1DBD"/>
    <w:rsid w:val="006E1E07"/>
    <w:rsid w:val="006E1E1D"/>
    <w:rsid w:val="006E1E62"/>
    <w:rsid w:val="006E1F43"/>
    <w:rsid w:val="006E2019"/>
    <w:rsid w:val="006E2136"/>
    <w:rsid w:val="006E2279"/>
    <w:rsid w:val="006E229D"/>
    <w:rsid w:val="006E22E2"/>
    <w:rsid w:val="006E236E"/>
    <w:rsid w:val="006E23CF"/>
    <w:rsid w:val="006E2425"/>
    <w:rsid w:val="006E2466"/>
    <w:rsid w:val="006E24E2"/>
    <w:rsid w:val="006E25FE"/>
    <w:rsid w:val="006E260C"/>
    <w:rsid w:val="006E2783"/>
    <w:rsid w:val="006E27A7"/>
    <w:rsid w:val="006E27E4"/>
    <w:rsid w:val="006E2961"/>
    <w:rsid w:val="006E2999"/>
    <w:rsid w:val="006E2AAA"/>
    <w:rsid w:val="006E2AEF"/>
    <w:rsid w:val="006E2C0E"/>
    <w:rsid w:val="006E2C29"/>
    <w:rsid w:val="006E2E1D"/>
    <w:rsid w:val="006E30C7"/>
    <w:rsid w:val="006E3111"/>
    <w:rsid w:val="006E313B"/>
    <w:rsid w:val="006E322F"/>
    <w:rsid w:val="006E327F"/>
    <w:rsid w:val="006E33D4"/>
    <w:rsid w:val="006E33E8"/>
    <w:rsid w:val="006E33F2"/>
    <w:rsid w:val="006E349C"/>
    <w:rsid w:val="006E34F0"/>
    <w:rsid w:val="006E3541"/>
    <w:rsid w:val="006E3544"/>
    <w:rsid w:val="006E395E"/>
    <w:rsid w:val="006E3ABE"/>
    <w:rsid w:val="006E3DCB"/>
    <w:rsid w:val="006E3E67"/>
    <w:rsid w:val="006E3F96"/>
    <w:rsid w:val="006E4058"/>
    <w:rsid w:val="006E4096"/>
    <w:rsid w:val="006E40F8"/>
    <w:rsid w:val="006E4100"/>
    <w:rsid w:val="006E4132"/>
    <w:rsid w:val="006E4212"/>
    <w:rsid w:val="006E441C"/>
    <w:rsid w:val="006E449B"/>
    <w:rsid w:val="006E44FB"/>
    <w:rsid w:val="006E459E"/>
    <w:rsid w:val="006E4896"/>
    <w:rsid w:val="006E4A6F"/>
    <w:rsid w:val="006E4A72"/>
    <w:rsid w:val="006E4AAD"/>
    <w:rsid w:val="006E4AB6"/>
    <w:rsid w:val="006E4AD7"/>
    <w:rsid w:val="006E4DE9"/>
    <w:rsid w:val="006E4E21"/>
    <w:rsid w:val="006E4E9F"/>
    <w:rsid w:val="006E50B9"/>
    <w:rsid w:val="006E5142"/>
    <w:rsid w:val="006E528D"/>
    <w:rsid w:val="006E52EA"/>
    <w:rsid w:val="006E54F3"/>
    <w:rsid w:val="006E5583"/>
    <w:rsid w:val="006E560D"/>
    <w:rsid w:val="006E57E7"/>
    <w:rsid w:val="006E57F6"/>
    <w:rsid w:val="006E58C4"/>
    <w:rsid w:val="006E5A2E"/>
    <w:rsid w:val="006E5A47"/>
    <w:rsid w:val="006E5AB0"/>
    <w:rsid w:val="006E5B02"/>
    <w:rsid w:val="006E5BD3"/>
    <w:rsid w:val="006E5C81"/>
    <w:rsid w:val="006E5C87"/>
    <w:rsid w:val="006E5D3D"/>
    <w:rsid w:val="006E5D4B"/>
    <w:rsid w:val="006E5E0B"/>
    <w:rsid w:val="006E5E1E"/>
    <w:rsid w:val="006E5E38"/>
    <w:rsid w:val="006E5FD2"/>
    <w:rsid w:val="006E6001"/>
    <w:rsid w:val="006E60A9"/>
    <w:rsid w:val="006E611B"/>
    <w:rsid w:val="006E6188"/>
    <w:rsid w:val="006E61E7"/>
    <w:rsid w:val="006E6276"/>
    <w:rsid w:val="006E627F"/>
    <w:rsid w:val="006E633D"/>
    <w:rsid w:val="006E639F"/>
    <w:rsid w:val="006E63E9"/>
    <w:rsid w:val="006E64B7"/>
    <w:rsid w:val="006E651C"/>
    <w:rsid w:val="006E6659"/>
    <w:rsid w:val="006E676F"/>
    <w:rsid w:val="006E68CB"/>
    <w:rsid w:val="006E690B"/>
    <w:rsid w:val="006E6938"/>
    <w:rsid w:val="006E6ACD"/>
    <w:rsid w:val="006E6BD5"/>
    <w:rsid w:val="006E6CA4"/>
    <w:rsid w:val="006E6D28"/>
    <w:rsid w:val="006E6D38"/>
    <w:rsid w:val="006E6D67"/>
    <w:rsid w:val="006E6F4C"/>
    <w:rsid w:val="006E70DB"/>
    <w:rsid w:val="006E72D9"/>
    <w:rsid w:val="006E7365"/>
    <w:rsid w:val="006E742F"/>
    <w:rsid w:val="006E7485"/>
    <w:rsid w:val="006E7582"/>
    <w:rsid w:val="006E766E"/>
    <w:rsid w:val="006E76DC"/>
    <w:rsid w:val="006E7780"/>
    <w:rsid w:val="006E780A"/>
    <w:rsid w:val="006E79D2"/>
    <w:rsid w:val="006E7B38"/>
    <w:rsid w:val="006E7B4D"/>
    <w:rsid w:val="006E7BD3"/>
    <w:rsid w:val="006E7C0D"/>
    <w:rsid w:val="006E7D0F"/>
    <w:rsid w:val="006E7FB3"/>
    <w:rsid w:val="006F000A"/>
    <w:rsid w:val="006F0046"/>
    <w:rsid w:val="006F00C6"/>
    <w:rsid w:val="006F017F"/>
    <w:rsid w:val="006F0343"/>
    <w:rsid w:val="006F037B"/>
    <w:rsid w:val="006F04FA"/>
    <w:rsid w:val="006F04FE"/>
    <w:rsid w:val="006F0515"/>
    <w:rsid w:val="006F052E"/>
    <w:rsid w:val="006F0576"/>
    <w:rsid w:val="006F05C4"/>
    <w:rsid w:val="006F06DB"/>
    <w:rsid w:val="006F0706"/>
    <w:rsid w:val="006F0715"/>
    <w:rsid w:val="006F081A"/>
    <w:rsid w:val="006F0833"/>
    <w:rsid w:val="006F0835"/>
    <w:rsid w:val="006F08A8"/>
    <w:rsid w:val="006F095C"/>
    <w:rsid w:val="006F0980"/>
    <w:rsid w:val="006F0A7D"/>
    <w:rsid w:val="006F0B36"/>
    <w:rsid w:val="006F0B68"/>
    <w:rsid w:val="006F0C72"/>
    <w:rsid w:val="006F0CAB"/>
    <w:rsid w:val="006F0CEC"/>
    <w:rsid w:val="006F0DBD"/>
    <w:rsid w:val="006F0DF1"/>
    <w:rsid w:val="006F0E88"/>
    <w:rsid w:val="006F0F10"/>
    <w:rsid w:val="006F112F"/>
    <w:rsid w:val="006F1167"/>
    <w:rsid w:val="006F11E4"/>
    <w:rsid w:val="006F128D"/>
    <w:rsid w:val="006F129A"/>
    <w:rsid w:val="006F1494"/>
    <w:rsid w:val="006F14C5"/>
    <w:rsid w:val="006F1624"/>
    <w:rsid w:val="006F172D"/>
    <w:rsid w:val="006F17AE"/>
    <w:rsid w:val="006F17B2"/>
    <w:rsid w:val="006F182F"/>
    <w:rsid w:val="006F1838"/>
    <w:rsid w:val="006F186B"/>
    <w:rsid w:val="006F1876"/>
    <w:rsid w:val="006F1A73"/>
    <w:rsid w:val="006F1AAC"/>
    <w:rsid w:val="006F1AC5"/>
    <w:rsid w:val="006F1B63"/>
    <w:rsid w:val="006F1BF1"/>
    <w:rsid w:val="006F1C4B"/>
    <w:rsid w:val="006F1CB0"/>
    <w:rsid w:val="006F1D82"/>
    <w:rsid w:val="006F1E25"/>
    <w:rsid w:val="006F1E44"/>
    <w:rsid w:val="006F1E46"/>
    <w:rsid w:val="006F1EAB"/>
    <w:rsid w:val="006F1F39"/>
    <w:rsid w:val="006F1F4A"/>
    <w:rsid w:val="006F210A"/>
    <w:rsid w:val="006F21E9"/>
    <w:rsid w:val="006F231A"/>
    <w:rsid w:val="006F23D5"/>
    <w:rsid w:val="006F23EF"/>
    <w:rsid w:val="006F23FE"/>
    <w:rsid w:val="006F2422"/>
    <w:rsid w:val="006F24CA"/>
    <w:rsid w:val="006F25AD"/>
    <w:rsid w:val="006F26D2"/>
    <w:rsid w:val="006F26FB"/>
    <w:rsid w:val="006F2894"/>
    <w:rsid w:val="006F28D7"/>
    <w:rsid w:val="006F28DC"/>
    <w:rsid w:val="006F2954"/>
    <w:rsid w:val="006F2A05"/>
    <w:rsid w:val="006F2B48"/>
    <w:rsid w:val="006F2B92"/>
    <w:rsid w:val="006F2C00"/>
    <w:rsid w:val="006F2C8C"/>
    <w:rsid w:val="006F2D1B"/>
    <w:rsid w:val="006F2D53"/>
    <w:rsid w:val="006F2F57"/>
    <w:rsid w:val="006F2F74"/>
    <w:rsid w:val="006F2FFD"/>
    <w:rsid w:val="006F31CD"/>
    <w:rsid w:val="006F3230"/>
    <w:rsid w:val="006F334D"/>
    <w:rsid w:val="006F33ED"/>
    <w:rsid w:val="006F356C"/>
    <w:rsid w:val="006F360B"/>
    <w:rsid w:val="006F3684"/>
    <w:rsid w:val="006F374F"/>
    <w:rsid w:val="006F37B1"/>
    <w:rsid w:val="006F3875"/>
    <w:rsid w:val="006F38C7"/>
    <w:rsid w:val="006F3908"/>
    <w:rsid w:val="006F3A69"/>
    <w:rsid w:val="006F3AA7"/>
    <w:rsid w:val="006F3B2E"/>
    <w:rsid w:val="006F3BE9"/>
    <w:rsid w:val="006F3EB5"/>
    <w:rsid w:val="006F3FE5"/>
    <w:rsid w:val="006F407D"/>
    <w:rsid w:val="006F40EF"/>
    <w:rsid w:val="006F418F"/>
    <w:rsid w:val="006F41F4"/>
    <w:rsid w:val="006F4304"/>
    <w:rsid w:val="006F43B0"/>
    <w:rsid w:val="006F441E"/>
    <w:rsid w:val="006F4436"/>
    <w:rsid w:val="006F46BC"/>
    <w:rsid w:val="006F475E"/>
    <w:rsid w:val="006F4953"/>
    <w:rsid w:val="006F49EE"/>
    <w:rsid w:val="006F4B9F"/>
    <w:rsid w:val="006F4DC4"/>
    <w:rsid w:val="006F4E4E"/>
    <w:rsid w:val="006F4ECC"/>
    <w:rsid w:val="006F4F20"/>
    <w:rsid w:val="006F4FE0"/>
    <w:rsid w:val="006F5164"/>
    <w:rsid w:val="006F520A"/>
    <w:rsid w:val="006F523B"/>
    <w:rsid w:val="006F53D7"/>
    <w:rsid w:val="006F54E8"/>
    <w:rsid w:val="006F5520"/>
    <w:rsid w:val="006F5666"/>
    <w:rsid w:val="006F5709"/>
    <w:rsid w:val="006F59F6"/>
    <w:rsid w:val="006F5AF9"/>
    <w:rsid w:val="006F5B6B"/>
    <w:rsid w:val="006F5BD4"/>
    <w:rsid w:val="006F5C2C"/>
    <w:rsid w:val="006F5CE5"/>
    <w:rsid w:val="006F5D67"/>
    <w:rsid w:val="006F60DF"/>
    <w:rsid w:val="006F6174"/>
    <w:rsid w:val="006F6199"/>
    <w:rsid w:val="006F61E2"/>
    <w:rsid w:val="006F6248"/>
    <w:rsid w:val="006F62AD"/>
    <w:rsid w:val="006F62D3"/>
    <w:rsid w:val="006F62F7"/>
    <w:rsid w:val="006F6322"/>
    <w:rsid w:val="006F63EA"/>
    <w:rsid w:val="006F64E6"/>
    <w:rsid w:val="006F6654"/>
    <w:rsid w:val="006F6718"/>
    <w:rsid w:val="006F68CB"/>
    <w:rsid w:val="006F69D5"/>
    <w:rsid w:val="006F6C65"/>
    <w:rsid w:val="006F6D4C"/>
    <w:rsid w:val="006F6EBD"/>
    <w:rsid w:val="006F6F27"/>
    <w:rsid w:val="006F6FCC"/>
    <w:rsid w:val="006F70B3"/>
    <w:rsid w:val="006F71B7"/>
    <w:rsid w:val="006F71E7"/>
    <w:rsid w:val="006F7367"/>
    <w:rsid w:val="006F7413"/>
    <w:rsid w:val="006F7447"/>
    <w:rsid w:val="006F744F"/>
    <w:rsid w:val="006F7714"/>
    <w:rsid w:val="006F77F0"/>
    <w:rsid w:val="006F7835"/>
    <w:rsid w:val="006F7922"/>
    <w:rsid w:val="006F79A2"/>
    <w:rsid w:val="006F7AAB"/>
    <w:rsid w:val="006F7AB1"/>
    <w:rsid w:val="006F7AC9"/>
    <w:rsid w:val="006F7B50"/>
    <w:rsid w:val="006F7B76"/>
    <w:rsid w:val="006F7BB9"/>
    <w:rsid w:val="006F7BFD"/>
    <w:rsid w:val="006F7C85"/>
    <w:rsid w:val="006F7D14"/>
    <w:rsid w:val="006F7D82"/>
    <w:rsid w:val="006F7DFD"/>
    <w:rsid w:val="007000EC"/>
    <w:rsid w:val="007000F2"/>
    <w:rsid w:val="0070012F"/>
    <w:rsid w:val="007001B4"/>
    <w:rsid w:val="00700615"/>
    <w:rsid w:val="00700637"/>
    <w:rsid w:val="007006E9"/>
    <w:rsid w:val="0070076F"/>
    <w:rsid w:val="007009C7"/>
    <w:rsid w:val="00700B52"/>
    <w:rsid w:val="00700C47"/>
    <w:rsid w:val="00700C50"/>
    <w:rsid w:val="00700C9E"/>
    <w:rsid w:val="0070100E"/>
    <w:rsid w:val="00701028"/>
    <w:rsid w:val="0070115B"/>
    <w:rsid w:val="0070119F"/>
    <w:rsid w:val="00701341"/>
    <w:rsid w:val="007013DD"/>
    <w:rsid w:val="007014E2"/>
    <w:rsid w:val="007015C0"/>
    <w:rsid w:val="00701964"/>
    <w:rsid w:val="00701A60"/>
    <w:rsid w:val="00701AEF"/>
    <w:rsid w:val="00701BCD"/>
    <w:rsid w:val="00701C29"/>
    <w:rsid w:val="00701DA6"/>
    <w:rsid w:val="00701F91"/>
    <w:rsid w:val="00702055"/>
    <w:rsid w:val="007020E5"/>
    <w:rsid w:val="0070212C"/>
    <w:rsid w:val="007024BE"/>
    <w:rsid w:val="007025D3"/>
    <w:rsid w:val="007025DA"/>
    <w:rsid w:val="0070284C"/>
    <w:rsid w:val="007028EF"/>
    <w:rsid w:val="00702A24"/>
    <w:rsid w:val="00702A51"/>
    <w:rsid w:val="00702A88"/>
    <w:rsid w:val="00702B7C"/>
    <w:rsid w:val="00702C5C"/>
    <w:rsid w:val="00702D4A"/>
    <w:rsid w:val="00702D5A"/>
    <w:rsid w:val="00702DFC"/>
    <w:rsid w:val="00702F03"/>
    <w:rsid w:val="00702F1D"/>
    <w:rsid w:val="00702F4A"/>
    <w:rsid w:val="007031E0"/>
    <w:rsid w:val="00703275"/>
    <w:rsid w:val="007032B8"/>
    <w:rsid w:val="00703368"/>
    <w:rsid w:val="0070346B"/>
    <w:rsid w:val="0070351F"/>
    <w:rsid w:val="007035DE"/>
    <w:rsid w:val="0070363D"/>
    <w:rsid w:val="00703698"/>
    <w:rsid w:val="0070369E"/>
    <w:rsid w:val="0070380F"/>
    <w:rsid w:val="0070387B"/>
    <w:rsid w:val="007038F0"/>
    <w:rsid w:val="00703947"/>
    <w:rsid w:val="0070398A"/>
    <w:rsid w:val="007039B2"/>
    <w:rsid w:val="00703B68"/>
    <w:rsid w:val="00703D33"/>
    <w:rsid w:val="00703D9E"/>
    <w:rsid w:val="00703E26"/>
    <w:rsid w:val="00703EA9"/>
    <w:rsid w:val="00703EE2"/>
    <w:rsid w:val="00703F3F"/>
    <w:rsid w:val="00703F54"/>
    <w:rsid w:val="00704057"/>
    <w:rsid w:val="00704107"/>
    <w:rsid w:val="00704135"/>
    <w:rsid w:val="0070414D"/>
    <w:rsid w:val="00704274"/>
    <w:rsid w:val="007042FA"/>
    <w:rsid w:val="007043A0"/>
    <w:rsid w:val="00704430"/>
    <w:rsid w:val="007045DA"/>
    <w:rsid w:val="007045E9"/>
    <w:rsid w:val="0070465E"/>
    <w:rsid w:val="00704875"/>
    <w:rsid w:val="00704923"/>
    <w:rsid w:val="00704989"/>
    <w:rsid w:val="00704AA7"/>
    <w:rsid w:val="00704B0B"/>
    <w:rsid w:val="00704B16"/>
    <w:rsid w:val="00704B18"/>
    <w:rsid w:val="00704B26"/>
    <w:rsid w:val="00704B37"/>
    <w:rsid w:val="00704B3C"/>
    <w:rsid w:val="00704BDC"/>
    <w:rsid w:val="00704CD5"/>
    <w:rsid w:val="00704EC9"/>
    <w:rsid w:val="00704FF3"/>
    <w:rsid w:val="00705052"/>
    <w:rsid w:val="00705076"/>
    <w:rsid w:val="007051C1"/>
    <w:rsid w:val="00705229"/>
    <w:rsid w:val="00705254"/>
    <w:rsid w:val="0070533F"/>
    <w:rsid w:val="007053BA"/>
    <w:rsid w:val="0070540A"/>
    <w:rsid w:val="00705413"/>
    <w:rsid w:val="0070543C"/>
    <w:rsid w:val="007055F6"/>
    <w:rsid w:val="00705653"/>
    <w:rsid w:val="007056D6"/>
    <w:rsid w:val="007056E5"/>
    <w:rsid w:val="00705705"/>
    <w:rsid w:val="0070571F"/>
    <w:rsid w:val="007057CA"/>
    <w:rsid w:val="0070594C"/>
    <w:rsid w:val="007059D7"/>
    <w:rsid w:val="00705AF5"/>
    <w:rsid w:val="00705B32"/>
    <w:rsid w:val="00705DAF"/>
    <w:rsid w:val="00705E83"/>
    <w:rsid w:val="00705F04"/>
    <w:rsid w:val="00705F8E"/>
    <w:rsid w:val="007060AB"/>
    <w:rsid w:val="00706327"/>
    <w:rsid w:val="00706391"/>
    <w:rsid w:val="00706461"/>
    <w:rsid w:val="007064FE"/>
    <w:rsid w:val="00706510"/>
    <w:rsid w:val="0070651B"/>
    <w:rsid w:val="007066CA"/>
    <w:rsid w:val="00706884"/>
    <w:rsid w:val="00706ACF"/>
    <w:rsid w:val="00706B7C"/>
    <w:rsid w:val="00706C3F"/>
    <w:rsid w:val="00706DED"/>
    <w:rsid w:val="00706E6E"/>
    <w:rsid w:val="00706EAC"/>
    <w:rsid w:val="00706FBE"/>
    <w:rsid w:val="0070702C"/>
    <w:rsid w:val="0070708F"/>
    <w:rsid w:val="0070714E"/>
    <w:rsid w:val="0070715B"/>
    <w:rsid w:val="0070719F"/>
    <w:rsid w:val="007071EE"/>
    <w:rsid w:val="0070730F"/>
    <w:rsid w:val="00707325"/>
    <w:rsid w:val="0070741D"/>
    <w:rsid w:val="00707506"/>
    <w:rsid w:val="007075CA"/>
    <w:rsid w:val="007076EC"/>
    <w:rsid w:val="00707728"/>
    <w:rsid w:val="00707878"/>
    <w:rsid w:val="007078B3"/>
    <w:rsid w:val="0070794A"/>
    <w:rsid w:val="00707AB0"/>
    <w:rsid w:val="00707B01"/>
    <w:rsid w:val="00707C4D"/>
    <w:rsid w:val="00707C6E"/>
    <w:rsid w:val="00707D3E"/>
    <w:rsid w:val="00707EC6"/>
    <w:rsid w:val="00710000"/>
    <w:rsid w:val="007100A7"/>
    <w:rsid w:val="007100D5"/>
    <w:rsid w:val="007102DC"/>
    <w:rsid w:val="007105C3"/>
    <w:rsid w:val="00710755"/>
    <w:rsid w:val="00710848"/>
    <w:rsid w:val="0071098E"/>
    <w:rsid w:val="007109F7"/>
    <w:rsid w:val="00710A39"/>
    <w:rsid w:val="00710C98"/>
    <w:rsid w:val="00710CD0"/>
    <w:rsid w:val="00710DA0"/>
    <w:rsid w:val="00710E9F"/>
    <w:rsid w:val="00710ECB"/>
    <w:rsid w:val="00710EE3"/>
    <w:rsid w:val="0071138A"/>
    <w:rsid w:val="00711472"/>
    <w:rsid w:val="00711532"/>
    <w:rsid w:val="00711671"/>
    <w:rsid w:val="007117CE"/>
    <w:rsid w:val="007117FB"/>
    <w:rsid w:val="00711923"/>
    <w:rsid w:val="0071197D"/>
    <w:rsid w:val="007119E2"/>
    <w:rsid w:val="00711A77"/>
    <w:rsid w:val="00711B07"/>
    <w:rsid w:val="00711C5C"/>
    <w:rsid w:val="00711C5D"/>
    <w:rsid w:val="00711C80"/>
    <w:rsid w:val="00711CE4"/>
    <w:rsid w:val="00711D12"/>
    <w:rsid w:val="00711D2B"/>
    <w:rsid w:val="00711D5C"/>
    <w:rsid w:val="00711E20"/>
    <w:rsid w:val="00711E57"/>
    <w:rsid w:val="00711FBA"/>
    <w:rsid w:val="00711FFA"/>
    <w:rsid w:val="00712031"/>
    <w:rsid w:val="0071214E"/>
    <w:rsid w:val="007121A8"/>
    <w:rsid w:val="007121B8"/>
    <w:rsid w:val="00712201"/>
    <w:rsid w:val="00712210"/>
    <w:rsid w:val="00712275"/>
    <w:rsid w:val="007122DE"/>
    <w:rsid w:val="0071232F"/>
    <w:rsid w:val="00712470"/>
    <w:rsid w:val="00712480"/>
    <w:rsid w:val="00712810"/>
    <w:rsid w:val="00712982"/>
    <w:rsid w:val="0071299C"/>
    <w:rsid w:val="007129F3"/>
    <w:rsid w:val="00712A2A"/>
    <w:rsid w:val="00712A48"/>
    <w:rsid w:val="00712AFB"/>
    <w:rsid w:val="00712B83"/>
    <w:rsid w:val="00712BAB"/>
    <w:rsid w:val="00712BCD"/>
    <w:rsid w:val="00712C09"/>
    <w:rsid w:val="00712D00"/>
    <w:rsid w:val="00712DD0"/>
    <w:rsid w:val="00712E0D"/>
    <w:rsid w:val="00712E7D"/>
    <w:rsid w:val="00712EA1"/>
    <w:rsid w:val="00712F58"/>
    <w:rsid w:val="00712F98"/>
    <w:rsid w:val="00712FA9"/>
    <w:rsid w:val="00712FAC"/>
    <w:rsid w:val="00713029"/>
    <w:rsid w:val="00713034"/>
    <w:rsid w:val="00713103"/>
    <w:rsid w:val="00713140"/>
    <w:rsid w:val="0071316E"/>
    <w:rsid w:val="007131D2"/>
    <w:rsid w:val="007131E0"/>
    <w:rsid w:val="00713523"/>
    <w:rsid w:val="007135C7"/>
    <w:rsid w:val="00713781"/>
    <w:rsid w:val="00713925"/>
    <w:rsid w:val="007139E6"/>
    <w:rsid w:val="00713A9C"/>
    <w:rsid w:val="00713BB3"/>
    <w:rsid w:val="00713BD4"/>
    <w:rsid w:val="00713C04"/>
    <w:rsid w:val="00713CE3"/>
    <w:rsid w:val="00713D23"/>
    <w:rsid w:val="00713D31"/>
    <w:rsid w:val="00713E97"/>
    <w:rsid w:val="00713EC0"/>
    <w:rsid w:val="007141D7"/>
    <w:rsid w:val="00714419"/>
    <w:rsid w:val="00714502"/>
    <w:rsid w:val="0071450E"/>
    <w:rsid w:val="00714618"/>
    <w:rsid w:val="007146F5"/>
    <w:rsid w:val="00714749"/>
    <w:rsid w:val="007147C4"/>
    <w:rsid w:val="007147DE"/>
    <w:rsid w:val="007148B9"/>
    <w:rsid w:val="007148BC"/>
    <w:rsid w:val="00714901"/>
    <w:rsid w:val="007149AD"/>
    <w:rsid w:val="007149BF"/>
    <w:rsid w:val="00714A72"/>
    <w:rsid w:val="00714AB5"/>
    <w:rsid w:val="00714B6F"/>
    <w:rsid w:val="00714D6D"/>
    <w:rsid w:val="00714E8A"/>
    <w:rsid w:val="00715000"/>
    <w:rsid w:val="0071507F"/>
    <w:rsid w:val="007153E0"/>
    <w:rsid w:val="00715461"/>
    <w:rsid w:val="007154D9"/>
    <w:rsid w:val="007155A0"/>
    <w:rsid w:val="007156EA"/>
    <w:rsid w:val="00715753"/>
    <w:rsid w:val="00715760"/>
    <w:rsid w:val="00715792"/>
    <w:rsid w:val="007157B5"/>
    <w:rsid w:val="007157BF"/>
    <w:rsid w:val="0071586D"/>
    <w:rsid w:val="00715907"/>
    <w:rsid w:val="0071593E"/>
    <w:rsid w:val="00715A28"/>
    <w:rsid w:val="00715AB6"/>
    <w:rsid w:val="00715C0B"/>
    <w:rsid w:val="00715DCD"/>
    <w:rsid w:val="00715FCE"/>
    <w:rsid w:val="007160C7"/>
    <w:rsid w:val="007161A6"/>
    <w:rsid w:val="0071643E"/>
    <w:rsid w:val="0071647E"/>
    <w:rsid w:val="00716499"/>
    <w:rsid w:val="00716588"/>
    <w:rsid w:val="0071661A"/>
    <w:rsid w:val="0071663E"/>
    <w:rsid w:val="00716681"/>
    <w:rsid w:val="0071679E"/>
    <w:rsid w:val="007167DB"/>
    <w:rsid w:val="0071681D"/>
    <w:rsid w:val="00716A93"/>
    <w:rsid w:val="00716B4D"/>
    <w:rsid w:val="00716C63"/>
    <w:rsid w:val="00716E06"/>
    <w:rsid w:val="00716F19"/>
    <w:rsid w:val="00717095"/>
    <w:rsid w:val="007170DF"/>
    <w:rsid w:val="0071715C"/>
    <w:rsid w:val="0071718D"/>
    <w:rsid w:val="00717191"/>
    <w:rsid w:val="007171B9"/>
    <w:rsid w:val="00717367"/>
    <w:rsid w:val="00717475"/>
    <w:rsid w:val="00717552"/>
    <w:rsid w:val="0071772A"/>
    <w:rsid w:val="007178A0"/>
    <w:rsid w:val="00717994"/>
    <w:rsid w:val="007179C7"/>
    <w:rsid w:val="00717A8D"/>
    <w:rsid w:val="00717A9C"/>
    <w:rsid w:val="00717AD4"/>
    <w:rsid w:val="00717B19"/>
    <w:rsid w:val="00717B64"/>
    <w:rsid w:val="00717BD6"/>
    <w:rsid w:val="00717CFE"/>
    <w:rsid w:val="00717D92"/>
    <w:rsid w:val="00717E1C"/>
    <w:rsid w:val="00717E27"/>
    <w:rsid w:val="00717E4B"/>
    <w:rsid w:val="00717EA6"/>
    <w:rsid w:val="00717F39"/>
    <w:rsid w:val="00720123"/>
    <w:rsid w:val="0072012D"/>
    <w:rsid w:val="007201D6"/>
    <w:rsid w:val="0072020F"/>
    <w:rsid w:val="0072026E"/>
    <w:rsid w:val="007202BF"/>
    <w:rsid w:val="0072042D"/>
    <w:rsid w:val="00720462"/>
    <w:rsid w:val="00720474"/>
    <w:rsid w:val="007204EB"/>
    <w:rsid w:val="0072057D"/>
    <w:rsid w:val="007205E1"/>
    <w:rsid w:val="00720677"/>
    <w:rsid w:val="007207A7"/>
    <w:rsid w:val="00720917"/>
    <w:rsid w:val="00720950"/>
    <w:rsid w:val="00720A72"/>
    <w:rsid w:val="00720B17"/>
    <w:rsid w:val="00720D50"/>
    <w:rsid w:val="00720D55"/>
    <w:rsid w:val="00720DAB"/>
    <w:rsid w:val="00720E3A"/>
    <w:rsid w:val="00720F53"/>
    <w:rsid w:val="00720F75"/>
    <w:rsid w:val="00721009"/>
    <w:rsid w:val="00721129"/>
    <w:rsid w:val="00721368"/>
    <w:rsid w:val="007213C3"/>
    <w:rsid w:val="007214E8"/>
    <w:rsid w:val="007215DE"/>
    <w:rsid w:val="00721626"/>
    <w:rsid w:val="0072168F"/>
    <w:rsid w:val="007216B7"/>
    <w:rsid w:val="0072175A"/>
    <w:rsid w:val="00721788"/>
    <w:rsid w:val="0072189A"/>
    <w:rsid w:val="00721C4F"/>
    <w:rsid w:val="00721D27"/>
    <w:rsid w:val="00721D99"/>
    <w:rsid w:val="00721ED2"/>
    <w:rsid w:val="0072200F"/>
    <w:rsid w:val="007220AD"/>
    <w:rsid w:val="0072229C"/>
    <w:rsid w:val="007223B4"/>
    <w:rsid w:val="007223C3"/>
    <w:rsid w:val="00722469"/>
    <w:rsid w:val="00722684"/>
    <w:rsid w:val="00722693"/>
    <w:rsid w:val="0072271C"/>
    <w:rsid w:val="007227F7"/>
    <w:rsid w:val="007229DF"/>
    <w:rsid w:val="00722B31"/>
    <w:rsid w:val="00722B50"/>
    <w:rsid w:val="00722C1F"/>
    <w:rsid w:val="00722C21"/>
    <w:rsid w:val="00722D85"/>
    <w:rsid w:val="00722E4D"/>
    <w:rsid w:val="00722E68"/>
    <w:rsid w:val="00722EA4"/>
    <w:rsid w:val="00722FF2"/>
    <w:rsid w:val="00723023"/>
    <w:rsid w:val="00723136"/>
    <w:rsid w:val="00723187"/>
    <w:rsid w:val="007231C0"/>
    <w:rsid w:val="0072325D"/>
    <w:rsid w:val="007232C8"/>
    <w:rsid w:val="0072338A"/>
    <w:rsid w:val="007233A3"/>
    <w:rsid w:val="007233C4"/>
    <w:rsid w:val="00723472"/>
    <w:rsid w:val="007234F2"/>
    <w:rsid w:val="007235B9"/>
    <w:rsid w:val="0072371F"/>
    <w:rsid w:val="00723755"/>
    <w:rsid w:val="007237E0"/>
    <w:rsid w:val="00723915"/>
    <w:rsid w:val="007239D6"/>
    <w:rsid w:val="00723A38"/>
    <w:rsid w:val="00723BA0"/>
    <w:rsid w:val="00723BD3"/>
    <w:rsid w:val="00723C5B"/>
    <w:rsid w:val="00723C78"/>
    <w:rsid w:val="00723CB3"/>
    <w:rsid w:val="00723DB2"/>
    <w:rsid w:val="00723DDF"/>
    <w:rsid w:val="00723E15"/>
    <w:rsid w:val="00723ED8"/>
    <w:rsid w:val="00723F95"/>
    <w:rsid w:val="007240A4"/>
    <w:rsid w:val="0072410D"/>
    <w:rsid w:val="007241E4"/>
    <w:rsid w:val="007242C5"/>
    <w:rsid w:val="0072436A"/>
    <w:rsid w:val="007244EC"/>
    <w:rsid w:val="007245FC"/>
    <w:rsid w:val="00724703"/>
    <w:rsid w:val="00724A2C"/>
    <w:rsid w:val="00724A3C"/>
    <w:rsid w:val="00724A48"/>
    <w:rsid w:val="00724C6D"/>
    <w:rsid w:val="00724F89"/>
    <w:rsid w:val="007250A1"/>
    <w:rsid w:val="00725189"/>
    <w:rsid w:val="007251AD"/>
    <w:rsid w:val="0072520E"/>
    <w:rsid w:val="007252B8"/>
    <w:rsid w:val="00725321"/>
    <w:rsid w:val="00725516"/>
    <w:rsid w:val="0072552D"/>
    <w:rsid w:val="00725546"/>
    <w:rsid w:val="00725634"/>
    <w:rsid w:val="00725787"/>
    <w:rsid w:val="007257C1"/>
    <w:rsid w:val="007257E9"/>
    <w:rsid w:val="00725814"/>
    <w:rsid w:val="007258F1"/>
    <w:rsid w:val="00725908"/>
    <w:rsid w:val="0072592B"/>
    <w:rsid w:val="0072596D"/>
    <w:rsid w:val="00725B15"/>
    <w:rsid w:val="00725B3B"/>
    <w:rsid w:val="00725BFB"/>
    <w:rsid w:val="00725DC1"/>
    <w:rsid w:val="00725DD1"/>
    <w:rsid w:val="00725E1E"/>
    <w:rsid w:val="00725E6E"/>
    <w:rsid w:val="00725F7A"/>
    <w:rsid w:val="007260D6"/>
    <w:rsid w:val="0072621E"/>
    <w:rsid w:val="0072626A"/>
    <w:rsid w:val="00726283"/>
    <w:rsid w:val="0072634F"/>
    <w:rsid w:val="007265A6"/>
    <w:rsid w:val="00726630"/>
    <w:rsid w:val="0072668C"/>
    <w:rsid w:val="007266C6"/>
    <w:rsid w:val="007266D4"/>
    <w:rsid w:val="00726723"/>
    <w:rsid w:val="00726725"/>
    <w:rsid w:val="0072675C"/>
    <w:rsid w:val="007267A4"/>
    <w:rsid w:val="00726918"/>
    <w:rsid w:val="0072699D"/>
    <w:rsid w:val="00726A02"/>
    <w:rsid w:val="00726AB6"/>
    <w:rsid w:val="00726CE4"/>
    <w:rsid w:val="00726CFC"/>
    <w:rsid w:val="00726DF0"/>
    <w:rsid w:val="00726EAF"/>
    <w:rsid w:val="00726FE7"/>
    <w:rsid w:val="0072704C"/>
    <w:rsid w:val="007270FA"/>
    <w:rsid w:val="00727186"/>
    <w:rsid w:val="007271A5"/>
    <w:rsid w:val="00727279"/>
    <w:rsid w:val="00727399"/>
    <w:rsid w:val="0072745D"/>
    <w:rsid w:val="00727469"/>
    <w:rsid w:val="007274B2"/>
    <w:rsid w:val="00727514"/>
    <w:rsid w:val="007275C0"/>
    <w:rsid w:val="007276FB"/>
    <w:rsid w:val="0072771D"/>
    <w:rsid w:val="0072784F"/>
    <w:rsid w:val="00727A05"/>
    <w:rsid w:val="00727A2F"/>
    <w:rsid w:val="00727AB1"/>
    <w:rsid w:val="00727AC2"/>
    <w:rsid w:val="00727AFB"/>
    <w:rsid w:val="00727BC4"/>
    <w:rsid w:val="00727C71"/>
    <w:rsid w:val="00727CD4"/>
    <w:rsid w:val="00727D6B"/>
    <w:rsid w:val="00727E6C"/>
    <w:rsid w:val="00727F10"/>
    <w:rsid w:val="00727F1C"/>
    <w:rsid w:val="0073003E"/>
    <w:rsid w:val="007301D6"/>
    <w:rsid w:val="007303CC"/>
    <w:rsid w:val="007304E4"/>
    <w:rsid w:val="0073065B"/>
    <w:rsid w:val="0073073F"/>
    <w:rsid w:val="007308D4"/>
    <w:rsid w:val="00730905"/>
    <w:rsid w:val="00730910"/>
    <w:rsid w:val="0073092F"/>
    <w:rsid w:val="00730A61"/>
    <w:rsid w:val="00730AC5"/>
    <w:rsid w:val="00730B20"/>
    <w:rsid w:val="00730B69"/>
    <w:rsid w:val="00730BF0"/>
    <w:rsid w:val="00730E3F"/>
    <w:rsid w:val="00730FBA"/>
    <w:rsid w:val="00731077"/>
    <w:rsid w:val="00731349"/>
    <w:rsid w:val="00731356"/>
    <w:rsid w:val="00731360"/>
    <w:rsid w:val="00731495"/>
    <w:rsid w:val="0073150B"/>
    <w:rsid w:val="00731589"/>
    <w:rsid w:val="007315E2"/>
    <w:rsid w:val="0073166C"/>
    <w:rsid w:val="0073169D"/>
    <w:rsid w:val="007316B3"/>
    <w:rsid w:val="00731730"/>
    <w:rsid w:val="00731755"/>
    <w:rsid w:val="00731826"/>
    <w:rsid w:val="00731878"/>
    <w:rsid w:val="007318E7"/>
    <w:rsid w:val="0073190A"/>
    <w:rsid w:val="00731C54"/>
    <w:rsid w:val="00731C9D"/>
    <w:rsid w:val="00731E65"/>
    <w:rsid w:val="007321A6"/>
    <w:rsid w:val="007321E2"/>
    <w:rsid w:val="00732258"/>
    <w:rsid w:val="0073238D"/>
    <w:rsid w:val="007323F4"/>
    <w:rsid w:val="00732409"/>
    <w:rsid w:val="00732545"/>
    <w:rsid w:val="007326DB"/>
    <w:rsid w:val="007327A1"/>
    <w:rsid w:val="007328B9"/>
    <w:rsid w:val="00732933"/>
    <w:rsid w:val="00732A39"/>
    <w:rsid w:val="00732A70"/>
    <w:rsid w:val="00732A84"/>
    <w:rsid w:val="00732A8C"/>
    <w:rsid w:val="00732ACB"/>
    <w:rsid w:val="00732ADF"/>
    <w:rsid w:val="00732B68"/>
    <w:rsid w:val="00732B99"/>
    <w:rsid w:val="00732BA3"/>
    <w:rsid w:val="00732BDE"/>
    <w:rsid w:val="00732BF0"/>
    <w:rsid w:val="00732BF3"/>
    <w:rsid w:val="00732CC4"/>
    <w:rsid w:val="00732D51"/>
    <w:rsid w:val="00732DAC"/>
    <w:rsid w:val="00732E44"/>
    <w:rsid w:val="00732F62"/>
    <w:rsid w:val="00733147"/>
    <w:rsid w:val="00733288"/>
    <w:rsid w:val="00733317"/>
    <w:rsid w:val="007333BE"/>
    <w:rsid w:val="0073360E"/>
    <w:rsid w:val="0073363F"/>
    <w:rsid w:val="00733687"/>
    <w:rsid w:val="00733776"/>
    <w:rsid w:val="0073386B"/>
    <w:rsid w:val="0073393E"/>
    <w:rsid w:val="00733940"/>
    <w:rsid w:val="0073399F"/>
    <w:rsid w:val="00733A44"/>
    <w:rsid w:val="00733A51"/>
    <w:rsid w:val="00733B2D"/>
    <w:rsid w:val="00733BAF"/>
    <w:rsid w:val="00733BFB"/>
    <w:rsid w:val="00733C46"/>
    <w:rsid w:val="00733CE0"/>
    <w:rsid w:val="00733D0C"/>
    <w:rsid w:val="00733D14"/>
    <w:rsid w:val="00733E59"/>
    <w:rsid w:val="00733E72"/>
    <w:rsid w:val="00733E8F"/>
    <w:rsid w:val="00733ED2"/>
    <w:rsid w:val="00734004"/>
    <w:rsid w:val="0073403C"/>
    <w:rsid w:val="0073404E"/>
    <w:rsid w:val="007340A2"/>
    <w:rsid w:val="007341EC"/>
    <w:rsid w:val="00734231"/>
    <w:rsid w:val="007342BB"/>
    <w:rsid w:val="00734323"/>
    <w:rsid w:val="00734360"/>
    <w:rsid w:val="00734399"/>
    <w:rsid w:val="00734401"/>
    <w:rsid w:val="00734688"/>
    <w:rsid w:val="00734733"/>
    <w:rsid w:val="00734881"/>
    <w:rsid w:val="0073499F"/>
    <w:rsid w:val="00734A28"/>
    <w:rsid w:val="00734B9D"/>
    <w:rsid w:val="00734BAB"/>
    <w:rsid w:val="00734C89"/>
    <w:rsid w:val="00734CCD"/>
    <w:rsid w:val="00734D76"/>
    <w:rsid w:val="00734E19"/>
    <w:rsid w:val="00734E38"/>
    <w:rsid w:val="00734E6C"/>
    <w:rsid w:val="00734F07"/>
    <w:rsid w:val="00734F9A"/>
    <w:rsid w:val="00735104"/>
    <w:rsid w:val="007351F2"/>
    <w:rsid w:val="00735231"/>
    <w:rsid w:val="0073526D"/>
    <w:rsid w:val="00735460"/>
    <w:rsid w:val="00735572"/>
    <w:rsid w:val="0073559E"/>
    <w:rsid w:val="0073561E"/>
    <w:rsid w:val="007356C4"/>
    <w:rsid w:val="00735742"/>
    <w:rsid w:val="007357B5"/>
    <w:rsid w:val="00735830"/>
    <w:rsid w:val="00735861"/>
    <w:rsid w:val="00735862"/>
    <w:rsid w:val="007358C7"/>
    <w:rsid w:val="007358D5"/>
    <w:rsid w:val="00735AB2"/>
    <w:rsid w:val="00735AC3"/>
    <w:rsid w:val="00735B7A"/>
    <w:rsid w:val="00735BDA"/>
    <w:rsid w:val="00735C41"/>
    <w:rsid w:val="00735F4B"/>
    <w:rsid w:val="00735FF9"/>
    <w:rsid w:val="007361CB"/>
    <w:rsid w:val="00736207"/>
    <w:rsid w:val="00736312"/>
    <w:rsid w:val="00736459"/>
    <w:rsid w:val="007364CE"/>
    <w:rsid w:val="00736728"/>
    <w:rsid w:val="00736759"/>
    <w:rsid w:val="00736890"/>
    <w:rsid w:val="007368A0"/>
    <w:rsid w:val="007368C1"/>
    <w:rsid w:val="00736941"/>
    <w:rsid w:val="00736B97"/>
    <w:rsid w:val="00736C87"/>
    <w:rsid w:val="00736CAD"/>
    <w:rsid w:val="00736CBE"/>
    <w:rsid w:val="00736DA7"/>
    <w:rsid w:val="00736DB9"/>
    <w:rsid w:val="00736DCA"/>
    <w:rsid w:val="00736DD1"/>
    <w:rsid w:val="00736E3D"/>
    <w:rsid w:val="00736E43"/>
    <w:rsid w:val="00736EFA"/>
    <w:rsid w:val="00736F72"/>
    <w:rsid w:val="007370F4"/>
    <w:rsid w:val="007371EA"/>
    <w:rsid w:val="0073727D"/>
    <w:rsid w:val="007372EC"/>
    <w:rsid w:val="00737340"/>
    <w:rsid w:val="0073744E"/>
    <w:rsid w:val="00737497"/>
    <w:rsid w:val="00737538"/>
    <w:rsid w:val="00737655"/>
    <w:rsid w:val="0073784B"/>
    <w:rsid w:val="00737A4E"/>
    <w:rsid w:val="00737ABA"/>
    <w:rsid w:val="00737E48"/>
    <w:rsid w:val="007400AB"/>
    <w:rsid w:val="0074012F"/>
    <w:rsid w:val="0074021C"/>
    <w:rsid w:val="00740244"/>
    <w:rsid w:val="007402B3"/>
    <w:rsid w:val="00740354"/>
    <w:rsid w:val="007404C3"/>
    <w:rsid w:val="0074052B"/>
    <w:rsid w:val="00740550"/>
    <w:rsid w:val="0074057D"/>
    <w:rsid w:val="007405DC"/>
    <w:rsid w:val="00740623"/>
    <w:rsid w:val="0074072A"/>
    <w:rsid w:val="00740870"/>
    <w:rsid w:val="00740942"/>
    <w:rsid w:val="007409A6"/>
    <w:rsid w:val="00740B3E"/>
    <w:rsid w:val="00740CFF"/>
    <w:rsid w:val="00740D96"/>
    <w:rsid w:val="00740DC0"/>
    <w:rsid w:val="00740F63"/>
    <w:rsid w:val="00741054"/>
    <w:rsid w:val="00741211"/>
    <w:rsid w:val="007412AA"/>
    <w:rsid w:val="007412C4"/>
    <w:rsid w:val="00741313"/>
    <w:rsid w:val="007413CC"/>
    <w:rsid w:val="0074145D"/>
    <w:rsid w:val="0074161F"/>
    <w:rsid w:val="00741646"/>
    <w:rsid w:val="007416F5"/>
    <w:rsid w:val="007416FE"/>
    <w:rsid w:val="00741815"/>
    <w:rsid w:val="007418DB"/>
    <w:rsid w:val="00741994"/>
    <w:rsid w:val="00741AC5"/>
    <w:rsid w:val="00741B45"/>
    <w:rsid w:val="00741D31"/>
    <w:rsid w:val="00741D78"/>
    <w:rsid w:val="0074207B"/>
    <w:rsid w:val="007420FE"/>
    <w:rsid w:val="00742185"/>
    <w:rsid w:val="007421AB"/>
    <w:rsid w:val="007421B4"/>
    <w:rsid w:val="007423F8"/>
    <w:rsid w:val="0074259C"/>
    <w:rsid w:val="007425BD"/>
    <w:rsid w:val="007428C5"/>
    <w:rsid w:val="0074298F"/>
    <w:rsid w:val="007429BD"/>
    <w:rsid w:val="00742A7F"/>
    <w:rsid w:val="00742D82"/>
    <w:rsid w:val="00742DB9"/>
    <w:rsid w:val="00742DE9"/>
    <w:rsid w:val="00742E9F"/>
    <w:rsid w:val="00742EA8"/>
    <w:rsid w:val="0074316A"/>
    <w:rsid w:val="0074325C"/>
    <w:rsid w:val="00743274"/>
    <w:rsid w:val="00743316"/>
    <w:rsid w:val="00743406"/>
    <w:rsid w:val="00743515"/>
    <w:rsid w:val="0074368E"/>
    <w:rsid w:val="007436D4"/>
    <w:rsid w:val="007437AD"/>
    <w:rsid w:val="007437B5"/>
    <w:rsid w:val="007439F4"/>
    <w:rsid w:val="00743A48"/>
    <w:rsid w:val="00743BB3"/>
    <w:rsid w:val="00743C13"/>
    <w:rsid w:val="00743CC3"/>
    <w:rsid w:val="00743CC8"/>
    <w:rsid w:val="00743D9F"/>
    <w:rsid w:val="00743DA8"/>
    <w:rsid w:val="00743E00"/>
    <w:rsid w:val="00743F12"/>
    <w:rsid w:val="00743F4E"/>
    <w:rsid w:val="0074405F"/>
    <w:rsid w:val="007440A9"/>
    <w:rsid w:val="0074411D"/>
    <w:rsid w:val="00744162"/>
    <w:rsid w:val="00744181"/>
    <w:rsid w:val="007441C2"/>
    <w:rsid w:val="007443D7"/>
    <w:rsid w:val="0074440E"/>
    <w:rsid w:val="007444EE"/>
    <w:rsid w:val="00744601"/>
    <w:rsid w:val="007448C2"/>
    <w:rsid w:val="00744911"/>
    <w:rsid w:val="00744A2E"/>
    <w:rsid w:val="00744BA9"/>
    <w:rsid w:val="00744D38"/>
    <w:rsid w:val="00744E6E"/>
    <w:rsid w:val="00744F57"/>
    <w:rsid w:val="00745138"/>
    <w:rsid w:val="00745290"/>
    <w:rsid w:val="007452FF"/>
    <w:rsid w:val="00745537"/>
    <w:rsid w:val="00745572"/>
    <w:rsid w:val="0074565C"/>
    <w:rsid w:val="007456B8"/>
    <w:rsid w:val="007456D7"/>
    <w:rsid w:val="007456E4"/>
    <w:rsid w:val="00745779"/>
    <w:rsid w:val="007457BE"/>
    <w:rsid w:val="00745845"/>
    <w:rsid w:val="0074586C"/>
    <w:rsid w:val="007458AB"/>
    <w:rsid w:val="0074593E"/>
    <w:rsid w:val="007459F3"/>
    <w:rsid w:val="00745A44"/>
    <w:rsid w:val="00745A80"/>
    <w:rsid w:val="00745A9F"/>
    <w:rsid w:val="00745B22"/>
    <w:rsid w:val="00745BD1"/>
    <w:rsid w:val="00745C6F"/>
    <w:rsid w:val="00745CF4"/>
    <w:rsid w:val="00745D3F"/>
    <w:rsid w:val="00745F28"/>
    <w:rsid w:val="00745FC0"/>
    <w:rsid w:val="00746075"/>
    <w:rsid w:val="007460CD"/>
    <w:rsid w:val="00746139"/>
    <w:rsid w:val="007461AA"/>
    <w:rsid w:val="007462FE"/>
    <w:rsid w:val="0074630A"/>
    <w:rsid w:val="007463E5"/>
    <w:rsid w:val="00746425"/>
    <w:rsid w:val="007464FA"/>
    <w:rsid w:val="0074660F"/>
    <w:rsid w:val="0074663A"/>
    <w:rsid w:val="00746786"/>
    <w:rsid w:val="00746894"/>
    <w:rsid w:val="007468A7"/>
    <w:rsid w:val="0074694D"/>
    <w:rsid w:val="00746A0C"/>
    <w:rsid w:val="00746CB3"/>
    <w:rsid w:val="00746DD0"/>
    <w:rsid w:val="00746E4A"/>
    <w:rsid w:val="00746E68"/>
    <w:rsid w:val="00746F14"/>
    <w:rsid w:val="007470D9"/>
    <w:rsid w:val="007470F5"/>
    <w:rsid w:val="00747122"/>
    <w:rsid w:val="007473C4"/>
    <w:rsid w:val="00747432"/>
    <w:rsid w:val="00747476"/>
    <w:rsid w:val="007474E7"/>
    <w:rsid w:val="007476BA"/>
    <w:rsid w:val="00747734"/>
    <w:rsid w:val="00747961"/>
    <w:rsid w:val="00747A86"/>
    <w:rsid w:val="00747CB6"/>
    <w:rsid w:val="00747D1C"/>
    <w:rsid w:val="00747E15"/>
    <w:rsid w:val="00747E41"/>
    <w:rsid w:val="00747EB2"/>
    <w:rsid w:val="00747F81"/>
    <w:rsid w:val="0075001F"/>
    <w:rsid w:val="00750098"/>
    <w:rsid w:val="007500AB"/>
    <w:rsid w:val="007500D8"/>
    <w:rsid w:val="00750174"/>
    <w:rsid w:val="00750228"/>
    <w:rsid w:val="00750240"/>
    <w:rsid w:val="00750281"/>
    <w:rsid w:val="007502AA"/>
    <w:rsid w:val="007503CA"/>
    <w:rsid w:val="007503FF"/>
    <w:rsid w:val="007504F4"/>
    <w:rsid w:val="007504FD"/>
    <w:rsid w:val="0075053F"/>
    <w:rsid w:val="00750594"/>
    <w:rsid w:val="007505BF"/>
    <w:rsid w:val="00750639"/>
    <w:rsid w:val="0075067D"/>
    <w:rsid w:val="0075098A"/>
    <w:rsid w:val="0075098D"/>
    <w:rsid w:val="00750A3E"/>
    <w:rsid w:val="00750A64"/>
    <w:rsid w:val="00750BE2"/>
    <w:rsid w:val="00750C2E"/>
    <w:rsid w:val="00750D73"/>
    <w:rsid w:val="00750E19"/>
    <w:rsid w:val="00750ECC"/>
    <w:rsid w:val="00750F1A"/>
    <w:rsid w:val="00751008"/>
    <w:rsid w:val="0075102D"/>
    <w:rsid w:val="0075111A"/>
    <w:rsid w:val="0075116E"/>
    <w:rsid w:val="0075129F"/>
    <w:rsid w:val="007513B2"/>
    <w:rsid w:val="007513DF"/>
    <w:rsid w:val="00751573"/>
    <w:rsid w:val="00751588"/>
    <w:rsid w:val="007515B2"/>
    <w:rsid w:val="0075161D"/>
    <w:rsid w:val="00751688"/>
    <w:rsid w:val="007516E0"/>
    <w:rsid w:val="00751758"/>
    <w:rsid w:val="007518FC"/>
    <w:rsid w:val="00751945"/>
    <w:rsid w:val="0075197F"/>
    <w:rsid w:val="00751AD1"/>
    <w:rsid w:val="00751BB7"/>
    <w:rsid w:val="00751DE7"/>
    <w:rsid w:val="00751E10"/>
    <w:rsid w:val="00751E9E"/>
    <w:rsid w:val="00751F7C"/>
    <w:rsid w:val="007520BE"/>
    <w:rsid w:val="00752123"/>
    <w:rsid w:val="00752184"/>
    <w:rsid w:val="007522BF"/>
    <w:rsid w:val="007522CC"/>
    <w:rsid w:val="007524FD"/>
    <w:rsid w:val="0075259D"/>
    <w:rsid w:val="00752683"/>
    <w:rsid w:val="0075268D"/>
    <w:rsid w:val="007526A9"/>
    <w:rsid w:val="007527AB"/>
    <w:rsid w:val="0075294C"/>
    <w:rsid w:val="007529CC"/>
    <w:rsid w:val="00752A97"/>
    <w:rsid w:val="00752B8D"/>
    <w:rsid w:val="00752DDD"/>
    <w:rsid w:val="00752E41"/>
    <w:rsid w:val="00752FBB"/>
    <w:rsid w:val="00753047"/>
    <w:rsid w:val="007530E0"/>
    <w:rsid w:val="007530F3"/>
    <w:rsid w:val="00753231"/>
    <w:rsid w:val="00753310"/>
    <w:rsid w:val="007533AE"/>
    <w:rsid w:val="007533BE"/>
    <w:rsid w:val="00753499"/>
    <w:rsid w:val="007534E6"/>
    <w:rsid w:val="007535FD"/>
    <w:rsid w:val="0075364D"/>
    <w:rsid w:val="007538F8"/>
    <w:rsid w:val="00753965"/>
    <w:rsid w:val="0075399D"/>
    <w:rsid w:val="007539A0"/>
    <w:rsid w:val="00753A2C"/>
    <w:rsid w:val="00753A61"/>
    <w:rsid w:val="00753B40"/>
    <w:rsid w:val="00753B5F"/>
    <w:rsid w:val="00753DAE"/>
    <w:rsid w:val="00753ECD"/>
    <w:rsid w:val="00753F3D"/>
    <w:rsid w:val="00753FEA"/>
    <w:rsid w:val="00754089"/>
    <w:rsid w:val="00754152"/>
    <w:rsid w:val="007541A9"/>
    <w:rsid w:val="00754309"/>
    <w:rsid w:val="00754323"/>
    <w:rsid w:val="0075432B"/>
    <w:rsid w:val="00754375"/>
    <w:rsid w:val="0075439A"/>
    <w:rsid w:val="00754499"/>
    <w:rsid w:val="007544CC"/>
    <w:rsid w:val="0075456B"/>
    <w:rsid w:val="00754585"/>
    <w:rsid w:val="00754605"/>
    <w:rsid w:val="00754693"/>
    <w:rsid w:val="007546C3"/>
    <w:rsid w:val="00754945"/>
    <w:rsid w:val="007549D2"/>
    <w:rsid w:val="00754A55"/>
    <w:rsid w:val="00754A71"/>
    <w:rsid w:val="00754AD3"/>
    <w:rsid w:val="00754C03"/>
    <w:rsid w:val="00754C58"/>
    <w:rsid w:val="00754D42"/>
    <w:rsid w:val="00754D47"/>
    <w:rsid w:val="00754D59"/>
    <w:rsid w:val="0075504F"/>
    <w:rsid w:val="0075515C"/>
    <w:rsid w:val="00755371"/>
    <w:rsid w:val="007553E1"/>
    <w:rsid w:val="0075544A"/>
    <w:rsid w:val="00755499"/>
    <w:rsid w:val="0075549D"/>
    <w:rsid w:val="007554B2"/>
    <w:rsid w:val="007555F8"/>
    <w:rsid w:val="0075560D"/>
    <w:rsid w:val="007557F9"/>
    <w:rsid w:val="00755823"/>
    <w:rsid w:val="00755827"/>
    <w:rsid w:val="007558B0"/>
    <w:rsid w:val="00755905"/>
    <w:rsid w:val="00755AE0"/>
    <w:rsid w:val="00755B35"/>
    <w:rsid w:val="00755C68"/>
    <w:rsid w:val="00755C9A"/>
    <w:rsid w:val="00755E48"/>
    <w:rsid w:val="00755E5E"/>
    <w:rsid w:val="00755E78"/>
    <w:rsid w:val="00755F76"/>
    <w:rsid w:val="007560C9"/>
    <w:rsid w:val="00756107"/>
    <w:rsid w:val="007563FE"/>
    <w:rsid w:val="007564A0"/>
    <w:rsid w:val="00756811"/>
    <w:rsid w:val="007568AC"/>
    <w:rsid w:val="00756901"/>
    <w:rsid w:val="0075692E"/>
    <w:rsid w:val="007569EE"/>
    <w:rsid w:val="00756AC4"/>
    <w:rsid w:val="00756B1E"/>
    <w:rsid w:val="00756BA4"/>
    <w:rsid w:val="00756C45"/>
    <w:rsid w:val="00756C46"/>
    <w:rsid w:val="00756CBC"/>
    <w:rsid w:val="00756CD3"/>
    <w:rsid w:val="00756CDF"/>
    <w:rsid w:val="00756EC4"/>
    <w:rsid w:val="00756FFC"/>
    <w:rsid w:val="00757047"/>
    <w:rsid w:val="00757117"/>
    <w:rsid w:val="00757353"/>
    <w:rsid w:val="007577D9"/>
    <w:rsid w:val="007577FA"/>
    <w:rsid w:val="0075791B"/>
    <w:rsid w:val="00757AA4"/>
    <w:rsid w:val="00757B26"/>
    <w:rsid w:val="00757D33"/>
    <w:rsid w:val="00757E9A"/>
    <w:rsid w:val="00757F15"/>
    <w:rsid w:val="00760002"/>
    <w:rsid w:val="0076000F"/>
    <w:rsid w:val="0076009F"/>
    <w:rsid w:val="007600A1"/>
    <w:rsid w:val="00760110"/>
    <w:rsid w:val="007601E9"/>
    <w:rsid w:val="007602FB"/>
    <w:rsid w:val="00760618"/>
    <w:rsid w:val="007606C1"/>
    <w:rsid w:val="0076081C"/>
    <w:rsid w:val="007608CE"/>
    <w:rsid w:val="007609E4"/>
    <w:rsid w:val="00760A69"/>
    <w:rsid w:val="00760AAB"/>
    <w:rsid w:val="00760B2B"/>
    <w:rsid w:val="00760B7C"/>
    <w:rsid w:val="00760BEC"/>
    <w:rsid w:val="00760C07"/>
    <w:rsid w:val="00760FE3"/>
    <w:rsid w:val="007610E9"/>
    <w:rsid w:val="007611F7"/>
    <w:rsid w:val="007613BA"/>
    <w:rsid w:val="007613E5"/>
    <w:rsid w:val="00761494"/>
    <w:rsid w:val="007614AE"/>
    <w:rsid w:val="00761508"/>
    <w:rsid w:val="00761524"/>
    <w:rsid w:val="007616D8"/>
    <w:rsid w:val="007617BE"/>
    <w:rsid w:val="00761814"/>
    <w:rsid w:val="0076182F"/>
    <w:rsid w:val="00761853"/>
    <w:rsid w:val="00761870"/>
    <w:rsid w:val="00761945"/>
    <w:rsid w:val="00761980"/>
    <w:rsid w:val="007619B7"/>
    <w:rsid w:val="00761A95"/>
    <w:rsid w:val="00761B13"/>
    <w:rsid w:val="00761B64"/>
    <w:rsid w:val="00761BFE"/>
    <w:rsid w:val="00761C37"/>
    <w:rsid w:val="00761E8D"/>
    <w:rsid w:val="00761FA8"/>
    <w:rsid w:val="00762110"/>
    <w:rsid w:val="00762130"/>
    <w:rsid w:val="007621B6"/>
    <w:rsid w:val="00762275"/>
    <w:rsid w:val="007622FF"/>
    <w:rsid w:val="00762366"/>
    <w:rsid w:val="00762639"/>
    <w:rsid w:val="0076271B"/>
    <w:rsid w:val="00762760"/>
    <w:rsid w:val="007627F3"/>
    <w:rsid w:val="00762A24"/>
    <w:rsid w:val="00762A6F"/>
    <w:rsid w:val="00762B50"/>
    <w:rsid w:val="00762C18"/>
    <w:rsid w:val="00762CFC"/>
    <w:rsid w:val="00762D97"/>
    <w:rsid w:val="00762E09"/>
    <w:rsid w:val="00762E58"/>
    <w:rsid w:val="00762E9E"/>
    <w:rsid w:val="00762EF2"/>
    <w:rsid w:val="00763001"/>
    <w:rsid w:val="007630C4"/>
    <w:rsid w:val="00763344"/>
    <w:rsid w:val="007633CC"/>
    <w:rsid w:val="007634CA"/>
    <w:rsid w:val="007636CC"/>
    <w:rsid w:val="0076370A"/>
    <w:rsid w:val="00763A7D"/>
    <w:rsid w:val="00763B7F"/>
    <w:rsid w:val="00763CA6"/>
    <w:rsid w:val="00763CAA"/>
    <w:rsid w:val="00763D35"/>
    <w:rsid w:val="00763D51"/>
    <w:rsid w:val="00763D9A"/>
    <w:rsid w:val="00763E83"/>
    <w:rsid w:val="00763E89"/>
    <w:rsid w:val="00763EA9"/>
    <w:rsid w:val="00763EE8"/>
    <w:rsid w:val="00764239"/>
    <w:rsid w:val="0076423F"/>
    <w:rsid w:val="00764277"/>
    <w:rsid w:val="00764451"/>
    <w:rsid w:val="00764460"/>
    <w:rsid w:val="007644C2"/>
    <w:rsid w:val="0076454C"/>
    <w:rsid w:val="007646D3"/>
    <w:rsid w:val="007646E9"/>
    <w:rsid w:val="00764759"/>
    <w:rsid w:val="00764761"/>
    <w:rsid w:val="00764797"/>
    <w:rsid w:val="007647C8"/>
    <w:rsid w:val="0076487F"/>
    <w:rsid w:val="007648D4"/>
    <w:rsid w:val="00764963"/>
    <w:rsid w:val="00764B68"/>
    <w:rsid w:val="00764C5C"/>
    <w:rsid w:val="00764CB9"/>
    <w:rsid w:val="0076508C"/>
    <w:rsid w:val="0076508E"/>
    <w:rsid w:val="00765093"/>
    <w:rsid w:val="007650F4"/>
    <w:rsid w:val="00765158"/>
    <w:rsid w:val="0076515E"/>
    <w:rsid w:val="0076519D"/>
    <w:rsid w:val="007652C6"/>
    <w:rsid w:val="007652E7"/>
    <w:rsid w:val="0076552D"/>
    <w:rsid w:val="0076554F"/>
    <w:rsid w:val="00765565"/>
    <w:rsid w:val="00765623"/>
    <w:rsid w:val="0076565A"/>
    <w:rsid w:val="00765664"/>
    <w:rsid w:val="00765859"/>
    <w:rsid w:val="0076587F"/>
    <w:rsid w:val="0076588A"/>
    <w:rsid w:val="007658F5"/>
    <w:rsid w:val="00765976"/>
    <w:rsid w:val="007659AE"/>
    <w:rsid w:val="007659FF"/>
    <w:rsid w:val="00765A1A"/>
    <w:rsid w:val="00765AA3"/>
    <w:rsid w:val="00765AC5"/>
    <w:rsid w:val="00765AD6"/>
    <w:rsid w:val="00765B04"/>
    <w:rsid w:val="00765BE0"/>
    <w:rsid w:val="00765D9D"/>
    <w:rsid w:val="007660A4"/>
    <w:rsid w:val="007660D0"/>
    <w:rsid w:val="0076615B"/>
    <w:rsid w:val="00766256"/>
    <w:rsid w:val="007663B6"/>
    <w:rsid w:val="0076644B"/>
    <w:rsid w:val="0076662E"/>
    <w:rsid w:val="007666C6"/>
    <w:rsid w:val="007667A4"/>
    <w:rsid w:val="00766855"/>
    <w:rsid w:val="007669F2"/>
    <w:rsid w:val="00766BC6"/>
    <w:rsid w:val="00766CD9"/>
    <w:rsid w:val="00766D8B"/>
    <w:rsid w:val="00766E1E"/>
    <w:rsid w:val="00766E2A"/>
    <w:rsid w:val="00766E3E"/>
    <w:rsid w:val="00766EBE"/>
    <w:rsid w:val="00766F22"/>
    <w:rsid w:val="00766F6A"/>
    <w:rsid w:val="00767036"/>
    <w:rsid w:val="00767059"/>
    <w:rsid w:val="007671BE"/>
    <w:rsid w:val="007672B7"/>
    <w:rsid w:val="007672B9"/>
    <w:rsid w:val="0076749A"/>
    <w:rsid w:val="007674AD"/>
    <w:rsid w:val="00767530"/>
    <w:rsid w:val="007676CC"/>
    <w:rsid w:val="007677E5"/>
    <w:rsid w:val="007678A8"/>
    <w:rsid w:val="00767909"/>
    <w:rsid w:val="00767987"/>
    <w:rsid w:val="00767A78"/>
    <w:rsid w:val="00767C11"/>
    <w:rsid w:val="00767C3B"/>
    <w:rsid w:val="00767D20"/>
    <w:rsid w:val="00767E3F"/>
    <w:rsid w:val="00767FC4"/>
    <w:rsid w:val="00770131"/>
    <w:rsid w:val="007701EE"/>
    <w:rsid w:val="007701F9"/>
    <w:rsid w:val="0077046D"/>
    <w:rsid w:val="00770537"/>
    <w:rsid w:val="007706B4"/>
    <w:rsid w:val="00770993"/>
    <w:rsid w:val="00770C75"/>
    <w:rsid w:val="00770CB4"/>
    <w:rsid w:val="00770D96"/>
    <w:rsid w:val="00770EA8"/>
    <w:rsid w:val="00770F52"/>
    <w:rsid w:val="00771379"/>
    <w:rsid w:val="007714A6"/>
    <w:rsid w:val="0077167E"/>
    <w:rsid w:val="007716A2"/>
    <w:rsid w:val="00771717"/>
    <w:rsid w:val="0077175E"/>
    <w:rsid w:val="007717F5"/>
    <w:rsid w:val="007718B6"/>
    <w:rsid w:val="00771ACC"/>
    <w:rsid w:val="00771BCB"/>
    <w:rsid w:val="00771EFF"/>
    <w:rsid w:val="00771F95"/>
    <w:rsid w:val="00771FB8"/>
    <w:rsid w:val="0077204D"/>
    <w:rsid w:val="00772589"/>
    <w:rsid w:val="00772643"/>
    <w:rsid w:val="007726F1"/>
    <w:rsid w:val="007727AF"/>
    <w:rsid w:val="007727B2"/>
    <w:rsid w:val="00772865"/>
    <w:rsid w:val="007728AA"/>
    <w:rsid w:val="007728E1"/>
    <w:rsid w:val="007728F9"/>
    <w:rsid w:val="0077290F"/>
    <w:rsid w:val="007729A7"/>
    <w:rsid w:val="007729EC"/>
    <w:rsid w:val="00772A18"/>
    <w:rsid w:val="00772D31"/>
    <w:rsid w:val="00772D35"/>
    <w:rsid w:val="00772D9B"/>
    <w:rsid w:val="00772EC4"/>
    <w:rsid w:val="00772F1F"/>
    <w:rsid w:val="00772FCC"/>
    <w:rsid w:val="00772FDA"/>
    <w:rsid w:val="007730DE"/>
    <w:rsid w:val="00773253"/>
    <w:rsid w:val="007734E4"/>
    <w:rsid w:val="0077352A"/>
    <w:rsid w:val="0077358D"/>
    <w:rsid w:val="007735AF"/>
    <w:rsid w:val="0077363C"/>
    <w:rsid w:val="00773703"/>
    <w:rsid w:val="00773772"/>
    <w:rsid w:val="0077389E"/>
    <w:rsid w:val="00773903"/>
    <w:rsid w:val="00773993"/>
    <w:rsid w:val="007739C4"/>
    <w:rsid w:val="007739C9"/>
    <w:rsid w:val="00773AA2"/>
    <w:rsid w:val="00773AB9"/>
    <w:rsid w:val="00773BE9"/>
    <w:rsid w:val="00773C08"/>
    <w:rsid w:val="00773CF7"/>
    <w:rsid w:val="00773D11"/>
    <w:rsid w:val="00773DBC"/>
    <w:rsid w:val="00773DF5"/>
    <w:rsid w:val="00773E14"/>
    <w:rsid w:val="007740B1"/>
    <w:rsid w:val="007743EA"/>
    <w:rsid w:val="007748BF"/>
    <w:rsid w:val="00774919"/>
    <w:rsid w:val="00774AFE"/>
    <w:rsid w:val="00774B9E"/>
    <w:rsid w:val="00774BA7"/>
    <w:rsid w:val="00774BAB"/>
    <w:rsid w:val="00774C47"/>
    <w:rsid w:val="00774C8C"/>
    <w:rsid w:val="00774D2C"/>
    <w:rsid w:val="00774D84"/>
    <w:rsid w:val="00774EE8"/>
    <w:rsid w:val="00774FBC"/>
    <w:rsid w:val="00775086"/>
    <w:rsid w:val="00775183"/>
    <w:rsid w:val="007751EC"/>
    <w:rsid w:val="00775331"/>
    <w:rsid w:val="007754CD"/>
    <w:rsid w:val="00775661"/>
    <w:rsid w:val="0077576D"/>
    <w:rsid w:val="007757C0"/>
    <w:rsid w:val="0077586E"/>
    <w:rsid w:val="0077589F"/>
    <w:rsid w:val="00775961"/>
    <w:rsid w:val="00775A4E"/>
    <w:rsid w:val="00775A62"/>
    <w:rsid w:val="00775AB0"/>
    <w:rsid w:val="00775C1B"/>
    <w:rsid w:val="00775C5E"/>
    <w:rsid w:val="00775C6D"/>
    <w:rsid w:val="00775CB5"/>
    <w:rsid w:val="00775CC7"/>
    <w:rsid w:val="00775D2C"/>
    <w:rsid w:val="00775E0F"/>
    <w:rsid w:val="00775E16"/>
    <w:rsid w:val="0077603B"/>
    <w:rsid w:val="00776048"/>
    <w:rsid w:val="00776083"/>
    <w:rsid w:val="007760E0"/>
    <w:rsid w:val="0077623D"/>
    <w:rsid w:val="007762F0"/>
    <w:rsid w:val="007763B7"/>
    <w:rsid w:val="007765CB"/>
    <w:rsid w:val="00776644"/>
    <w:rsid w:val="007766BE"/>
    <w:rsid w:val="007766D7"/>
    <w:rsid w:val="00776756"/>
    <w:rsid w:val="00776973"/>
    <w:rsid w:val="00776C3D"/>
    <w:rsid w:val="00776D32"/>
    <w:rsid w:val="00776D86"/>
    <w:rsid w:val="00776E47"/>
    <w:rsid w:val="00776EC8"/>
    <w:rsid w:val="00776F3B"/>
    <w:rsid w:val="00776FA4"/>
    <w:rsid w:val="007770B5"/>
    <w:rsid w:val="007772B3"/>
    <w:rsid w:val="00777318"/>
    <w:rsid w:val="00777437"/>
    <w:rsid w:val="007774F6"/>
    <w:rsid w:val="00777545"/>
    <w:rsid w:val="007775CD"/>
    <w:rsid w:val="0077763B"/>
    <w:rsid w:val="00777673"/>
    <w:rsid w:val="00777689"/>
    <w:rsid w:val="007776EE"/>
    <w:rsid w:val="007776F6"/>
    <w:rsid w:val="00777744"/>
    <w:rsid w:val="007777A4"/>
    <w:rsid w:val="007777F2"/>
    <w:rsid w:val="0077783D"/>
    <w:rsid w:val="007778BA"/>
    <w:rsid w:val="0077799B"/>
    <w:rsid w:val="00777AAD"/>
    <w:rsid w:val="00777AD0"/>
    <w:rsid w:val="00777AD7"/>
    <w:rsid w:val="00777CFB"/>
    <w:rsid w:val="00777DDC"/>
    <w:rsid w:val="00777E64"/>
    <w:rsid w:val="00777E7F"/>
    <w:rsid w:val="00777EA7"/>
    <w:rsid w:val="00780132"/>
    <w:rsid w:val="007801F1"/>
    <w:rsid w:val="00780323"/>
    <w:rsid w:val="007803E2"/>
    <w:rsid w:val="007806A1"/>
    <w:rsid w:val="00780816"/>
    <w:rsid w:val="007809B3"/>
    <w:rsid w:val="00780BFA"/>
    <w:rsid w:val="00780C76"/>
    <w:rsid w:val="00780C91"/>
    <w:rsid w:val="00780EFB"/>
    <w:rsid w:val="00780F6B"/>
    <w:rsid w:val="00780FE9"/>
    <w:rsid w:val="00780FF1"/>
    <w:rsid w:val="00781013"/>
    <w:rsid w:val="00781118"/>
    <w:rsid w:val="00781220"/>
    <w:rsid w:val="00781309"/>
    <w:rsid w:val="0078142D"/>
    <w:rsid w:val="00781468"/>
    <w:rsid w:val="007814BA"/>
    <w:rsid w:val="00781623"/>
    <w:rsid w:val="0078166A"/>
    <w:rsid w:val="007816A8"/>
    <w:rsid w:val="007816D8"/>
    <w:rsid w:val="0078189B"/>
    <w:rsid w:val="00781909"/>
    <w:rsid w:val="007819BD"/>
    <w:rsid w:val="00781A9F"/>
    <w:rsid w:val="00781B9D"/>
    <w:rsid w:val="00781CC4"/>
    <w:rsid w:val="00781D1D"/>
    <w:rsid w:val="00781DF1"/>
    <w:rsid w:val="00781E1B"/>
    <w:rsid w:val="00781EF6"/>
    <w:rsid w:val="007820D4"/>
    <w:rsid w:val="00782155"/>
    <w:rsid w:val="00782288"/>
    <w:rsid w:val="007822C0"/>
    <w:rsid w:val="0078230F"/>
    <w:rsid w:val="0078261B"/>
    <w:rsid w:val="007826D1"/>
    <w:rsid w:val="00782772"/>
    <w:rsid w:val="007827B7"/>
    <w:rsid w:val="0078282F"/>
    <w:rsid w:val="007828DF"/>
    <w:rsid w:val="00782942"/>
    <w:rsid w:val="00782965"/>
    <w:rsid w:val="00782A05"/>
    <w:rsid w:val="00782AB3"/>
    <w:rsid w:val="00782AF0"/>
    <w:rsid w:val="00782B5F"/>
    <w:rsid w:val="00782BBE"/>
    <w:rsid w:val="00782C5C"/>
    <w:rsid w:val="00782D15"/>
    <w:rsid w:val="00782DCB"/>
    <w:rsid w:val="00782F62"/>
    <w:rsid w:val="00782FA7"/>
    <w:rsid w:val="00783071"/>
    <w:rsid w:val="00783078"/>
    <w:rsid w:val="007830F9"/>
    <w:rsid w:val="0078311A"/>
    <w:rsid w:val="00783353"/>
    <w:rsid w:val="0078335A"/>
    <w:rsid w:val="00783371"/>
    <w:rsid w:val="007833B6"/>
    <w:rsid w:val="0078349B"/>
    <w:rsid w:val="007834CC"/>
    <w:rsid w:val="0078353E"/>
    <w:rsid w:val="0078358B"/>
    <w:rsid w:val="00783707"/>
    <w:rsid w:val="00783800"/>
    <w:rsid w:val="0078381A"/>
    <w:rsid w:val="007838F2"/>
    <w:rsid w:val="00783917"/>
    <w:rsid w:val="00783926"/>
    <w:rsid w:val="0078398D"/>
    <w:rsid w:val="0078399B"/>
    <w:rsid w:val="00783AAE"/>
    <w:rsid w:val="00783AE0"/>
    <w:rsid w:val="00783BD9"/>
    <w:rsid w:val="00783D20"/>
    <w:rsid w:val="007840B0"/>
    <w:rsid w:val="007841B1"/>
    <w:rsid w:val="007842D9"/>
    <w:rsid w:val="007844AA"/>
    <w:rsid w:val="007844EB"/>
    <w:rsid w:val="0078479E"/>
    <w:rsid w:val="007847B4"/>
    <w:rsid w:val="007847C6"/>
    <w:rsid w:val="007848A2"/>
    <w:rsid w:val="00784A32"/>
    <w:rsid w:val="00784AA9"/>
    <w:rsid w:val="00784C59"/>
    <w:rsid w:val="00784D24"/>
    <w:rsid w:val="00784D6C"/>
    <w:rsid w:val="00784E1C"/>
    <w:rsid w:val="00784E6F"/>
    <w:rsid w:val="00784EB4"/>
    <w:rsid w:val="00784F5E"/>
    <w:rsid w:val="00784FAE"/>
    <w:rsid w:val="00785048"/>
    <w:rsid w:val="00785131"/>
    <w:rsid w:val="0078513B"/>
    <w:rsid w:val="0078521C"/>
    <w:rsid w:val="0078540C"/>
    <w:rsid w:val="007854C2"/>
    <w:rsid w:val="0078550C"/>
    <w:rsid w:val="00785548"/>
    <w:rsid w:val="00785940"/>
    <w:rsid w:val="00785A0C"/>
    <w:rsid w:val="00785ADA"/>
    <w:rsid w:val="00785BAD"/>
    <w:rsid w:val="00785D61"/>
    <w:rsid w:val="00785FA1"/>
    <w:rsid w:val="007862A1"/>
    <w:rsid w:val="00786314"/>
    <w:rsid w:val="00786412"/>
    <w:rsid w:val="0078644A"/>
    <w:rsid w:val="007864A6"/>
    <w:rsid w:val="0078652D"/>
    <w:rsid w:val="00786593"/>
    <w:rsid w:val="0078687F"/>
    <w:rsid w:val="007869E6"/>
    <w:rsid w:val="00786B8F"/>
    <w:rsid w:val="00786DFA"/>
    <w:rsid w:val="00786E8D"/>
    <w:rsid w:val="0078700A"/>
    <w:rsid w:val="00787084"/>
    <w:rsid w:val="007871C2"/>
    <w:rsid w:val="007872B3"/>
    <w:rsid w:val="007872EC"/>
    <w:rsid w:val="007872FE"/>
    <w:rsid w:val="0078753E"/>
    <w:rsid w:val="0078755C"/>
    <w:rsid w:val="00787572"/>
    <w:rsid w:val="00787791"/>
    <w:rsid w:val="007877C7"/>
    <w:rsid w:val="0078781D"/>
    <w:rsid w:val="00787A28"/>
    <w:rsid w:val="00787AA8"/>
    <w:rsid w:val="00787B20"/>
    <w:rsid w:val="00787B3F"/>
    <w:rsid w:val="00787BB4"/>
    <w:rsid w:val="00787CD0"/>
    <w:rsid w:val="00787F6B"/>
    <w:rsid w:val="00787FC7"/>
    <w:rsid w:val="0079006A"/>
    <w:rsid w:val="007901CC"/>
    <w:rsid w:val="007901D6"/>
    <w:rsid w:val="00790209"/>
    <w:rsid w:val="0079021A"/>
    <w:rsid w:val="007904C9"/>
    <w:rsid w:val="007904F9"/>
    <w:rsid w:val="0079054C"/>
    <w:rsid w:val="007905E6"/>
    <w:rsid w:val="0079064E"/>
    <w:rsid w:val="00790696"/>
    <w:rsid w:val="00790701"/>
    <w:rsid w:val="007907FE"/>
    <w:rsid w:val="00790832"/>
    <w:rsid w:val="00790A2E"/>
    <w:rsid w:val="00790A4B"/>
    <w:rsid w:val="00790AFB"/>
    <w:rsid w:val="00790C82"/>
    <w:rsid w:val="00790D74"/>
    <w:rsid w:val="00790DA0"/>
    <w:rsid w:val="00790FED"/>
    <w:rsid w:val="00791064"/>
    <w:rsid w:val="00791066"/>
    <w:rsid w:val="00791085"/>
    <w:rsid w:val="007911C4"/>
    <w:rsid w:val="007912F5"/>
    <w:rsid w:val="007913F3"/>
    <w:rsid w:val="007914C0"/>
    <w:rsid w:val="0079155D"/>
    <w:rsid w:val="007915BA"/>
    <w:rsid w:val="007916F3"/>
    <w:rsid w:val="0079187C"/>
    <w:rsid w:val="00791A50"/>
    <w:rsid w:val="00791A65"/>
    <w:rsid w:val="00791B5B"/>
    <w:rsid w:val="00791BE0"/>
    <w:rsid w:val="00791C13"/>
    <w:rsid w:val="00791C6A"/>
    <w:rsid w:val="00791C80"/>
    <w:rsid w:val="00791CCE"/>
    <w:rsid w:val="00791DB5"/>
    <w:rsid w:val="00791FA5"/>
    <w:rsid w:val="00791FCF"/>
    <w:rsid w:val="00792041"/>
    <w:rsid w:val="0079207D"/>
    <w:rsid w:val="00792224"/>
    <w:rsid w:val="0079229E"/>
    <w:rsid w:val="007924A2"/>
    <w:rsid w:val="007925C3"/>
    <w:rsid w:val="0079270A"/>
    <w:rsid w:val="00792943"/>
    <w:rsid w:val="00792EF7"/>
    <w:rsid w:val="0079331D"/>
    <w:rsid w:val="007933CC"/>
    <w:rsid w:val="007933E4"/>
    <w:rsid w:val="007933EF"/>
    <w:rsid w:val="00793403"/>
    <w:rsid w:val="0079341F"/>
    <w:rsid w:val="0079351A"/>
    <w:rsid w:val="0079352C"/>
    <w:rsid w:val="007936AD"/>
    <w:rsid w:val="007938E2"/>
    <w:rsid w:val="00793A2C"/>
    <w:rsid w:val="00793AAC"/>
    <w:rsid w:val="00793ABB"/>
    <w:rsid w:val="00793B26"/>
    <w:rsid w:val="00793B7E"/>
    <w:rsid w:val="00793C37"/>
    <w:rsid w:val="00793CB0"/>
    <w:rsid w:val="00793CDB"/>
    <w:rsid w:val="00793CEC"/>
    <w:rsid w:val="00793D81"/>
    <w:rsid w:val="00793DFA"/>
    <w:rsid w:val="00793E08"/>
    <w:rsid w:val="00793E3D"/>
    <w:rsid w:val="00793E7A"/>
    <w:rsid w:val="00793F23"/>
    <w:rsid w:val="00793F83"/>
    <w:rsid w:val="00794001"/>
    <w:rsid w:val="00794061"/>
    <w:rsid w:val="007941D1"/>
    <w:rsid w:val="00794338"/>
    <w:rsid w:val="0079435C"/>
    <w:rsid w:val="007943C0"/>
    <w:rsid w:val="0079453E"/>
    <w:rsid w:val="00794625"/>
    <w:rsid w:val="00794693"/>
    <w:rsid w:val="007948B9"/>
    <w:rsid w:val="0079494F"/>
    <w:rsid w:val="00794B63"/>
    <w:rsid w:val="00794B67"/>
    <w:rsid w:val="00794C2C"/>
    <w:rsid w:val="00794C61"/>
    <w:rsid w:val="00794C98"/>
    <w:rsid w:val="00794D28"/>
    <w:rsid w:val="00794DAB"/>
    <w:rsid w:val="00794E30"/>
    <w:rsid w:val="00794EC9"/>
    <w:rsid w:val="00794F4D"/>
    <w:rsid w:val="00794F88"/>
    <w:rsid w:val="00794FA0"/>
    <w:rsid w:val="00795030"/>
    <w:rsid w:val="007950CA"/>
    <w:rsid w:val="00795143"/>
    <w:rsid w:val="00795215"/>
    <w:rsid w:val="00795223"/>
    <w:rsid w:val="00795291"/>
    <w:rsid w:val="007952D8"/>
    <w:rsid w:val="00795318"/>
    <w:rsid w:val="00795552"/>
    <w:rsid w:val="00795811"/>
    <w:rsid w:val="00795959"/>
    <w:rsid w:val="00795A5F"/>
    <w:rsid w:val="00795ADB"/>
    <w:rsid w:val="00795B08"/>
    <w:rsid w:val="00795BC4"/>
    <w:rsid w:val="00795C14"/>
    <w:rsid w:val="00795C96"/>
    <w:rsid w:val="00795CD0"/>
    <w:rsid w:val="00795EE6"/>
    <w:rsid w:val="00795F26"/>
    <w:rsid w:val="007960FE"/>
    <w:rsid w:val="00796198"/>
    <w:rsid w:val="0079629C"/>
    <w:rsid w:val="007962B9"/>
    <w:rsid w:val="0079630A"/>
    <w:rsid w:val="00796497"/>
    <w:rsid w:val="00796536"/>
    <w:rsid w:val="007965A7"/>
    <w:rsid w:val="007965FB"/>
    <w:rsid w:val="0079667D"/>
    <w:rsid w:val="00796712"/>
    <w:rsid w:val="00796774"/>
    <w:rsid w:val="00796850"/>
    <w:rsid w:val="00796928"/>
    <w:rsid w:val="00796957"/>
    <w:rsid w:val="00796C97"/>
    <w:rsid w:val="00796D01"/>
    <w:rsid w:val="00796EC3"/>
    <w:rsid w:val="00796FE4"/>
    <w:rsid w:val="007973BB"/>
    <w:rsid w:val="0079744C"/>
    <w:rsid w:val="007974F7"/>
    <w:rsid w:val="007976E5"/>
    <w:rsid w:val="0079776A"/>
    <w:rsid w:val="007977A3"/>
    <w:rsid w:val="00797AB5"/>
    <w:rsid w:val="00797AE0"/>
    <w:rsid w:val="00797CA4"/>
    <w:rsid w:val="00797E76"/>
    <w:rsid w:val="007A00D4"/>
    <w:rsid w:val="007A01A7"/>
    <w:rsid w:val="007A04DE"/>
    <w:rsid w:val="007A0568"/>
    <w:rsid w:val="007A0593"/>
    <w:rsid w:val="007A06E7"/>
    <w:rsid w:val="007A072D"/>
    <w:rsid w:val="007A0784"/>
    <w:rsid w:val="007A0827"/>
    <w:rsid w:val="007A08B8"/>
    <w:rsid w:val="007A09A3"/>
    <w:rsid w:val="007A0A3C"/>
    <w:rsid w:val="007A0AFB"/>
    <w:rsid w:val="007A0B94"/>
    <w:rsid w:val="007A0BD9"/>
    <w:rsid w:val="007A0D74"/>
    <w:rsid w:val="007A11B4"/>
    <w:rsid w:val="007A1299"/>
    <w:rsid w:val="007A1335"/>
    <w:rsid w:val="007A1355"/>
    <w:rsid w:val="007A136B"/>
    <w:rsid w:val="007A1522"/>
    <w:rsid w:val="007A1576"/>
    <w:rsid w:val="007A1636"/>
    <w:rsid w:val="007A17B0"/>
    <w:rsid w:val="007A17B9"/>
    <w:rsid w:val="007A17C7"/>
    <w:rsid w:val="007A18B8"/>
    <w:rsid w:val="007A1BE1"/>
    <w:rsid w:val="007A1CA1"/>
    <w:rsid w:val="007A1DC4"/>
    <w:rsid w:val="007A1EEC"/>
    <w:rsid w:val="007A201E"/>
    <w:rsid w:val="007A20D3"/>
    <w:rsid w:val="007A2184"/>
    <w:rsid w:val="007A22FA"/>
    <w:rsid w:val="007A2674"/>
    <w:rsid w:val="007A26F0"/>
    <w:rsid w:val="007A2718"/>
    <w:rsid w:val="007A2833"/>
    <w:rsid w:val="007A2845"/>
    <w:rsid w:val="007A2861"/>
    <w:rsid w:val="007A28CF"/>
    <w:rsid w:val="007A2B8A"/>
    <w:rsid w:val="007A2C58"/>
    <w:rsid w:val="007A2CAB"/>
    <w:rsid w:val="007A3066"/>
    <w:rsid w:val="007A30B2"/>
    <w:rsid w:val="007A312A"/>
    <w:rsid w:val="007A31C4"/>
    <w:rsid w:val="007A33F7"/>
    <w:rsid w:val="007A3521"/>
    <w:rsid w:val="007A3652"/>
    <w:rsid w:val="007A3794"/>
    <w:rsid w:val="007A37E5"/>
    <w:rsid w:val="007A37E8"/>
    <w:rsid w:val="007A3894"/>
    <w:rsid w:val="007A389C"/>
    <w:rsid w:val="007A3957"/>
    <w:rsid w:val="007A3964"/>
    <w:rsid w:val="007A39A2"/>
    <w:rsid w:val="007A3B18"/>
    <w:rsid w:val="007A3B6D"/>
    <w:rsid w:val="007A3BEB"/>
    <w:rsid w:val="007A3E67"/>
    <w:rsid w:val="007A3E71"/>
    <w:rsid w:val="007A3EBE"/>
    <w:rsid w:val="007A3ED8"/>
    <w:rsid w:val="007A4017"/>
    <w:rsid w:val="007A4090"/>
    <w:rsid w:val="007A409D"/>
    <w:rsid w:val="007A40EC"/>
    <w:rsid w:val="007A4464"/>
    <w:rsid w:val="007A47DA"/>
    <w:rsid w:val="007A4814"/>
    <w:rsid w:val="007A48CF"/>
    <w:rsid w:val="007A4A4D"/>
    <w:rsid w:val="007A4AE4"/>
    <w:rsid w:val="007A4B29"/>
    <w:rsid w:val="007A4B33"/>
    <w:rsid w:val="007A4B41"/>
    <w:rsid w:val="007A4CD9"/>
    <w:rsid w:val="007A4D17"/>
    <w:rsid w:val="007A4DA3"/>
    <w:rsid w:val="007A4DB8"/>
    <w:rsid w:val="007A4E79"/>
    <w:rsid w:val="007A4EF3"/>
    <w:rsid w:val="007A5053"/>
    <w:rsid w:val="007A505A"/>
    <w:rsid w:val="007A505B"/>
    <w:rsid w:val="007A5067"/>
    <w:rsid w:val="007A50F8"/>
    <w:rsid w:val="007A5171"/>
    <w:rsid w:val="007A545F"/>
    <w:rsid w:val="007A54D0"/>
    <w:rsid w:val="007A54DC"/>
    <w:rsid w:val="007A5583"/>
    <w:rsid w:val="007A57BC"/>
    <w:rsid w:val="007A5854"/>
    <w:rsid w:val="007A58A2"/>
    <w:rsid w:val="007A5985"/>
    <w:rsid w:val="007A5A7A"/>
    <w:rsid w:val="007A5B34"/>
    <w:rsid w:val="007A5CA1"/>
    <w:rsid w:val="007A5D72"/>
    <w:rsid w:val="007A5ED8"/>
    <w:rsid w:val="007A5F18"/>
    <w:rsid w:val="007A5F58"/>
    <w:rsid w:val="007A5F80"/>
    <w:rsid w:val="007A6020"/>
    <w:rsid w:val="007A6037"/>
    <w:rsid w:val="007A6132"/>
    <w:rsid w:val="007A62AA"/>
    <w:rsid w:val="007A6442"/>
    <w:rsid w:val="007A649D"/>
    <w:rsid w:val="007A6663"/>
    <w:rsid w:val="007A6693"/>
    <w:rsid w:val="007A66A1"/>
    <w:rsid w:val="007A67E1"/>
    <w:rsid w:val="007A6802"/>
    <w:rsid w:val="007A6968"/>
    <w:rsid w:val="007A69A8"/>
    <w:rsid w:val="007A6A3A"/>
    <w:rsid w:val="007A6D8F"/>
    <w:rsid w:val="007A6DF0"/>
    <w:rsid w:val="007A7105"/>
    <w:rsid w:val="007A71F9"/>
    <w:rsid w:val="007A723F"/>
    <w:rsid w:val="007A7375"/>
    <w:rsid w:val="007A760C"/>
    <w:rsid w:val="007A782A"/>
    <w:rsid w:val="007A7893"/>
    <w:rsid w:val="007A792B"/>
    <w:rsid w:val="007A7947"/>
    <w:rsid w:val="007A7ACD"/>
    <w:rsid w:val="007A7BF4"/>
    <w:rsid w:val="007A7C10"/>
    <w:rsid w:val="007A7CDC"/>
    <w:rsid w:val="007A7E13"/>
    <w:rsid w:val="007A7E39"/>
    <w:rsid w:val="007A7EFA"/>
    <w:rsid w:val="007A7FC8"/>
    <w:rsid w:val="007B0019"/>
    <w:rsid w:val="007B01A9"/>
    <w:rsid w:val="007B02FB"/>
    <w:rsid w:val="007B03AD"/>
    <w:rsid w:val="007B040A"/>
    <w:rsid w:val="007B04D7"/>
    <w:rsid w:val="007B05C4"/>
    <w:rsid w:val="007B0677"/>
    <w:rsid w:val="007B06B0"/>
    <w:rsid w:val="007B077C"/>
    <w:rsid w:val="007B08DF"/>
    <w:rsid w:val="007B090A"/>
    <w:rsid w:val="007B092F"/>
    <w:rsid w:val="007B0A4F"/>
    <w:rsid w:val="007B0AC6"/>
    <w:rsid w:val="007B0B9C"/>
    <w:rsid w:val="007B10F1"/>
    <w:rsid w:val="007B11ED"/>
    <w:rsid w:val="007B129B"/>
    <w:rsid w:val="007B12FC"/>
    <w:rsid w:val="007B13EA"/>
    <w:rsid w:val="007B141B"/>
    <w:rsid w:val="007B14D5"/>
    <w:rsid w:val="007B15BF"/>
    <w:rsid w:val="007B171A"/>
    <w:rsid w:val="007B18B6"/>
    <w:rsid w:val="007B19A7"/>
    <w:rsid w:val="007B1AC7"/>
    <w:rsid w:val="007B1B26"/>
    <w:rsid w:val="007B1BBF"/>
    <w:rsid w:val="007B1BE0"/>
    <w:rsid w:val="007B1BE4"/>
    <w:rsid w:val="007B1CEE"/>
    <w:rsid w:val="007B1DBB"/>
    <w:rsid w:val="007B1DC9"/>
    <w:rsid w:val="007B2017"/>
    <w:rsid w:val="007B2040"/>
    <w:rsid w:val="007B20BD"/>
    <w:rsid w:val="007B2141"/>
    <w:rsid w:val="007B214B"/>
    <w:rsid w:val="007B21E0"/>
    <w:rsid w:val="007B2260"/>
    <w:rsid w:val="007B231C"/>
    <w:rsid w:val="007B23B4"/>
    <w:rsid w:val="007B24EC"/>
    <w:rsid w:val="007B25B1"/>
    <w:rsid w:val="007B25D8"/>
    <w:rsid w:val="007B2687"/>
    <w:rsid w:val="007B277F"/>
    <w:rsid w:val="007B27DA"/>
    <w:rsid w:val="007B27E7"/>
    <w:rsid w:val="007B28D1"/>
    <w:rsid w:val="007B2950"/>
    <w:rsid w:val="007B2952"/>
    <w:rsid w:val="007B2AF7"/>
    <w:rsid w:val="007B2C38"/>
    <w:rsid w:val="007B2D70"/>
    <w:rsid w:val="007B2E49"/>
    <w:rsid w:val="007B3273"/>
    <w:rsid w:val="007B32F8"/>
    <w:rsid w:val="007B34F8"/>
    <w:rsid w:val="007B3547"/>
    <w:rsid w:val="007B3573"/>
    <w:rsid w:val="007B36DA"/>
    <w:rsid w:val="007B3784"/>
    <w:rsid w:val="007B3A19"/>
    <w:rsid w:val="007B3AE0"/>
    <w:rsid w:val="007B3D4B"/>
    <w:rsid w:val="007B3EE7"/>
    <w:rsid w:val="007B4008"/>
    <w:rsid w:val="007B400D"/>
    <w:rsid w:val="007B4027"/>
    <w:rsid w:val="007B40E5"/>
    <w:rsid w:val="007B4185"/>
    <w:rsid w:val="007B41A1"/>
    <w:rsid w:val="007B41EC"/>
    <w:rsid w:val="007B4218"/>
    <w:rsid w:val="007B422C"/>
    <w:rsid w:val="007B4265"/>
    <w:rsid w:val="007B4415"/>
    <w:rsid w:val="007B44E1"/>
    <w:rsid w:val="007B4558"/>
    <w:rsid w:val="007B45A2"/>
    <w:rsid w:val="007B4829"/>
    <w:rsid w:val="007B483B"/>
    <w:rsid w:val="007B48F3"/>
    <w:rsid w:val="007B490A"/>
    <w:rsid w:val="007B49A6"/>
    <w:rsid w:val="007B4A78"/>
    <w:rsid w:val="007B4AAB"/>
    <w:rsid w:val="007B4B72"/>
    <w:rsid w:val="007B4BA5"/>
    <w:rsid w:val="007B4F14"/>
    <w:rsid w:val="007B4F77"/>
    <w:rsid w:val="007B4F7F"/>
    <w:rsid w:val="007B4F94"/>
    <w:rsid w:val="007B4FFA"/>
    <w:rsid w:val="007B50A1"/>
    <w:rsid w:val="007B50D0"/>
    <w:rsid w:val="007B51E0"/>
    <w:rsid w:val="007B522A"/>
    <w:rsid w:val="007B5248"/>
    <w:rsid w:val="007B5249"/>
    <w:rsid w:val="007B525B"/>
    <w:rsid w:val="007B560E"/>
    <w:rsid w:val="007B563F"/>
    <w:rsid w:val="007B5676"/>
    <w:rsid w:val="007B5753"/>
    <w:rsid w:val="007B575B"/>
    <w:rsid w:val="007B5775"/>
    <w:rsid w:val="007B59B7"/>
    <w:rsid w:val="007B5A48"/>
    <w:rsid w:val="007B5B46"/>
    <w:rsid w:val="007B5BCD"/>
    <w:rsid w:val="007B5C35"/>
    <w:rsid w:val="007B5EA2"/>
    <w:rsid w:val="007B5F12"/>
    <w:rsid w:val="007B5F97"/>
    <w:rsid w:val="007B5FCC"/>
    <w:rsid w:val="007B6066"/>
    <w:rsid w:val="007B606B"/>
    <w:rsid w:val="007B618F"/>
    <w:rsid w:val="007B63FE"/>
    <w:rsid w:val="007B64A9"/>
    <w:rsid w:val="007B64FB"/>
    <w:rsid w:val="007B6670"/>
    <w:rsid w:val="007B66D2"/>
    <w:rsid w:val="007B674C"/>
    <w:rsid w:val="007B67C5"/>
    <w:rsid w:val="007B6880"/>
    <w:rsid w:val="007B6A74"/>
    <w:rsid w:val="007B6A9D"/>
    <w:rsid w:val="007B6AB7"/>
    <w:rsid w:val="007B6BB4"/>
    <w:rsid w:val="007B6C66"/>
    <w:rsid w:val="007B6E99"/>
    <w:rsid w:val="007B6EDC"/>
    <w:rsid w:val="007B6EEC"/>
    <w:rsid w:val="007B7124"/>
    <w:rsid w:val="007B7233"/>
    <w:rsid w:val="007B725B"/>
    <w:rsid w:val="007B7312"/>
    <w:rsid w:val="007B73DE"/>
    <w:rsid w:val="007B7445"/>
    <w:rsid w:val="007B74D0"/>
    <w:rsid w:val="007B76BB"/>
    <w:rsid w:val="007B76BF"/>
    <w:rsid w:val="007B7790"/>
    <w:rsid w:val="007B77B8"/>
    <w:rsid w:val="007B7877"/>
    <w:rsid w:val="007B78CC"/>
    <w:rsid w:val="007B7A3A"/>
    <w:rsid w:val="007B7E28"/>
    <w:rsid w:val="007B7EBB"/>
    <w:rsid w:val="007B7F34"/>
    <w:rsid w:val="007B7FB0"/>
    <w:rsid w:val="007C0002"/>
    <w:rsid w:val="007C0010"/>
    <w:rsid w:val="007C0228"/>
    <w:rsid w:val="007C0559"/>
    <w:rsid w:val="007C0565"/>
    <w:rsid w:val="007C0580"/>
    <w:rsid w:val="007C069E"/>
    <w:rsid w:val="007C06A2"/>
    <w:rsid w:val="007C06C9"/>
    <w:rsid w:val="007C0776"/>
    <w:rsid w:val="007C07FA"/>
    <w:rsid w:val="007C0913"/>
    <w:rsid w:val="007C093B"/>
    <w:rsid w:val="007C0981"/>
    <w:rsid w:val="007C099A"/>
    <w:rsid w:val="007C09BA"/>
    <w:rsid w:val="007C09BD"/>
    <w:rsid w:val="007C0A1B"/>
    <w:rsid w:val="007C0ADB"/>
    <w:rsid w:val="007C0B19"/>
    <w:rsid w:val="007C0BBD"/>
    <w:rsid w:val="007C0C2B"/>
    <w:rsid w:val="007C0D2C"/>
    <w:rsid w:val="007C0DEA"/>
    <w:rsid w:val="007C0F0C"/>
    <w:rsid w:val="007C0F90"/>
    <w:rsid w:val="007C1027"/>
    <w:rsid w:val="007C106C"/>
    <w:rsid w:val="007C108A"/>
    <w:rsid w:val="007C113A"/>
    <w:rsid w:val="007C1409"/>
    <w:rsid w:val="007C151B"/>
    <w:rsid w:val="007C16D5"/>
    <w:rsid w:val="007C1747"/>
    <w:rsid w:val="007C1796"/>
    <w:rsid w:val="007C17DC"/>
    <w:rsid w:val="007C184C"/>
    <w:rsid w:val="007C1C15"/>
    <w:rsid w:val="007C1C32"/>
    <w:rsid w:val="007C1D6F"/>
    <w:rsid w:val="007C1E62"/>
    <w:rsid w:val="007C1EE6"/>
    <w:rsid w:val="007C1F17"/>
    <w:rsid w:val="007C1FC3"/>
    <w:rsid w:val="007C2060"/>
    <w:rsid w:val="007C2073"/>
    <w:rsid w:val="007C210F"/>
    <w:rsid w:val="007C224A"/>
    <w:rsid w:val="007C2399"/>
    <w:rsid w:val="007C23AA"/>
    <w:rsid w:val="007C251C"/>
    <w:rsid w:val="007C2604"/>
    <w:rsid w:val="007C2615"/>
    <w:rsid w:val="007C269B"/>
    <w:rsid w:val="007C2757"/>
    <w:rsid w:val="007C282B"/>
    <w:rsid w:val="007C2880"/>
    <w:rsid w:val="007C2897"/>
    <w:rsid w:val="007C28AC"/>
    <w:rsid w:val="007C298F"/>
    <w:rsid w:val="007C29CA"/>
    <w:rsid w:val="007C2A54"/>
    <w:rsid w:val="007C2AA0"/>
    <w:rsid w:val="007C2B94"/>
    <w:rsid w:val="007C2BC1"/>
    <w:rsid w:val="007C2CA5"/>
    <w:rsid w:val="007C2D0B"/>
    <w:rsid w:val="007C2DC1"/>
    <w:rsid w:val="007C2DE2"/>
    <w:rsid w:val="007C2E2D"/>
    <w:rsid w:val="007C2ECD"/>
    <w:rsid w:val="007C2F35"/>
    <w:rsid w:val="007C31D7"/>
    <w:rsid w:val="007C3276"/>
    <w:rsid w:val="007C34D6"/>
    <w:rsid w:val="007C351D"/>
    <w:rsid w:val="007C3615"/>
    <w:rsid w:val="007C365C"/>
    <w:rsid w:val="007C36E1"/>
    <w:rsid w:val="007C3B56"/>
    <w:rsid w:val="007C3C3D"/>
    <w:rsid w:val="007C3ECE"/>
    <w:rsid w:val="007C3F9F"/>
    <w:rsid w:val="007C3FCF"/>
    <w:rsid w:val="007C40AC"/>
    <w:rsid w:val="007C40AE"/>
    <w:rsid w:val="007C4148"/>
    <w:rsid w:val="007C4156"/>
    <w:rsid w:val="007C42D0"/>
    <w:rsid w:val="007C453D"/>
    <w:rsid w:val="007C45CA"/>
    <w:rsid w:val="007C45EC"/>
    <w:rsid w:val="007C476C"/>
    <w:rsid w:val="007C477C"/>
    <w:rsid w:val="007C47C1"/>
    <w:rsid w:val="007C47D9"/>
    <w:rsid w:val="007C4815"/>
    <w:rsid w:val="007C486B"/>
    <w:rsid w:val="007C4C13"/>
    <w:rsid w:val="007C4C90"/>
    <w:rsid w:val="007C4CC7"/>
    <w:rsid w:val="007C4DE2"/>
    <w:rsid w:val="007C4E33"/>
    <w:rsid w:val="007C4E7D"/>
    <w:rsid w:val="007C4E85"/>
    <w:rsid w:val="007C4EC7"/>
    <w:rsid w:val="007C4F4D"/>
    <w:rsid w:val="007C4FCB"/>
    <w:rsid w:val="007C518B"/>
    <w:rsid w:val="007C526A"/>
    <w:rsid w:val="007C53BD"/>
    <w:rsid w:val="007C53D7"/>
    <w:rsid w:val="007C53E3"/>
    <w:rsid w:val="007C5634"/>
    <w:rsid w:val="007C572A"/>
    <w:rsid w:val="007C5738"/>
    <w:rsid w:val="007C57DA"/>
    <w:rsid w:val="007C5881"/>
    <w:rsid w:val="007C589D"/>
    <w:rsid w:val="007C5B88"/>
    <w:rsid w:val="007C5E51"/>
    <w:rsid w:val="007C5E62"/>
    <w:rsid w:val="007C5E93"/>
    <w:rsid w:val="007C5F83"/>
    <w:rsid w:val="007C5FAB"/>
    <w:rsid w:val="007C5FC0"/>
    <w:rsid w:val="007C6017"/>
    <w:rsid w:val="007C6047"/>
    <w:rsid w:val="007C620A"/>
    <w:rsid w:val="007C630F"/>
    <w:rsid w:val="007C6361"/>
    <w:rsid w:val="007C64EF"/>
    <w:rsid w:val="007C6524"/>
    <w:rsid w:val="007C656A"/>
    <w:rsid w:val="007C6574"/>
    <w:rsid w:val="007C6633"/>
    <w:rsid w:val="007C66F3"/>
    <w:rsid w:val="007C6712"/>
    <w:rsid w:val="007C67DE"/>
    <w:rsid w:val="007C69B1"/>
    <w:rsid w:val="007C6B37"/>
    <w:rsid w:val="007C6BF3"/>
    <w:rsid w:val="007C6C3E"/>
    <w:rsid w:val="007C6CC0"/>
    <w:rsid w:val="007C6D40"/>
    <w:rsid w:val="007C6E87"/>
    <w:rsid w:val="007C6ED2"/>
    <w:rsid w:val="007C7063"/>
    <w:rsid w:val="007C7081"/>
    <w:rsid w:val="007C7095"/>
    <w:rsid w:val="007C74EE"/>
    <w:rsid w:val="007C752E"/>
    <w:rsid w:val="007C79A7"/>
    <w:rsid w:val="007C7B0D"/>
    <w:rsid w:val="007C7E33"/>
    <w:rsid w:val="007C7E5F"/>
    <w:rsid w:val="007D000C"/>
    <w:rsid w:val="007D019F"/>
    <w:rsid w:val="007D020E"/>
    <w:rsid w:val="007D02AE"/>
    <w:rsid w:val="007D02BC"/>
    <w:rsid w:val="007D030E"/>
    <w:rsid w:val="007D036A"/>
    <w:rsid w:val="007D036F"/>
    <w:rsid w:val="007D039C"/>
    <w:rsid w:val="007D04DD"/>
    <w:rsid w:val="007D04E1"/>
    <w:rsid w:val="007D053E"/>
    <w:rsid w:val="007D06A2"/>
    <w:rsid w:val="007D071F"/>
    <w:rsid w:val="007D07B8"/>
    <w:rsid w:val="007D090B"/>
    <w:rsid w:val="007D0A16"/>
    <w:rsid w:val="007D0A22"/>
    <w:rsid w:val="007D0AA0"/>
    <w:rsid w:val="007D0AC2"/>
    <w:rsid w:val="007D0AEC"/>
    <w:rsid w:val="007D0B43"/>
    <w:rsid w:val="007D0B54"/>
    <w:rsid w:val="007D0BD5"/>
    <w:rsid w:val="007D0C2F"/>
    <w:rsid w:val="007D0CDE"/>
    <w:rsid w:val="007D0D01"/>
    <w:rsid w:val="007D0ED8"/>
    <w:rsid w:val="007D0EDC"/>
    <w:rsid w:val="007D0F4E"/>
    <w:rsid w:val="007D0FB7"/>
    <w:rsid w:val="007D1076"/>
    <w:rsid w:val="007D110E"/>
    <w:rsid w:val="007D1206"/>
    <w:rsid w:val="007D1353"/>
    <w:rsid w:val="007D1383"/>
    <w:rsid w:val="007D1384"/>
    <w:rsid w:val="007D1397"/>
    <w:rsid w:val="007D148A"/>
    <w:rsid w:val="007D14D5"/>
    <w:rsid w:val="007D15A2"/>
    <w:rsid w:val="007D1679"/>
    <w:rsid w:val="007D17CA"/>
    <w:rsid w:val="007D1815"/>
    <w:rsid w:val="007D191D"/>
    <w:rsid w:val="007D191E"/>
    <w:rsid w:val="007D1926"/>
    <w:rsid w:val="007D1A5F"/>
    <w:rsid w:val="007D1AFC"/>
    <w:rsid w:val="007D1BC3"/>
    <w:rsid w:val="007D1BD4"/>
    <w:rsid w:val="007D1DCC"/>
    <w:rsid w:val="007D1E3A"/>
    <w:rsid w:val="007D1F5B"/>
    <w:rsid w:val="007D1F64"/>
    <w:rsid w:val="007D20CB"/>
    <w:rsid w:val="007D2118"/>
    <w:rsid w:val="007D21D9"/>
    <w:rsid w:val="007D2211"/>
    <w:rsid w:val="007D2219"/>
    <w:rsid w:val="007D22C7"/>
    <w:rsid w:val="007D23C7"/>
    <w:rsid w:val="007D25C8"/>
    <w:rsid w:val="007D2730"/>
    <w:rsid w:val="007D299F"/>
    <w:rsid w:val="007D2A2A"/>
    <w:rsid w:val="007D2A2C"/>
    <w:rsid w:val="007D2A44"/>
    <w:rsid w:val="007D2A77"/>
    <w:rsid w:val="007D2AED"/>
    <w:rsid w:val="007D2B0D"/>
    <w:rsid w:val="007D2BCA"/>
    <w:rsid w:val="007D2C8D"/>
    <w:rsid w:val="007D2FEC"/>
    <w:rsid w:val="007D30B3"/>
    <w:rsid w:val="007D30C0"/>
    <w:rsid w:val="007D30CD"/>
    <w:rsid w:val="007D31BB"/>
    <w:rsid w:val="007D3516"/>
    <w:rsid w:val="007D353A"/>
    <w:rsid w:val="007D36C3"/>
    <w:rsid w:val="007D37A3"/>
    <w:rsid w:val="007D37F4"/>
    <w:rsid w:val="007D3999"/>
    <w:rsid w:val="007D39AC"/>
    <w:rsid w:val="007D39EB"/>
    <w:rsid w:val="007D3A23"/>
    <w:rsid w:val="007D3AC6"/>
    <w:rsid w:val="007D3AF1"/>
    <w:rsid w:val="007D3AF6"/>
    <w:rsid w:val="007D3BBE"/>
    <w:rsid w:val="007D3C03"/>
    <w:rsid w:val="007D3C07"/>
    <w:rsid w:val="007D3E2C"/>
    <w:rsid w:val="007D3FA6"/>
    <w:rsid w:val="007D4075"/>
    <w:rsid w:val="007D4126"/>
    <w:rsid w:val="007D4149"/>
    <w:rsid w:val="007D42D7"/>
    <w:rsid w:val="007D43BD"/>
    <w:rsid w:val="007D443B"/>
    <w:rsid w:val="007D443E"/>
    <w:rsid w:val="007D44EB"/>
    <w:rsid w:val="007D44FC"/>
    <w:rsid w:val="007D474B"/>
    <w:rsid w:val="007D480B"/>
    <w:rsid w:val="007D485B"/>
    <w:rsid w:val="007D4954"/>
    <w:rsid w:val="007D4B31"/>
    <w:rsid w:val="007D4B6F"/>
    <w:rsid w:val="007D4C6E"/>
    <w:rsid w:val="007D4D85"/>
    <w:rsid w:val="007D5148"/>
    <w:rsid w:val="007D52FB"/>
    <w:rsid w:val="007D53B8"/>
    <w:rsid w:val="007D559A"/>
    <w:rsid w:val="007D55D1"/>
    <w:rsid w:val="007D57C3"/>
    <w:rsid w:val="007D59BE"/>
    <w:rsid w:val="007D5A3C"/>
    <w:rsid w:val="007D5AB7"/>
    <w:rsid w:val="007D5AD3"/>
    <w:rsid w:val="007D5CBA"/>
    <w:rsid w:val="007D5CF1"/>
    <w:rsid w:val="007D5D6A"/>
    <w:rsid w:val="007D5E2A"/>
    <w:rsid w:val="007D5E32"/>
    <w:rsid w:val="007D5E82"/>
    <w:rsid w:val="007D5E8E"/>
    <w:rsid w:val="007D6154"/>
    <w:rsid w:val="007D61CE"/>
    <w:rsid w:val="007D626C"/>
    <w:rsid w:val="007D6297"/>
    <w:rsid w:val="007D6394"/>
    <w:rsid w:val="007D6444"/>
    <w:rsid w:val="007D6500"/>
    <w:rsid w:val="007D65B6"/>
    <w:rsid w:val="007D65D1"/>
    <w:rsid w:val="007D6663"/>
    <w:rsid w:val="007D6724"/>
    <w:rsid w:val="007D67C5"/>
    <w:rsid w:val="007D6800"/>
    <w:rsid w:val="007D681C"/>
    <w:rsid w:val="007D6845"/>
    <w:rsid w:val="007D692A"/>
    <w:rsid w:val="007D69B9"/>
    <w:rsid w:val="007D69FB"/>
    <w:rsid w:val="007D6A19"/>
    <w:rsid w:val="007D6AF3"/>
    <w:rsid w:val="007D6B5F"/>
    <w:rsid w:val="007D6B98"/>
    <w:rsid w:val="007D6C37"/>
    <w:rsid w:val="007D6ECF"/>
    <w:rsid w:val="007D6ED3"/>
    <w:rsid w:val="007D716F"/>
    <w:rsid w:val="007D71FD"/>
    <w:rsid w:val="007D730B"/>
    <w:rsid w:val="007D7321"/>
    <w:rsid w:val="007D7389"/>
    <w:rsid w:val="007D7423"/>
    <w:rsid w:val="007D7486"/>
    <w:rsid w:val="007D74BD"/>
    <w:rsid w:val="007D754D"/>
    <w:rsid w:val="007D7569"/>
    <w:rsid w:val="007D78FD"/>
    <w:rsid w:val="007D79F5"/>
    <w:rsid w:val="007D7BF9"/>
    <w:rsid w:val="007D7C75"/>
    <w:rsid w:val="007D7D0F"/>
    <w:rsid w:val="007D7D31"/>
    <w:rsid w:val="007E0116"/>
    <w:rsid w:val="007E0131"/>
    <w:rsid w:val="007E018E"/>
    <w:rsid w:val="007E02AA"/>
    <w:rsid w:val="007E03D9"/>
    <w:rsid w:val="007E051D"/>
    <w:rsid w:val="007E065A"/>
    <w:rsid w:val="007E072F"/>
    <w:rsid w:val="007E0762"/>
    <w:rsid w:val="007E093B"/>
    <w:rsid w:val="007E0960"/>
    <w:rsid w:val="007E097C"/>
    <w:rsid w:val="007E0C2F"/>
    <w:rsid w:val="007E0D31"/>
    <w:rsid w:val="007E0E7C"/>
    <w:rsid w:val="007E0E95"/>
    <w:rsid w:val="007E114F"/>
    <w:rsid w:val="007E12A2"/>
    <w:rsid w:val="007E1357"/>
    <w:rsid w:val="007E13DD"/>
    <w:rsid w:val="007E1449"/>
    <w:rsid w:val="007E149E"/>
    <w:rsid w:val="007E1524"/>
    <w:rsid w:val="007E16C1"/>
    <w:rsid w:val="007E17D0"/>
    <w:rsid w:val="007E18DF"/>
    <w:rsid w:val="007E190E"/>
    <w:rsid w:val="007E191E"/>
    <w:rsid w:val="007E1A23"/>
    <w:rsid w:val="007E1A64"/>
    <w:rsid w:val="007E1BA0"/>
    <w:rsid w:val="007E1BBD"/>
    <w:rsid w:val="007E1C87"/>
    <w:rsid w:val="007E1CD2"/>
    <w:rsid w:val="007E1D2E"/>
    <w:rsid w:val="007E1D69"/>
    <w:rsid w:val="007E1FB1"/>
    <w:rsid w:val="007E1FFB"/>
    <w:rsid w:val="007E21D4"/>
    <w:rsid w:val="007E2242"/>
    <w:rsid w:val="007E254A"/>
    <w:rsid w:val="007E266E"/>
    <w:rsid w:val="007E26C6"/>
    <w:rsid w:val="007E274C"/>
    <w:rsid w:val="007E275C"/>
    <w:rsid w:val="007E27DE"/>
    <w:rsid w:val="007E28CB"/>
    <w:rsid w:val="007E2902"/>
    <w:rsid w:val="007E2908"/>
    <w:rsid w:val="007E29DC"/>
    <w:rsid w:val="007E2A91"/>
    <w:rsid w:val="007E2B86"/>
    <w:rsid w:val="007E2BAB"/>
    <w:rsid w:val="007E2BD5"/>
    <w:rsid w:val="007E2E7D"/>
    <w:rsid w:val="007E2F04"/>
    <w:rsid w:val="007E2F5B"/>
    <w:rsid w:val="007E2F65"/>
    <w:rsid w:val="007E2F6D"/>
    <w:rsid w:val="007E322A"/>
    <w:rsid w:val="007E33D6"/>
    <w:rsid w:val="007E34AF"/>
    <w:rsid w:val="007E34B2"/>
    <w:rsid w:val="007E34BC"/>
    <w:rsid w:val="007E353A"/>
    <w:rsid w:val="007E354F"/>
    <w:rsid w:val="007E364A"/>
    <w:rsid w:val="007E36EA"/>
    <w:rsid w:val="007E377C"/>
    <w:rsid w:val="007E380A"/>
    <w:rsid w:val="007E3819"/>
    <w:rsid w:val="007E39A1"/>
    <w:rsid w:val="007E39B3"/>
    <w:rsid w:val="007E39D4"/>
    <w:rsid w:val="007E3A95"/>
    <w:rsid w:val="007E3B45"/>
    <w:rsid w:val="007E3BB0"/>
    <w:rsid w:val="007E3C16"/>
    <w:rsid w:val="007E3CDC"/>
    <w:rsid w:val="007E3CFD"/>
    <w:rsid w:val="007E3D2F"/>
    <w:rsid w:val="007E3E14"/>
    <w:rsid w:val="007E3E63"/>
    <w:rsid w:val="007E3E87"/>
    <w:rsid w:val="007E3EC4"/>
    <w:rsid w:val="007E40B8"/>
    <w:rsid w:val="007E4144"/>
    <w:rsid w:val="007E41B9"/>
    <w:rsid w:val="007E4218"/>
    <w:rsid w:val="007E436B"/>
    <w:rsid w:val="007E4403"/>
    <w:rsid w:val="007E4406"/>
    <w:rsid w:val="007E44C0"/>
    <w:rsid w:val="007E4664"/>
    <w:rsid w:val="007E46C2"/>
    <w:rsid w:val="007E4774"/>
    <w:rsid w:val="007E47E6"/>
    <w:rsid w:val="007E49E2"/>
    <w:rsid w:val="007E4C73"/>
    <w:rsid w:val="007E4CC4"/>
    <w:rsid w:val="007E4D93"/>
    <w:rsid w:val="007E4DAC"/>
    <w:rsid w:val="007E4DEF"/>
    <w:rsid w:val="007E4EEA"/>
    <w:rsid w:val="007E4FC8"/>
    <w:rsid w:val="007E50D3"/>
    <w:rsid w:val="007E50E3"/>
    <w:rsid w:val="007E50FD"/>
    <w:rsid w:val="007E51B3"/>
    <w:rsid w:val="007E5363"/>
    <w:rsid w:val="007E53BE"/>
    <w:rsid w:val="007E53DC"/>
    <w:rsid w:val="007E53F7"/>
    <w:rsid w:val="007E5495"/>
    <w:rsid w:val="007E54B8"/>
    <w:rsid w:val="007E558D"/>
    <w:rsid w:val="007E5624"/>
    <w:rsid w:val="007E5637"/>
    <w:rsid w:val="007E5779"/>
    <w:rsid w:val="007E588F"/>
    <w:rsid w:val="007E5A30"/>
    <w:rsid w:val="007E5AE8"/>
    <w:rsid w:val="007E5BA9"/>
    <w:rsid w:val="007E5C13"/>
    <w:rsid w:val="007E5D61"/>
    <w:rsid w:val="007E5D84"/>
    <w:rsid w:val="007E5DE3"/>
    <w:rsid w:val="007E5DFA"/>
    <w:rsid w:val="007E5F82"/>
    <w:rsid w:val="007E6391"/>
    <w:rsid w:val="007E63A1"/>
    <w:rsid w:val="007E666E"/>
    <w:rsid w:val="007E6868"/>
    <w:rsid w:val="007E68CA"/>
    <w:rsid w:val="007E6A1A"/>
    <w:rsid w:val="007E6A1F"/>
    <w:rsid w:val="007E6A72"/>
    <w:rsid w:val="007E6A81"/>
    <w:rsid w:val="007E6AC3"/>
    <w:rsid w:val="007E6B00"/>
    <w:rsid w:val="007E6C97"/>
    <w:rsid w:val="007E6CAE"/>
    <w:rsid w:val="007E6D12"/>
    <w:rsid w:val="007E6E89"/>
    <w:rsid w:val="007E6F05"/>
    <w:rsid w:val="007E6F34"/>
    <w:rsid w:val="007E702C"/>
    <w:rsid w:val="007E707E"/>
    <w:rsid w:val="007E70C7"/>
    <w:rsid w:val="007E718A"/>
    <w:rsid w:val="007E7215"/>
    <w:rsid w:val="007E7424"/>
    <w:rsid w:val="007E74D4"/>
    <w:rsid w:val="007E75A0"/>
    <w:rsid w:val="007E785B"/>
    <w:rsid w:val="007E7939"/>
    <w:rsid w:val="007E79C2"/>
    <w:rsid w:val="007E7A38"/>
    <w:rsid w:val="007E7B52"/>
    <w:rsid w:val="007E7C0D"/>
    <w:rsid w:val="007E7CF0"/>
    <w:rsid w:val="007E7D82"/>
    <w:rsid w:val="007E7DC4"/>
    <w:rsid w:val="007E7FE4"/>
    <w:rsid w:val="007F0109"/>
    <w:rsid w:val="007F0168"/>
    <w:rsid w:val="007F02BD"/>
    <w:rsid w:val="007F039D"/>
    <w:rsid w:val="007F041C"/>
    <w:rsid w:val="007F0423"/>
    <w:rsid w:val="007F04C0"/>
    <w:rsid w:val="007F05F8"/>
    <w:rsid w:val="007F06CA"/>
    <w:rsid w:val="007F06D7"/>
    <w:rsid w:val="007F0766"/>
    <w:rsid w:val="007F0B44"/>
    <w:rsid w:val="007F0BD6"/>
    <w:rsid w:val="007F0C3D"/>
    <w:rsid w:val="007F0D05"/>
    <w:rsid w:val="007F0E48"/>
    <w:rsid w:val="007F0E59"/>
    <w:rsid w:val="007F0E70"/>
    <w:rsid w:val="007F0F03"/>
    <w:rsid w:val="007F0F56"/>
    <w:rsid w:val="007F0F66"/>
    <w:rsid w:val="007F1013"/>
    <w:rsid w:val="007F10DB"/>
    <w:rsid w:val="007F114F"/>
    <w:rsid w:val="007F11D0"/>
    <w:rsid w:val="007F1310"/>
    <w:rsid w:val="007F1371"/>
    <w:rsid w:val="007F13DC"/>
    <w:rsid w:val="007F1570"/>
    <w:rsid w:val="007F15B7"/>
    <w:rsid w:val="007F15D2"/>
    <w:rsid w:val="007F1873"/>
    <w:rsid w:val="007F19A2"/>
    <w:rsid w:val="007F19A5"/>
    <w:rsid w:val="007F1A45"/>
    <w:rsid w:val="007F1B78"/>
    <w:rsid w:val="007F1BBF"/>
    <w:rsid w:val="007F1C47"/>
    <w:rsid w:val="007F1CBC"/>
    <w:rsid w:val="007F2002"/>
    <w:rsid w:val="007F2063"/>
    <w:rsid w:val="007F217D"/>
    <w:rsid w:val="007F21E9"/>
    <w:rsid w:val="007F228D"/>
    <w:rsid w:val="007F2472"/>
    <w:rsid w:val="007F25C9"/>
    <w:rsid w:val="007F2611"/>
    <w:rsid w:val="007F26DA"/>
    <w:rsid w:val="007F276E"/>
    <w:rsid w:val="007F28D4"/>
    <w:rsid w:val="007F292B"/>
    <w:rsid w:val="007F2972"/>
    <w:rsid w:val="007F29D3"/>
    <w:rsid w:val="007F2A3C"/>
    <w:rsid w:val="007F2AE0"/>
    <w:rsid w:val="007F2AE1"/>
    <w:rsid w:val="007F2AF8"/>
    <w:rsid w:val="007F2B89"/>
    <w:rsid w:val="007F2C33"/>
    <w:rsid w:val="007F2C4C"/>
    <w:rsid w:val="007F2D2F"/>
    <w:rsid w:val="007F2DAA"/>
    <w:rsid w:val="007F2F16"/>
    <w:rsid w:val="007F3204"/>
    <w:rsid w:val="007F327F"/>
    <w:rsid w:val="007F329F"/>
    <w:rsid w:val="007F3329"/>
    <w:rsid w:val="007F33BA"/>
    <w:rsid w:val="007F3451"/>
    <w:rsid w:val="007F347B"/>
    <w:rsid w:val="007F3511"/>
    <w:rsid w:val="007F3645"/>
    <w:rsid w:val="007F367C"/>
    <w:rsid w:val="007F370A"/>
    <w:rsid w:val="007F3780"/>
    <w:rsid w:val="007F37BF"/>
    <w:rsid w:val="007F38BE"/>
    <w:rsid w:val="007F38D7"/>
    <w:rsid w:val="007F39BB"/>
    <w:rsid w:val="007F39EC"/>
    <w:rsid w:val="007F3A22"/>
    <w:rsid w:val="007F3D3D"/>
    <w:rsid w:val="007F3E15"/>
    <w:rsid w:val="007F3E87"/>
    <w:rsid w:val="007F3EC5"/>
    <w:rsid w:val="007F3F86"/>
    <w:rsid w:val="007F3FBF"/>
    <w:rsid w:val="007F405F"/>
    <w:rsid w:val="007F4094"/>
    <w:rsid w:val="007F4135"/>
    <w:rsid w:val="007F4141"/>
    <w:rsid w:val="007F417D"/>
    <w:rsid w:val="007F41CB"/>
    <w:rsid w:val="007F42F7"/>
    <w:rsid w:val="007F454A"/>
    <w:rsid w:val="007F464B"/>
    <w:rsid w:val="007F467F"/>
    <w:rsid w:val="007F478D"/>
    <w:rsid w:val="007F482D"/>
    <w:rsid w:val="007F48B8"/>
    <w:rsid w:val="007F49C8"/>
    <w:rsid w:val="007F4B8F"/>
    <w:rsid w:val="007F4B9F"/>
    <w:rsid w:val="007F4BC4"/>
    <w:rsid w:val="007F4C2D"/>
    <w:rsid w:val="007F4E55"/>
    <w:rsid w:val="007F4E67"/>
    <w:rsid w:val="007F4ED2"/>
    <w:rsid w:val="007F505A"/>
    <w:rsid w:val="007F50A6"/>
    <w:rsid w:val="007F515F"/>
    <w:rsid w:val="007F54A5"/>
    <w:rsid w:val="007F55F7"/>
    <w:rsid w:val="007F5659"/>
    <w:rsid w:val="007F57A8"/>
    <w:rsid w:val="007F58FD"/>
    <w:rsid w:val="007F5D14"/>
    <w:rsid w:val="007F5D74"/>
    <w:rsid w:val="007F5E2F"/>
    <w:rsid w:val="007F5E33"/>
    <w:rsid w:val="007F6165"/>
    <w:rsid w:val="007F62F3"/>
    <w:rsid w:val="007F64DB"/>
    <w:rsid w:val="007F6670"/>
    <w:rsid w:val="007F6694"/>
    <w:rsid w:val="007F6809"/>
    <w:rsid w:val="007F681F"/>
    <w:rsid w:val="007F6884"/>
    <w:rsid w:val="007F6963"/>
    <w:rsid w:val="007F6A98"/>
    <w:rsid w:val="007F6AF0"/>
    <w:rsid w:val="007F6B0C"/>
    <w:rsid w:val="007F6D69"/>
    <w:rsid w:val="007F6D7A"/>
    <w:rsid w:val="007F6EC2"/>
    <w:rsid w:val="007F6F8C"/>
    <w:rsid w:val="007F7086"/>
    <w:rsid w:val="007F70F1"/>
    <w:rsid w:val="007F71B4"/>
    <w:rsid w:val="007F72E0"/>
    <w:rsid w:val="007F739A"/>
    <w:rsid w:val="007F7507"/>
    <w:rsid w:val="007F7509"/>
    <w:rsid w:val="007F75D3"/>
    <w:rsid w:val="007F77C0"/>
    <w:rsid w:val="007F780A"/>
    <w:rsid w:val="007F78E1"/>
    <w:rsid w:val="007F78FC"/>
    <w:rsid w:val="007F79A6"/>
    <w:rsid w:val="007F7A0C"/>
    <w:rsid w:val="007F7A5E"/>
    <w:rsid w:val="007F7B26"/>
    <w:rsid w:val="007F7B83"/>
    <w:rsid w:val="007F7C57"/>
    <w:rsid w:val="007F7CD4"/>
    <w:rsid w:val="007F7D8A"/>
    <w:rsid w:val="007F7DE9"/>
    <w:rsid w:val="007F7E0F"/>
    <w:rsid w:val="007F7EE1"/>
    <w:rsid w:val="007F7FD9"/>
    <w:rsid w:val="00800005"/>
    <w:rsid w:val="00800418"/>
    <w:rsid w:val="0080048E"/>
    <w:rsid w:val="00800667"/>
    <w:rsid w:val="0080071B"/>
    <w:rsid w:val="0080078D"/>
    <w:rsid w:val="008008C9"/>
    <w:rsid w:val="0080099F"/>
    <w:rsid w:val="00800A34"/>
    <w:rsid w:val="00800A63"/>
    <w:rsid w:val="00800B56"/>
    <w:rsid w:val="00800BB6"/>
    <w:rsid w:val="00800D07"/>
    <w:rsid w:val="00800D5A"/>
    <w:rsid w:val="00800DB5"/>
    <w:rsid w:val="008010D4"/>
    <w:rsid w:val="008012B2"/>
    <w:rsid w:val="008013B1"/>
    <w:rsid w:val="00801441"/>
    <w:rsid w:val="008014BB"/>
    <w:rsid w:val="00801565"/>
    <w:rsid w:val="00801588"/>
    <w:rsid w:val="008015E0"/>
    <w:rsid w:val="00801630"/>
    <w:rsid w:val="008016DE"/>
    <w:rsid w:val="00801794"/>
    <w:rsid w:val="00801945"/>
    <w:rsid w:val="00801950"/>
    <w:rsid w:val="00801A61"/>
    <w:rsid w:val="00801B0E"/>
    <w:rsid w:val="00801B51"/>
    <w:rsid w:val="00801D2A"/>
    <w:rsid w:val="00801D6C"/>
    <w:rsid w:val="00801D7D"/>
    <w:rsid w:val="00801F90"/>
    <w:rsid w:val="00801FA4"/>
    <w:rsid w:val="00801FA6"/>
    <w:rsid w:val="00801FBF"/>
    <w:rsid w:val="00802068"/>
    <w:rsid w:val="008020E3"/>
    <w:rsid w:val="0080212B"/>
    <w:rsid w:val="00802245"/>
    <w:rsid w:val="00802256"/>
    <w:rsid w:val="008022F8"/>
    <w:rsid w:val="0080230E"/>
    <w:rsid w:val="00802575"/>
    <w:rsid w:val="00802667"/>
    <w:rsid w:val="008026AC"/>
    <w:rsid w:val="008027CB"/>
    <w:rsid w:val="008028F0"/>
    <w:rsid w:val="00802981"/>
    <w:rsid w:val="00802988"/>
    <w:rsid w:val="008029AD"/>
    <w:rsid w:val="00802B19"/>
    <w:rsid w:val="00802BC1"/>
    <w:rsid w:val="00802BD9"/>
    <w:rsid w:val="00802BE6"/>
    <w:rsid w:val="00802CA2"/>
    <w:rsid w:val="00802CA5"/>
    <w:rsid w:val="00802CAA"/>
    <w:rsid w:val="00802D45"/>
    <w:rsid w:val="00802D87"/>
    <w:rsid w:val="00802DEF"/>
    <w:rsid w:val="00802ED9"/>
    <w:rsid w:val="00802EFB"/>
    <w:rsid w:val="00802FEC"/>
    <w:rsid w:val="00803220"/>
    <w:rsid w:val="00803248"/>
    <w:rsid w:val="008032C8"/>
    <w:rsid w:val="0080334B"/>
    <w:rsid w:val="008033F9"/>
    <w:rsid w:val="0080346F"/>
    <w:rsid w:val="008034BF"/>
    <w:rsid w:val="008035FE"/>
    <w:rsid w:val="0080366B"/>
    <w:rsid w:val="008037B0"/>
    <w:rsid w:val="008037F9"/>
    <w:rsid w:val="008038CA"/>
    <w:rsid w:val="00803A1F"/>
    <w:rsid w:val="00803A80"/>
    <w:rsid w:val="00803AAA"/>
    <w:rsid w:val="00803BC3"/>
    <w:rsid w:val="00803C03"/>
    <w:rsid w:val="00803C40"/>
    <w:rsid w:val="00803C8D"/>
    <w:rsid w:val="00803E98"/>
    <w:rsid w:val="00803EFB"/>
    <w:rsid w:val="00804054"/>
    <w:rsid w:val="0080415B"/>
    <w:rsid w:val="008043E5"/>
    <w:rsid w:val="008044D1"/>
    <w:rsid w:val="00804500"/>
    <w:rsid w:val="00804511"/>
    <w:rsid w:val="008045E7"/>
    <w:rsid w:val="00804621"/>
    <w:rsid w:val="00804637"/>
    <w:rsid w:val="0080466C"/>
    <w:rsid w:val="008046A4"/>
    <w:rsid w:val="008046BA"/>
    <w:rsid w:val="00804785"/>
    <w:rsid w:val="008047F8"/>
    <w:rsid w:val="00804D01"/>
    <w:rsid w:val="00804D5B"/>
    <w:rsid w:val="00804E35"/>
    <w:rsid w:val="00804E48"/>
    <w:rsid w:val="00804E5D"/>
    <w:rsid w:val="00804E7A"/>
    <w:rsid w:val="00805243"/>
    <w:rsid w:val="0080528B"/>
    <w:rsid w:val="008052A0"/>
    <w:rsid w:val="00805368"/>
    <w:rsid w:val="0080554B"/>
    <w:rsid w:val="0080568C"/>
    <w:rsid w:val="00805779"/>
    <w:rsid w:val="0080589A"/>
    <w:rsid w:val="0080589F"/>
    <w:rsid w:val="00805913"/>
    <w:rsid w:val="008059B2"/>
    <w:rsid w:val="008059C3"/>
    <w:rsid w:val="00805A39"/>
    <w:rsid w:val="00805ABC"/>
    <w:rsid w:val="00805ABE"/>
    <w:rsid w:val="00805AE0"/>
    <w:rsid w:val="00805B19"/>
    <w:rsid w:val="00805BED"/>
    <w:rsid w:val="00805E98"/>
    <w:rsid w:val="00805E9F"/>
    <w:rsid w:val="00805EE5"/>
    <w:rsid w:val="00806075"/>
    <w:rsid w:val="008060BC"/>
    <w:rsid w:val="0080612D"/>
    <w:rsid w:val="008061F4"/>
    <w:rsid w:val="0080624C"/>
    <w:rsid w:val="00806345"/>
    <w:rsid w:val="0080654E"/>
    <w:rsid w:val="0080668C"/>
    <w:rsid w:val="0080669A"/>
    <w:rsid w:val="00806733"/>
    <w:rsid w:val="0080699D"/>
    <w:rsid w:val="008069C4"/>
    <w:rsid w:val="008069DB"/>
    <w:rsid w:val="00806B28"/>
    <w:rsid w:val="00806B59"/>
    <w:rsid w:val="00806B63"/>
    <w:rsid w:val="00806D07"/>
    <w:rsid w:val="00806D48"/>
    <w:rsid w:val="00806DB1"/>
    <w:rsid w:val="00806E66"/>
    <w:rsid w:val="00806EAF"/>
    <w:rsid w:val="00806EE8"/>
    <w:rsid w:val="00806F9B"/>
    <w:rsid w:val="0080702E"/>
    <w:rsid w:val="008072B3"/>
    <w:rsid w:val="008072D1"/>
    <w:rsid w:val="008073EB"/>
    <w:rsid w:val="00807479"/>
    <w:rsid w:val="0080750C"/>
    <w:rsid w:val="008075E4"/>
    <w:rsid w:val="0080764A"/>
    <w:rsid w:val="0080770B"/>
    <w:rsid w:val="00807740"/>
    <w:rsid w:val="00807C55"/>
    <w:rsid w:val="00807EE1"/>
    <w:rsid w:val="00810046"/>
    <w:rsid w:val="00810179"/>
    <w:rsid w:val="0081031A"/>
    <w:rsid w:val="00810362"/>
    <w:rsid w:val="008103E5"/>
    <w:rsid w:val="008105F2"/>
    <w:rsid w:val="008106AB"/>
    <w:rsid w:val="008107CE"/>
    <w:rsid w:val="00810836"/>
    <w:rsid w:val="00810935"/>
    <w:rsid w:val="00810960"/>
    <w:rsid w:val="00810A3C"/>
    <w:rsid w:val="00810A84"/>
    <w:rsid w:val="00810AF8"/>
    <w:rsid w:val="00810B20"/>
    <w:rsid w:val="00810D1B"/>
    <w:rsid w:val="00810F65"/>
    <w:rsid w:val="00811038"/>
    <w:rsid w:val="00811077"/>
    <w:rsid w:val="00811180"/>
    <w:rsid w:val="0081121D"/>
    <w:rsid w:val="00811366"/>
    <w:rsid w:val="008113E2"/>
    <w:rsid w:val="00811499"/>
    <w:rsid w:val="008114E0"/>
    <w:rsid w:val="00811516"/>
    <w:rsid w:val="00811784"/>
    <w:rsid w:val="008117BF"/>
    <w:rsid w:val="00811806"/>
    <w:rsid w:val="0081185A"/>
    <w:rsid w:val="00811A23"/>
    <w:rsid w:val="00811A5F"/>
    <w:rsid w:val="00811A7E"/>
    <w:rsid w:val="00811A88"/>
    <w:rsid w:val="00811CB2"/>
    <w:rsid w:val="00811CFA"/>
    <w:rsid w:val="00811E44"/>
    <w:rsid w:val="00811E72"/>
    <w:rsid w:val="00811FFC"/>
    <w:rsid w:val="008120A8"/>
    <w:rsid w:val="008120BA"/>
    <w:rsid w:val="008120E0"/>
    <w:rsid w:val="008120E7"/>
    <w:rsid w:val="00812107"/>
    <w:rsid w:val="008121ED"/>
    <w:rsid w:val="0081224B"/>
    <w:rsid w:val="00812314"/>
    <w:rsid w:val="008123A8"/>
    <w:rsid w:val="008125E0"/>
    <w:rsid w:val="008125F0"/>
    <w:rsid w:val="0081263B"/>
    <w:rsid w:val="00812658"/>
    <w:rsid w:val="008126C2"/>
    <w:rsid w:val="00812815"/>
    <w:rsid w:val="008128DC"/>
    <w:rsid w:val="00812A94"/>
    <w:rsid w:val="00812B67"/>
    <w:rsid w:val="00812D4A"/>
    <w:rsid w:val="00813161"/>
    <w:rsid w:val="008132C9"/>
    <w:rsid w:val="00813300"/>
    <w:rsid w:val="00813364"/>
    <w:rsid w:val="00813580"/>
    <w:rsid w:val="008136FC"/>
    <w:rsid w:val="0081375D"/>
    <w:rsid w:val="0081376C"/>
    <w:rsid w:val="008137A6"/>
    <w:rsid w:val="008137DE"/>
    <w:rsid w:val="008138AE"/>
    <w:rsid w:val="008138F2"/>
    <w:rsid w:val="008139BE"/>
    <w:rsid w:val="00813A2D"/>
    <w:rsid w:val="00813A7C"/>
    <w:rsid w:val="00813AE8"/>
    <w:rsid w:val="00813D14"/>
    <w:rsid w:val="00813E23"/>
    <w:rsid w:val="00813FCE"/>
    <w:rsid w:val="008140DD"/>
    <w:rsid w:val="008141A2"/>
    <w:rsid w:val="00814223"/>
    <w:rsid w:val="0081425D"/>
    <w:rsid w:val="00814387"/>
    <w:rsid w:val="00814661"/>
    <w:rsid w:val="00814689"/>
    <w:rsid w:val="008146E1"/>
    <w:rsid w:val="0081483B"/>
    <w:rsid w:val="00814ADB"/>
    <w:rsid w:val="00814B96"/>
    <w:rsid w:val="00814C38"/>
    <w:rsid w:val="00814CFF"/>
    <w:rsid w:val="00814D08"/>
    <w:rsid w:val="00814DBA"/>
    <w:rsid w:val="00814E6B"/>
    <w:rsid w:val="00814F38"/>
    <w:rsid w:val="00814F80"/>
    <w:rsid w:val="008150C3"/>
    <w:rsid w:val="008151C6"/>
    <w:rsid w:val="00815204"/>
    <w:rsid w:val="0081542B"/>
    <w:rsid w:val="00815484"/>
    <w:rsid w:val="00815517"/>
    <w:rsid w:val="00815523"/>
    <w:rsid w:val="0081554A"/>
    <w:rsid w:val="008155F4"/>
    <w:rsid w:val="0081563E"/>
    <w:rsid w:val="00815640"/>
    <w:rsid w:val="00815641"/>
    <w:rsid w:val="008156E9"/>
    <w:rsid w:val="0081595B"/>
    <w:rsid w:val="00815AFD"/>
    <w:rsid w:val="00815B96"/>
    <w:rsid w:val="00815BC4"/>
    <w:rsid w:val="00815C3B"/>
    <w:rsid w:val="00815CDC"/>
    <w:rsid w:val="00815D1D"/>
    <w:rsid w:val="00815E9C"/>
    <w:rsid w:val="00815F45"/>
    <w:rsid w:val="00816235"/>
    <w:rsid w:val="0081623E"/>
    <w:rsid w:val="00816259"/>
    <w:rsid w:val="0081635A"/>
    <w:rsid w:val="00816426"/>
    <w:rsid w:val="00816455"/>
    <w:rsid w:val="008165E8"/>
    <w:rsid w:val="008165FE"/>
    <w:rsid w:val="00816720"/>
    <w:rsid w:val="008167BF"/>
    <w:rsid w:val="0081683C"/>
    <w:rsid w:val="00816892"/>
    <w:rsid w:val="00816B18"/>
    <w:rsid w:val="00816BEA"/>
    <w:rsid w:val="00816CF8"/>
    <w:rsid w:val="00816D1E"/>
    <w:rsid w:val="00816DE7"/>
    <w:rsid w:val="00816E41"/>
    <w:rsid w:val="00816F0D"/>
    <w:rsid w:val="00817115"/>
    <w:rsid w:val="008171FA"/>
    <w:rsid w:val="00817290"/>
    <w:rsid w:val="008172B0"/>
    <w:rsid w:val="0081744D"/>
    <w:rsid w:val="0081750A"/>
    <w:rsid w:val="008175CB"/>
    <w:rsid w:val="00817626"/>
    <w:rsid w:val="0081768C"/>
    <w:rsid w:val="008176D1"/>
    <w:rsid w:val="008177C1"/>
    <w:rsid w:val="00817891"/>
    <w:rsid w:val="00817A42"/>
    <w:rsid w:val="00817CA7"/>
    <w:rsid w:val="00817FB1"/>
    <w:rsid w:val="00817FE7"/>
    <w:rsid w:val="00819892"/>
    <w:rsid w:val="0081DC31"/>
    <w:rsid w:val="00820177"/>
    <w:rsid w:val="00820434"/>
    <w:rsid w:val="008206BF"/>
    <w:rsid w:val="00820761"/>
    <w:rsid w:val="0082077D"/>
    <w:rsid w:val="008207A1"/>
    <w:rsid w:val="008208A9"/>
    <w:rsid w:val="008208B0"/>
    <w:rsid w:val="0082090A"/>
    <w:rsid w:val="008209B0"/>
    <w:rsid w:val="00820B5A"/>
    <w:rsid w:val="00820C09"/>
    <w:rsid w:val="00820C2B"/>
    <w:rsid w:val="00820C6D"/>
    <w:rsid w:val="00820C91"/>
    <w:rsid w:val="00820CC9"/>
    <w:rsid w:val="00820D8E"/>
    <w:rsid w:val="00820DEA"/>
    <w:rsid w:val="00820EC9"/>
    <w:rsid w:val="00820EF7"/>
    <w:rsid w:val="00820F10"/>
    <w:rsid w:val="008211C7"/>
    <w:rsid w:val="00821200"/>
    <w:rsid w:val="008212EF"/>
    <w:rsid w:val="0082137A"/>
    <w:rsid w:val="0082139F"/>
    <w:rsid w:val="00821544"/>
    <w:rsid w:val="0082187F"/>
    <w:rsid w:val="008218BE"/>
    <w:rsid w:val="00821944"/>
    <w:rsid w:val="008219D0"/>
    <w:rsid w:val="00821A4E"/>
    <w:rsid w:val="00821AAE"/>
    <w:rsid w:val="00821AEA"/>
    <w:rsid w:val="00821B10"/>
    <w:rsid w:val="00821BD0"/>
    <w:rsid w:val="00821C4F"/>
    <w:rsid w:val="00821CB5"/>
    <w:rsid w:val="00821D7C"/>
    <w:rsid w:val="00821DB4"/>
    <w:rsid w:val="00821DE1"/>
    <w:rsid w:val="00821DF3"/>
    <w:rsid w:val="00821E59"/>
    <w:rsid w:val="00821F7C"/>
    <w:rsid w:val="00822066"/>
    <w:rsid w:val="00822212"/>
    <w:rsid w:val="00822321"/>
    <w:rsid w:val="008223FD"/>
    <w:rsid w:val="008224C1"/>
    <w:rsid w:val="0082254C"/>
    <w:rsid w:val="00822705"/>
    <w:rsid w:val="0082280F"/>
    <w:rsid w:val="0082282A"/>
    <w:rsid w:val="00822854"/>
    <w:rsid w:val="00822CEB"/>
    <w:rsid w:val="00822D57"/>
    <w:rsid w:val="00822D67"/>
    <w:rsid w:val="00822F91"/>
    <w:rsid w:val="00823099"/>
    <w:rsid w:val="008231AA"/>
    <w:rsid w:val="008232B6"/>
    <w:rsid w:val="00823460"/>
    <w:rsid w:val="00823505"/>
    <w:rsid w:val="008235CB"/>
    <w:rsid w:val="008236C0"/>
    <w:rsid w:val="008236E4"/>
    <w:rsid w:val="00823769"/>
    <w:rsid w:val="008239AF"/>
    <w:rsid w:val="00823A58"/>
    <w:rsid w:val="00823B9A"/>
    <w:rsid w:val="00823B9C"/>
    <w:rsid w:val="00823BC0"/>
    <w:rsid w:val="00823C8F"/>
    <w:rsid w:val="00823CBE"/>
    <w:rsid w:val="00823D3B"/>
    <w:rsid w:val="00823DA5"/>
    <w:rsid w:val="00823DF1"/>
    <w:rsid w:val="00823E5A"/>
    <w:rsid w:val="00824014"/>
    <w:rsid w:val="00824130"/>
    <w:rsid w:val="00824166"/>
    <w:rsid w:val="00824511"/>
    <w:rsid w:val="0082454A"/>
    <w:rsid w:val="0082457B"/>
    <w:rsid w:val="00824581"/>
    <w:rsid w:val="00824658"/>
    <w:rsid w:val="008246BB"/>
    <w:rsid w:val="008246F9"/>
    <w:rsid w:val="0082473C"/>
    <w:rsid w:val="0082474B"/>
    <w:rsid w:val="008248D9"/>
    <w:rsid w:val="00824B8B"/>
    <w:rsid w:val="00824BBC"/>
    <w:rsid w:val="00824BC5"/>
    <w:rsid w:val="00824D41"/>
    <w:rsid w:val="00824FF6"/>
    <w:rsid w:val="00825024"/>
    <w:rsid w:val="0082504A"/>
    <w:rsid w:val="00825192"/>
    <w:rsid w:val="008251FC"/>
    <w:rsid w:val="00825369"/>
    <w:rsid w:val="008255E6"/>
    <w:rsid w:val="00825861"/>
    <w:rsid w:val="0082586B"/>
    <w:rsid w:val="0082591B"/>
    <w:rsid w:val="00825ADA"/>
    <w:rsid w:val="00825AFD"/>
    <w:rsid w:val="00825B27"/>
    <w:rsid w:val="00825B55"/>
    <w:rsid w:val="00825B6A"/>
    <w:rsid w:val="00825B8F"/>
    <w:rsid w:val="00825BA8"/>
    <w:rsid w:val="00825D87"/>
    <w:rsid w:val="00825DD9"/>
    <w:rsid w:val="00825E02"/>
    <w:rsid w:val="00825EE5"/>
    <w:rsid w:val="00825FDD"/>
    <w:rsid w:val="0082624F"/>
    <w:rsid w:val="00826272"/>
    <w:rsid w:val="008263DB"/>
    <w:rsid w:val="0082651B"/>
    <w:rsid w:val="00826568"/>
    <w:rsid w:val="0082659C"/>
    <w:rsid w:val="00826636"/>
    <w:rsid w:val="0082664F"/>
    <w:rsid w:val="00826736"/>
    <w:rsid w:val="00826983"/>
    <w:rsid w:val="00826A16"/>
    <w:rsid w:val="00826A62"/>
    <w:rsid w:val="00826A92"/>
    <w:rsid w:val="00826B15"/>
    <w:rsid w:val="00826BAA"/>
    <w:rsid w:val="00826BDC"/>
    <w:rsid w:val="00826C8C"/>
    <w:rsid w:val="00826CD1"/>
    <w:rsid w:val="00826D57"/>
    <w:rsid w:val="00826D9E"/>
    <w:rsid w:val="00826DA0"/>
    <w:rsid w:val="00826F82"/>
    <w:rsid w:val="008271EC"/>
    <w:rsid w:val="00827349"/>
    <w:rsid w:val="0082735B"/>
    <w:rsid w:val="0082751B"/>
    <w:rsid w:val="008276A1"/>
    <w:rsid w:val="00827776"/>
    <w:rsid w:val="008277EC"/>
    <w:rsid w:val="008278E0"/>
    <w:rsid w:val="00827934"/>
    <w:rsid w:val="00827A27"/>
    <w:rsid w:val="00827A7F"/>
    <w:rsid w:val="00827A8A"/>
    <w:rsid w:val="00827B59"/>
    <w:rsid w:val="00827BBE"/>
    <w:rsid w:val="00827C3E"/>
    <w:rsid w:val="00827C85"/>
    <w:rsid w:val="00827CC6"/>
    <w:rsid w:val="00827D62"/>
    <w:rsid w:val="00827E4F"/>
    <w:rsid w:val="00827F86"/>
    <w:rsid w:val="008301A0"/>
    <w:rsid w:val="00830221"/>
    <w:rsid w:val="0083024D"/>
    <w:rsid w:val="00830261"/>
    <w:rsid w:val="008302BF"/>
    <w:rsid w:val="00830369"/>
    <w:rsid w:val="0083044A"/>
    <w:rsid w:val="0083047E"/>
    <w:rsid w:val="0083053B"/>
    <w:rsid w:val="00830556"/>
    <w:rsid w:val="00830591"/>
    <w:rsid w:val="00830621"/>
    <w:rsid w:val="00830629"/>
    <w:rsid w:val="0083092E"/>
    <w:rsid w:val="00830A74"/>
    <w:rsid w:val="00830B8F"/>
    <w:rsid w:val="00830BA6"/>
    <w:rsid w:val="00830BC8"/>
    <w:rsid w:val="00830DFB"/>
    <w:rsid w:val="00831193"/>
    <w:rsid w:val="0083119E"/>
    <w:rsid w:val="008312A0"/>
    <w:rsid w:val="0083132A"/>
    <w:rsid w:val="008313C2"/>
    <w:rsid w:val="00831424"/>
    <w:rsid w:val="00831558"/>
    <w:rsid w:val="00831606"/>
    <w:rsid w:val="0083161E"/>
    <w:rsid w:val="00831659"/>
    <w:rsid w:val="00831681"/>
    <w:rsid w:val="00831755"/>
    <w:rsid w:val="008317E2"/>
    <w:rsid w:val="00831B10"/>
    <w:rsid w:val="00831BB4"/>
    <w:rsid w:val="00831CBF"/>
    <w:rsid w:val="00831D02"/>
    <w:rsid w:val="00831D1B"/>
    <w:rsid w:val="00831D92"/>
    <w:rsid w:val="00831E42"/>
    <w:rsid w:val="00831F5C"/>
    <w:rsid w:val="00832120"/>
    <w:rsid w:val="0083224B"/>
    <w:rsid w:val="0083259D"/>
    <w:rsid w:val="00832651"/>
    <w:rsid w:val="0083267C"/>
    <w:rsid w:val="008326DD"/>
    <w:rsid w:val="008328C5"/>
    <w:rsid w:val="00832962"/>
    <w:rsid w:val="00832B42"/>
    <w:rsid w:val="00832BA0"/>
    <w:rsid w:val="00832DB4"/>
    <w:rsid w:val="00832E7F"/>
    <w:rsid w:val="00832EF8"/>
    <w:rsid w:val="0083307E"/>
    <w:rsid w:val="008330EC"/>
    <w:rsid w:val="00833153"/>
    <w:rsid w:val="0083321A"/>
    <w:rsid w:val="008332E8"/>
    <w:rsid w:val="00833371"/>
    <w:rsid w:val="00833406"/>
    <w:rsid w:val="0083347A"/>
    <w:rsid w:val="00833563"/>
    <w:rsid w:val="00833588"/>
    <w:rsid w:val="008335E5"/>
    <w:rsid w:val="008337BC"/>
    <w:rsid w:val="00833906"/>
    <w:rsid w:val="00833995"/>
    <w:rsid w:val="008339E1"/>
    <w:rsid w:val="00833BED"/>
    <w:rsid w:val="00833CBF"/>
    <w:rsid w:val="00833EF1"/>
    <w:rsid w:val="00833F7B"/>
    <w:rsid w:val="00833FB2"/>
    <w:rsid w:val="0083411A"/>
    <w:rsid w:val="0083414E"/>
    <w:rsid w:val="008341CD"/>
    <w:rsid w:val="00834200"/>
    <w:rsid w:val="008342A2"/>
    <w:rsid w:val="00834330"/>
    <w:rsid w:val="0083433D"/>
    <w:rsid w:val="00834426"/>
    <w:rsid w:val="0083457E"/>
    <w:rsid w:val="0083467D"/>
    <w:rsid w:val="0083467E"/>
    <w:rsid w:val="0083474F"/>
    <w:rsid w:val="0083478A"/>
    <w:rsid w:val="00834882"/>
    <w:rsid w:val="008348F2"/>
    <w:rsid w:val="008349BC"/>
    <w:rsid w:val="008349BD"/>
    <w:rsid w:val="008349FE"/>
    <w:rsid w:val="00834B10"/>
    <w:rsid w:val="00834B12"/>
    <w:rsid w:val="00834C59"/>
    <w:rsid w:val="00834CC9"/>
    <w:rsid w:val="00834D73"/>
    <w:rsid w:val="00834E56"/>
    <w:rsid w:val="00834EE4"/>
    <w:rsid w:val="00834F95"/>
    <w:rsid w:val="008350A0"/>
    <w:rsid w:val="008350E3"/>
    <w:rsid w:val="00835135"/>
    <w:rsid w:val="00835136"/>
    <w:rsid w:val="00835185"/>
    <w:rsid w:val="008351F3"/>
    <w:rsid w:val="008353EC"/>
    <w:rsid w:val="00835565"/>
    <w:rsid w:val="0083557A"/>
    <w:rsid w:val="0083557E"/>
    <w:rsid w:val="00835598"/>
    <w:rsid w:val="008355AC"/>
    <w:rsid w:val="008355B3"/>
    <w:rsid w:val="00835655"/>
    <w:rsid w:val="0083567F"/>
    <w:rsid w:val="00835700"/>
    <w:rsid w:val="00835768"/>
    <w:rsid w:val="008357F6"/>
    <w:rsid w:val="00835845"/>
    <w:rsid w:val="008359FB"/>
    <w:rsid w:val="00835A2F"/>
    <w:rsid w:val="00835A30"/>
    <w:rsid w:val="00835AD6"/>
    <w:rsid w:val="00835CB2"/>
    <w:rsid w:val="00835CCA"/>
    <w:rsid w:val="00835CE9"/>
    <w:rsid w:val="00835CEE"/>
    <w:rsid w:val="00835DC3"/>
    <w:rsid w:val="00835E5B"/>
    <w:rsid w:val="0083613B"/>
    <w:rsid w:val="00836263"/>
    <w:rsid w:val="008362AE"/>
    <w:rsid w:val="008363D9"/>
    <w:rsid w:val="0083644D"/>
    <w:rsid w:val="00836792"/>
    <w:rsid w:val="00836834"/>
    <w:rsid w:val="00836927"/>
    <w:rsid w:val="00836970"/>
    <w:rsid w:val="0083697A"/>
    <w:rsid w:val="00836B14"/>
    <w:rsid w:val="00836B6F"/>
    <w:rsid w:val="00836BBA"/>
    <w:rsid w:val="00836C28"/>
    <w:rsid w:val="00836C3E"/>
    <w:rsid w:val="00836C46"/>
    <w:rsid w:val="00836C85"/>
    <w:rsid w:val="00836DD1"/>
    <w:rsid w:val="00836E42"/>
    <w:rsid w:val="00836F70"/>
    <w:rsid w:val="0083706A"/>
    <w:rsid w:val="008370C4"/>
    <w:rsid w:val="00837184"/>
    <w:rsid w:val="008372B0"/>
    <w:rsid w:val="00837391"/>
    <w:rsid w:val="008373E5"/>
    <w:rsid w:val="0083744B"/>
    <w:rsid w:val="008374FD"/>
    <w:rsid w:val="00837511"/>
    <w:rsid w:val="008375CF"/>
    <w:rsid w:val="00837609"/>
    <w:rsid w:val="00837632"/>
    <w:rsid w:val="008378F3"/>
    <w:rsid w:val="00837AB1"/>
    <w:rsid w:val="00837B45"/>
    <w:rsid w:val="00837BFE"/>
    <w:rsid w:val="00837C34"/>
    <w:rsid w:val="00837CC4"/>
    <w:rsid w:val="00837EA9"/>
    <w:rsid w:val="00837F1A"/>
    <w:rsid w:val="00837F60"/>
    <w:rsid w:val="00837F64"/>
    <w:rsid w:val="00837FA0"/>
    <w:rsid w:val="00837FF8"/>
    <w:rsid w:val="00840015"/>
    <w:rsid w:val="00840052"/>
    <w:rsid w:val="0084006F"/>
    <w:rsid w:val="0084009B"/>
    <w:rsid w:val="00840106"/>
    <w:rsid w:val="0084012B"/>
    <w:rsid w:val="00840135"/>
    <w:rsid w:val="00840452"/>
    <w:rsid w:val="00840480"/>
    <w:rsid w:val="0084052D"/>
    <w:rsid w:val="00840554"/>
    <w:rsid w:val="00840580"/>
    <w:rsid w:val="00840632"/>
    <w:rsid w:val="0084078B"/>
    <w:rsid w:val="0084083B"/>
    <w:rsid w:val="00840882"/>
    <w:rsid w:val="008408D6"/>
    <w:rsid w:val="0084092B"/>
    <w:rsid w:val="008409D0"/>
    <w:rsid w:val="00840A40"/>
    <w:rsid w:val="00840BAE"/>
    <w:rsid w:val="00840D75"/>
    <w:rsid w:val="00840EA5"/>
    <w:rsid w:val="00840FD9"/>
    <w:rsid w:val="00841000"/>
    <w:rsid w:val="00841168"/>
    <w:rsid w:val="00841173"/>
    <w:rsid w:val="00841177"/>
    <w:rsid w:val="00841207"/>
    <w:rsid w:val="0084124C"/>
    <w:rsid w:val="00841324"/>
    <w:rsid w:val="008413C5"/>
    <w:rsid w:val="008415B1"/>
    <w:rsid w:val="008416CF"/>
    <w:rsid w:val="00841753"/>
    <w:rsid w:val="00841800"/>
    <w:rsid w:val="0084193E"/>
    <w:rsid w:val="00841B04"/>
    <w:rsid w:val="00841EEF"/>
    <w:rsid w:val="00841FE7"/>
    <w:rsid w:val="0084203F"/>
    <w:rsid w:val="00842278"/>
    <w:rsid w:val="008422BC"/>
    <w:rsid w:val="008423B8"/>
    <w:rsid w:val="008424A8"/>
    <w:rsid w:val="008424AB"/>
    <w:rsid w:val="0084251C"/>
    <w:rsid w:val="008425DA"/>
    <w:rsid w:val="0084263E"/>
    <w:rsid w:val="00842698"/>
    <w:rsid w:val="008428F6"/>
    <w:rsid w:val="00842937"/>
    <w:rsid w:val="00842B48"/>
    <w:rsid w:val="00842B98"/>
    <w:rsid w:val="00842D03"/>
    <w:rsid w:val="00842EAC"/>
    <w:rsid w:val="00842ED8"/>
    <w:rsid w:val="00842FBE"/>
    <w:rsid w:val="00843107"/>
    <w:rsid w:val="00843216"/>
    <w:rsid w:val="008432C1"/>
    <w:rsid w:val="0084332F"/>
    <w:rsid w:val="0084334B"/>
    <w:rsid w:val="00843354"/>
    <w:rsid w:val="00843363"/>
    <w:rsid w:val="0084340E"/>
    <w:rsid w:val="00843436"/>
    <w:rsid w:val="0084344D"/>
    <w:rsid w:val="008434C2"/>
    <w:rsid w:val="00843517"/>
    <w:rsid w:val="00843749"/>
    <w:rsid w:val="0084376E"/>
    <w:rsid w:val="00843788"/>
    <w:rsid w:val="008438CD"/>
    <w:rsid w:val="00843B28"/>
    <w:rsid w:val="00843B4E"/>
    <w:rsid w:val="00843BEE"/>
    <w:rsid w:val="00843C3E"/>
    <w:rsid w:val="00843D12"/>
    <w:rsid w:val="00843EA2"/>
    <w:rsid w:val="00844032"/>
    <w:rsid w:val="008441E2"/>
    <w:rsid w:val="0084429E"/>
    <w:rsid w:val="0084431F"/>
    <w:rsid w:val="00844329"/>
    <w:rsid w:val="00844512"/>
    <w:rsid w:val="00844567"/>
    <w:rsid w:val="008446D7"/>
    <w:rsid w:val="00844744"/>
    <w:rsid w:val="0084476B"/>
    <w:rsid w:val="008447A3"/>
    <w:rsid w:val="008447B9"/>
    <w:rsid w:val="00844834"/>
    <w:rsid w:val="00844842"/>
    <w:rsid w:val="008448EB"/>
    <w:rsid w:val="00844913"/>
    <w:rsid w:val="00844A7B"/>
    <w:rsid w:val="00844C67"/>
    <w:rsid w:val="00844CB6"/>
    <w:rsid w:val="00844CC0"/>
    <w:rsid w:val="00844F1E"/>
    <w:rsid w:val="00844F8D"/>
    <w:rsid w:val="00844F97"/>
    <w:rsid w:val="008450F7"/>
    <w:rsid w:val="00845250"/>
    <w:rsid w:val="008452BC"/>
    <w:rsid w:val="00845397"/>
    <w:rsid w:val="008453D2"/>
    <w:rsid w:val="00845428"/>
    <w:rsid w:val="0084546B"/>
    <w:rsid w:val="0084548B"/>
    <w:rsid w:val="008454DB"/>
    <w:rsid w:val="008454F4"/>
    <w:rsid w:val="00845665"/>
    <w:rsid w:val="00845767"/>
    <w:rsid w:val="00845889"/>
    <w:rsid w:val="008458EE"/>
    <w:rsid w:val="008459A9"/>
    <w:rsid w:val="008459C0"/>
    <w:rsid w:val="00845A04"/>
    <w:rsid w:val="00845A12"/>
    <w:rsid w:val="00845A84"/>
    <w:rsid w:val="00845A89"/>
    <w:rsid w:val="00845C1F"/>
    <w:rsid w:val="00845D30"/>
    <w:rsid w:val="00845ED0"/>
    <w:rsid w:val="00845F3C"/>
    <w:rsid w:val="00846001"/>
    <w:rsid w:val="0084613A"/>
    <w:rsid w:val="0084613B"/>
    <w:rsid w:val="00846215"/>
    <w:rsid w:val="00846240"/>
    <w:rsid w:val="00846244"/>
    <w:rsid w:val="00846292"/>
    <w:rsid w:val="008462CA"/>
    <w:rsid w:val="00846430"/>
    <w:rsid w:val="0084646A"/>
    <w:rsid w:val="008464F5"/>
    <w:rsid w:val="00846762"/>
    <w:rsid w:val="0084679B"/>
    <w:rsid w:val="00846950"/>
    <w:rsid w:val="00846A94"/>
    <w:rsid w:val="00846B10"/>
    <w:rsid w:val="00846BCD"/>
    <w:rsid w:val="00846BE4"/>
    <w:rsid w:val="00846CE8"/>
    <w:rsid w:val="00846DD6"/>
    <w:rsid w:val="00846E27"/>
    <w:rsid w:val="00846EFD"/>
    <w:rsid w:val="0084704D"/>
    <w:rsid w:val="008471A7"/>
    <w:rsid w:val="00847348"/>
    <w:rsid w:val="00847449"/>
    <w:rsid w:val="00847506"/>
    <w:rsid w:val="0084764F"/>
    <w:rsid w:val="00847680"/>
    <w:rsid w:val="00847696"/>
    <w:rsid w:val="008477F4"/>
    <w:rsid w:val="008478EC"/>
    <w:rsid w:val="00847925"/>
    <w:rsid w:val="0084796C"/>
    <w:rsid w:val="008479CD"/>
    <w:rsid w:val="00847B03"/>
    <w:rsid w:val="00847C91"/>
    <w:rsid w:val="00847EFB"/>
    <w:rsid w:val="00847F34"/>
    <w:rsid w:val="00850098"/>
    <w:rsid w:val="008500DF"/>
    <w:rsid w:val="0085010C"/>
    <w:rsid w:val="0085010E"/>
    <w:rsid w:val="0085014A"/>
    <w:rsid w:val="0085017F"/>
    <w:rsid w:val="008501B9"/>
    <w:rsid w:val="0085047F"/>
    <w:rsid w:val="00850492"/>
    <w:rsid w:val="008504DF"/>
    <w:rsid w:val="00850530"/>
    <w:rsid w:val="00850588"/>
    <w:rsid w:val="008505DC"/>
    <w:rsid w:val="008505E5"/>
    <w:rsid w:val="00850720"/>
    <w:rsid w:val="008507C0"/>
    <w:rsid w:val="00850868"/>
    <w:rsid w:val="00850872"/>
    <w:rsid w:val="00850A3C"/>
    <w:rsid w:val="00850B5D"/>
    <w:rsid w:val="00850B9B"/>
    <w:rsid w:val="00850BD5"/>
    <w:rsid w:val="00850C30"/>
    <w:rsid w:val="00850CE7"/>
    <w:rsid w:val="00850D34"/>
    <w:rsid w:val="00850DBC"/>
    <w:rsid w:val="00850EF7"/>
    <w:rsid w:val="00850F04"/>
    <w:rsid w:val="008511E0"/>
    <w:rsid w:val="008511FC"/>
    <w:rsid w:val="00851299"/>
    <w:rsid w:val="008512E3"/>
    <w:rsid w:val="0085131E"/>
    <w:rsid w:val="008513EB"/>
    <w:rsid w:val="00851463"/>
    <w:rsid w:val="008514DC"/>
    <w:rsid w:val="00851579"/>
    <w:rsid w:val="0085161B"/>
    <w:rsid w:val="00851830"/>
    <w:rsid w:val="00851884"/>
    <w:rsid w:val="0085191F"/>
    <w:rsid w:val="008519BA"/>
    <w:rsid w:val="00851A39"/>
    <w:rsid w:val="00851BED"/>
    <w:rsid w:val="00851CF5"/>
    <w:rsid w:val="00851D0E"/>
    <w:rsid w:val="00851D49"/>
    <w:rsid w:val="00851D7B"/>
    <w:rsid w:val="00851DAC"/>
    <w:rsid w:val="00851F2D"/>
    <w:rsid w:val="008520D7"/>
    <w:rsid w:val="0085217D"/>
    <w:rsid w:val="00852196"/>
    <w:rsid w:val="008521E7"/>
    <w:rsid w:val="00852344"/>
    <w:rsid w:val="008524BE"/>
    <w:rsid w:val="0085251C"/>
    <w:rsid w:val="0085258B"/>
    <w:rsid w:val="008525C7"/>
    <w:rsid w:val="0085266A"/>
    <w:rsid w:val="0085270D"/>
    <w:rsid w:val="00852799"/>
    <w:rsid w:val="00852931"/>
    <w:rsid w:val="00852AAF"/>
    <w:rsid w:val="00852DAD"/>
    <w:rsid w:val="00852FA9"/>
    <w:rsid w:val="0085300F"/>
    <w:rsid w:val="008530F1"/>
    <w:rsid w:val="0085317E"/>
    <w:rsid w:val="00853216"/>
    <w:rsid w:val="0085326E"/>
    <w:rsid w:val="008533DB"/>
    <w:rsid w:val="0085347D"/>
    <w:rsid w:val="00853490"/>
    <w:rsid w:val="008534F8"/>
    <w:rsid w:val="0085360F"/>
    <w:rsid w:val="008536E4"/>
    <w:rsid w:val="0085372B"/>
    <w:rsid w:val="008537D7"/>
    <w:rsid w:val="0085387A"/>
    <w:rsid w:val="00853918"/>
    <w:rsid w:val="008539EA"/>
    <w:rsid w:val="00853A2C"/>
    <w:rsid w:val="00853B42"/>
    <w:rsid w:val="00853C2C"/>
    <w:rsid w:val="00853C96"/>
    <w:rsid w:val="00853CA6"/>
    <w:rsid w:val="00853CAA"/>
    <w:rsid w:val="00853EBD"/>
    <w:rsid w:val="00853FD2"/>
    <w:rsid w:val="00854069"/>
    <w:rsid w:val="008542E4"/>
    <w:rsid w:val="00854373"/>
    <w:rsid w:val="00854382"/>
    <w:rsid w:val="008543D7"/>
    <w:rsid w:val="00854448"/>
    <w:rsid w:val="008544A0"/>
    <w:rsid w:val="00854520"/>
    <w:rsid w:val="008545EE"/>
    <w:rsid w:val="0085466C"/>
    <w:rsid w:val="0085467C"/>
    <w:rsid w:val="00854786"/>
    <w:rsid w:val="00854807"/>
    <w:rsid w:val="00854A59"/>
    <w:rsid w:val="00854B1B"/>
    <w:rsid w:val="00854B53"/>
    <w:rsid w:val="00854B91"/>
    <w:rsid w:val="00854BEC"/>
    <w:rsid w:val="00854C59"/>
    <w:rsid w:val="00854C68"/>
    <w:rsid w:val="00854D00"/>
    <w:rsid w:val="00854D9A"/>
    <w:rsid w:val="00854E75"/>
    <w:rsid w:val="00854E88"/>
    <w:rsid w:val="00854F79"/>
    <w:rsid w:val="008550E0"/>
    <w:rsid w:val="008550E3"/>
    <w:rsid w:val="00855190"/>
    <w:rsid w:val="008551BF"/>
    <w:rsid w:val="008551F2"/>
    <w:rsid w:val="00855211"/>
    <w:rsid w:val="00855269"/>
    <w:rsid w:val="008552A9"/>
    <w:rsid w:val="0085572E"/>
    <w:rsid w:val="0085577A"/>
    <w:rsid w:val="008557B2"/>
    <w:rsid w:val="00855855"/>
    <w:rsid w:val="008559F5"/>
    <w:rsid w:val="00855ABD"/>
    <w:rsid w:val="00855B63"/>
    <w:rsid w:val="00855BC6"/>
    <w:rsid w:val="00855C28"/>
    <w:rsid w:val="00855D1B"/>
    <w:rsid w:val="00855D62"/>
    <w:rsid w:val="00855E1F"/>
    <w:rsid w:val="0085608D"/>
    <w:rsid w:val="00856126"/>
    <w:rsid w:val="00856252"/>
    <w:rsid w:val="0085638A"/>
    <w:rsid w:val="0085639C"/>
    <w:rsid w:val="008563AF"/>
    <w:rsid w:val="0085648B"/>
    <w:rsid w:val="0085651A"/>
    <w:rsid w:val="0085667E"/>
    <w:rsid w:val="008567F3"/>
    <w:rsid w:val="008569EE"/>
    <w:rsid w:val="00856AB5"/>
    <w:rsid w:val="00856B4A"/>
    <w:rsid w:val="00856B9F"/>
    <w:rsid w:val="00856D1D"/>
    <w:rsid w:val="00856D27"/>
    <w:rsid w:val="00856E1F"/>
    <w:rsid w:val="00856EB4"/>
    <w:rsid w:val="00856F67"/>
    <w:rsid w:val="0085725F"/>
    <w:rsid w:val="00857289"/>
    <w:rsid w:val="008572C8"/>
    <w:rsid w:val="00857530"/>
    <w:rsid w:val="008575AD"/>
    <w:rsid w:val="008576B6"/>
    <w:rsid w:val="00857725"/>
    <w:rsid w:val="008577CA"/>
    <w:rsid w:val="0085781F"/>
    <w:rsid w:val="00857840"/>
    <w:rsid w:val="0085791A"/>
    <w:rsid w:val="008579B3"/>
    <w:rsid w:val="00857A1E"/>
    <w:rsid w:val="00857AF3"/>
    <w:rsid w:val="00857B20"/>
    <w:rsid w:val="00857BC6"/>
    <w:rsid w:val="00857C83"/>
    <w:rsid w:val="00857C85"/>
    <w:rsid w:val="00857E94"/>
    <w:rsid w:val="00857FA8"/>
    <w:rsid w:val="0086009F"/>
    <w:rsid w:val="008600C9"/>
    <w:rsid w:val="0086022A"/>
    <w:rsid w:val="008602E2"/>
    <w:rsid w:val="0086037B"/>
    <w:rsid w:val="008605A5"/>
    <w:rsid w:val="00860750"/>
    <w:rsid w:val="00860778"/>
    <w:rsid w:val="0086088C"/>
    <w:rsid w:val="0086089F"/>
    <w:rsid w:val="008608D0"/>
    <w:rsid w:val="008608DD"/>
    <w:rsid w:val="008609E0"/>
    <w:rsid w:val="00860ABC"/>
    <w:rsid w:val="00860D3A"/>
    <w:rsid w:val="00860D49"/>
    <w:rsid w:val="00860EB5"/>
    <w:rsid w:val="00860EE9"/>
    <w:rsid w:val="00861029"/>
    <w:rsid w:val="0086103A"/>
    <w:rsid w:val="00861041"/>
    <w:rsid w:val="008611AB"/>
    <w:rsid w:val="0086123B"/>
    <w:rsid w:val="00861435"/>
    <w:rsid w:val="00861466"/>
    <w:rsid w:val="008614A2"/>
    <w:rsid w:val="0086171B"/>
    <w:rsid w:val="00861727"/>
    <w:rsid w:val="00861734"/>
    <w:rsid w:val="00861874"/>
    <w:rsid w:val="008618AA"/>
    <w:rsid w:val="0086191A"/>
    <w:rsid w:val="008619FD"/>
    <w:rsid w:val="00861B35"/>
    <w:rsid w:val="00861C10"/>
    <w:rsid w:val="00861CD2"/>
    <w:rsid w:val="00861F3F"/>
    <w:rsid w:val="00862184"/>
    <w:rsid w:val="0086226D"/>
    <w:rsid w:val="0086239C"/>
    <w:rsid w:val="0086254B"/>
    <w:rsid w:val="00862568"/>
    <w:rsid w:val="0086272C"/>
    <w:rsid w:val="00862784"/>
    <w:rsid w:val="008628F4"/>
    <w:rsid w:val="008628FA"/>
    <w:rsid w:val="00862996"/>
    <w:rsid w:val="008629CE"/>
    <w:rsid w:val="00862A50"/>
    <w:rsid w:val="00862BD8"/>
    <w:rsid w:val="00862F3C"/>
    <w:rsid w:val="00862F98"/>
    <w:rsid w:val="00862FDD"/>
    <w:rsid w:val="0086303B"/>
    <w:rsid w:val="0086316D"/>
    <w:rsid w:val="00863367"/>
    <w:rsid w:val="0086338B"/>
    <w:rsid w:val="008633D9"/>
    <w:rsid w:val="00863572"/>
    <w:rsid w:val="008635E4"/>
    <w:rsid w:val="008636F6"/>
    <w:rsid w:val="0086373B"/>
    <w:rsid w:val="008637B0"/>
    <w:rsid w:val="00863806"/>
    <w:rsid w:val="00863815"/>
    <w:rsid w:val="0086389A"/>
    <w:rsid w:val="0086389C"/>
    <w:rsid w:val="008638CB"/>
    <w:rsid w:val="008639CB"/>
    <w:rsid w:val="00863B92"/>
    <w:rsid w:val="00863C3C"/>
    <w:rsid w:val="00863D4F"/>
    <w:rsid w:val="00863F95"/>
    <w:rsid w:val="00863FA4"/>
    <w:rsid w:val="00863FD1"/>
    <w:rsid w:val="00863FDB"/>
    <w:rsid w:val="00864025"/>
    <w:rsid w:val="0086414E"/>
    <w:rsid w:val="00864196"/>
    <w:rsid w:val="008641DC"/>
    <w:rsid w:val="008643A5"/>
    <w:rsid w:val="008643FD"/>
    <w:rsid w:val="008645C0"/>
    <w:rsid w:val="0086466C"/>
    <w:rsid w:val="008646F0"/>
    <w:rsid w:val="00864710"/>
    <w:rsid w:val="008647E7"/>
    <w:rsid w:val="00864828"/>
    <w:rsid w:val="00864A72"/>
    <w:rsid w:val="00864AEB"/>
    <w:rsid w:val="00864C45"/>
    <w:rsid w:val="00864D0F"/>
    <w:rsid w:val="00864ED5"/>
    <w:rsid w:val="00864FBB"/>
    <w:rsid w:val="00864FFC"/>
    <w:rsid w:val="008650AE"/>
    <w:rsid w:val="00865135"/>
    <w:rsid w:val="008651AB"/>
    <w:rsid w:val="008651AD"/>
    <w:rsid w:val="008652E8"/>
    <w:rsid w:val="0086531E"/>
    <w:rsid w:val="00865356"/>
    <w:rsid w:val="00865446"/>
    <w:rsid w:val="0086549B"/>
    <w:rsid w:val="00865514"/>
    <w:rsid w:val="0086556C"/>
    <w:rsid w:val="0086556F"/>
    <w:rsid w:val="00865887"/>
    <w:rsid w:val="008658B2"/>
    <w:rsid w:val="0086598E"/>
    <w:rsid w:val="00865A47"/>
    <w:rsid w:val="00865A5C"/>
    <w:rsid w:val="00865A99"/>
    <w:rsid w:val="00865B0B"/>
    <w:rsid w:val="00865C59"/>
    <w:rsid w:val="00865CCA"/>
    <w:rsid w:val="00865CF2"/>
    <w:rsid w:val="00865DF6"/>
    <w:rsid w:val="0086601E"/>
    <w:rsid w:val="008661AC"/>
    <w:rsid w:val="00866270"/>
    <w:rsid w:val="008662BD"/>
    <w:rsid w:val="00866364"/>
    <w:rsid w:val="0086654D"/>
    <w:rsid w:val="008665A5"/>
    <w:rsid w:val="0086661A"/>
    <w:rsid w:val="0086668C"/>
    <w:rsid w:val="008667EC"/>
    <w:rsid w:val="008668CE"/>
    <w:rsid w:val="00866987"/>
    <w:rsid w:val="00866A5F"/>
    <w:rsid w:val="00866B18"/>
    <w:rsid w:val="00866BD3"/>
    <w:rsid w:val="00866C32"/>
    <w:rsid w:val="00866D5B"/>
    <w:rsid w:val="00866D6C"/>
    <w:rsid w:val="00866D8F"/>
    <w:rsid w:val="00866E58"/>
    <w:rsid w:val="00866EC2"/>
    <w:rsid w:val="00866F64"/>
    <w:rsid w:val="0086722C"/>
    <w:rsid w:val="008672FD"/>
    <w:rsid w:val="0086734F"/>
    <w:rsid w:val="008673DB"/>
    <w:rsid w:val="008673EF"/>
    <w:rsid w:val="008673F0"/>
    <w:rsid w:val="0086741A"/>
    <w:rsid w:val="0086748C"/>
    <w:rsid w:val="0086755B"/>
    <w:rsid w:val="00867677"/>
    <w:rsid w:val="0086776C"/>
    <w:rsid w:val="008677C7"/>
    <w:rsid w:val="008677D5"/>
    <w:rsid w:val="00867896"/>
    <w:rsid w:val="00867A50"/>
    <w:rsid w:val="00867A56"/>
    <w:rsid w:val="00867A68"/>
    <w:rsid w:val="00867AC5"/>
    <w:rsid w:val="00867B6E"/>
    <w:rsid w:val="00867BE4"/>
    <w:rsid w:val="00867CBA"/>
    <w:rsid w:val="00867D34"/>
    <w:rsid w:val="00867DFD"/>
    <w:rsid w:val="00867E18"/>
    <w:rsid w:val="00867E88"/>
    <w:rsid w:val="00867EC7"/>
    <w:rsid w:val="0087003F"/>
    <w:rsid w:val="008702BE"/>
    <w:rsid w:val="008702CC"/>
    <w:rsid w:val="00870415"/>
    <w:rsid w:val="0087050A"/>
    <w:rsid w:val="00870526"/>
    <w:rsid w:val="00870678"/>
    <w:rsid w:val="008706B5"/>
    <w:rsid w:val="008707DB"/>
    <w:rsid w:val="00870818"/>
    <w:rsid w:val="008708D6"/>
    <w:rsid w:val="008709CD"/>
    <w:rsid w:val="00870A51"/>
    <w:rsid w:val="00870A8E"/>
    <w:rsid w:val="00870AE8"/>
    <w:rsid w:val="00870E74"/>
    <w:rsid w:val="00870E8B"/>
    <w:rsid w:val="00871023"/>
    <w:rsid w:val="00871105"/>
    <w:rsid w:val="008711B5"/>
    <w:rsid w:val="008712A5"/>
    <w:rsid w:val="008712D6"/>
    <w:rsid w:val="00871413"/>
    <w:rsid w:val="008714D6"/>
    <w:rsid w:val="008714F2"/>
    <w:rsid w:val="0087150F"/>
    <w:rsid w:val="0087155D"/>
    <w:rsid w:val="008715E8"/>
    <w:rsid w:val="00871693"/>
    <w:rsid w:val="008716FD"/>
    <w:rsid w:val="0087170D"/>
    <w:rsid w:val="0087171C"/>
    <w:rsid w:val="00871787"/>
    <w:rsid w:val="00871974"/>
    <w:rsid w:val="00871990"/>
    <w:rsid w:val="008719D4"/>
    <w:rsid w:val="00871B08"/>
    <w:rsid w:val="00871B4E"/>
    <w:rsid w:val="00871B92"/>
    <w:rsid w:val="00871D1E"/>
    <w:rsid w:val="00871D79"/>
    <w:rsid w:val="00871E50"/>
    <w:rsid w:val="00872037"/>
    <w:rsid w:val="0087204E"/>
    <w:rsid w:val="008721A3"/>
    <w:rsid w:val="008721BD"/>
    <w:rsid w:val="00872202"/>
    <w:rsid w:val="008722A8"/>
    <w:rsid w:val="00872351"/>
    <w:rsid w:val="00872382"/>
    <w:rsid w:val="008724A2"/>
    <w:rsid w:val="0087252B"/>
    <w:rsid w:val="00872552"/>
    <w:rsid w:val="0087260D"/>
    <w:rsid w:val="00872760"/>
    <w:rsid w:val="00872839"/>
    <w:rsid w:val="0087289B"/>
    <w:rsid w:val="0087292A"/>
    <w:rsid w:val="00872961"/>
    <w:rsid w:val="00872BB5"/>
    <w:rsid w:val="00872BCB"/>
    <w:rsid w:val="00872BD9"/>
    <w:rsid w:val="00872C01"/>
    <w:rsid w:val="00872CE9"/>
    <w:rsid w:val="00872D9F"/>
    <w:rsid w:val="00872EA5"/>
    <w:rsid w:val="00872FF3"/>
    <w:rsid w:val="00873016"/>
    <w:rsid w:val="008730A2"/>
    <w:rsid w:val="008730E9"/>
    <w:rsid w:val="00873169"/>
    <w:rsid w:val="008731F0"/>
    <w:rsid w:val="008733FF"/>
    <w:rsid w:val="008734FB"/>
    <w:rsid w:val="0087355E"/>
    <w:rsid w:val="0087358F"/>
    <w:rsid w:val="008735C7"/>
    <w:rsid w:val="0087369A"/>
    <w:rsid w:val="008737CE"/>
    <w:rsid w:val="008737EB"/>
    <w:rsid w:val="00873861"/>
    <w:rsid w:val="00873B49"/>
    <w:rsid w:val="00873BD9"/>
    <w:rsid w:val="00873C74"/>
    <w:rsid w:val="00873D30"/>
    <w:rsid w:val="00873D8A"/>
    <w:rsid w:val="00873E51"/>
    <w:rsid w:val="00873F32"/>
    <w:rsid w:val="00873F6C"/>
    <w:rsid w:val="00874079"/>
    <w:rsid w:val="0087414C"/>
    <w:rsid w:val="0087415B"/>
    <w:rsid w:val="008741A6"/>
    <w:rsid w:val="00874201"/>
    <w:rsid w:val="008742AC"/>
    <w:rsid w:val="0087434F"/>
    <w:rsid w:val="00874691"/>
    <w:rsid w:val="00874721"/>
    <w:rsid w:val="00874951"/>
    <w:rsid w:val="008749A5"/>
    <w:rsid w:val="00874AE9"/>
    <w:rsid w:val="00874C45"/>
    <w:rsid w:val="00874D2E"/>
    <w:rsid w:val="00874D3B"/>
    <w:rsid w:val="00874D4A"/>
    <w:rsid w:val="00874D7A"/>
    <w:rsid w:val="00874E8F"/>
    <w:rsid w:val="00874F82"/>
    <w:rsid w:val="008750F4"/>
    <w:rsid w:val="00875546"/>
    <w:rsid w:val="0087583F"/>
    <w:rsid w:val="008758BC"/>
    <w:rsid w:val="00875985"/>
    <w:rsid w:val="008759D2"/>
    <w:rsid w:val="00875A45"/>
    <w:rsid w:val="00875AA7"/>
    <w:rsid w:val="00875B5B"/>
    <w:rsid w:val="00875B8E"/>
    <w:rsid w:val="00875BA1"/>
    <w:rsid w:val="00875C9A"/>
    <w:rsid w:val="00875D06"/>
    <w:rsid w:val="00875DB5"/>
    <w:rsid w:val="00875DBA"/>
    <w:rsid w:val="00875E29"/>
    <w:rsid w:val="00875E8D"/>
    <w:rsid w:val="00876065"/>
    <w:rsid w:val="00876083"/>
    <w:rsid w:val="0087608E"/>
    <w:rsid w:val="0087623B"/>
    <w:rsid w:val="00876397"/>
    <w:rsid w:val="0087648C"/>
    <w:rsid w:val="008764CE"/>
    <w:rsid w:val="008765B4"/>
    <w:rsid w:val="008765C5"/>
    <w:rsid w:val="00876652"/>
    <w:rsid w:val="00876718"/>
    <w:rsid w:val="008767C6"/>
    <w:rsid w:val="008768E9"/>
    <w:rsid w:val="0087699B"/>
    <w:rsid w:val="008769A1"/>
    <w:rsid w:val="00876A1F"/>
    <w:rsid w:val="00876ADD"/>
    <w:rsid w:val="00876B72"/>
    <w:rsid w:val="00876B73"/>
    <w:rsid w:val="00876BC5"/>
    <w:rsid w:val="00876BC8"/>
    <w:rsid w:val="00876C60"/>
    <w:rsid w:val="00876D7B"/>
    <w:rsid w:val="00876E29"/>
    <w:rsid w:val="00876FD5"/>
    <w:rsid w:val="00876FDA"/>
    <w:rsid w:val="00876FE4"/>
    <w:rsid w:val="00877003"/>
    <w:rsid w:val="00877108"/>
    <w:rsid w:val="00877119"/>
    <w:rsid w:val="0087714E"/>
    <w:rsid w:val="008772D3"/>
    <w:rsid w:val="008772E4"/>
    <w:rsid w:val="008773D5"/>
    <w:rsid w:val="008773E9"/>
    <w:rsid w:val="008776A9"/>
    <w:rsid w:val="00877742"/>
    <w:rsid w:val="00877884"/>
    <w:rsid w:val="008778A7"/>
    <w:rsid w:val="00877AFD"/>
    <w:rsid w:val="00877B12"/>
    <w:rsid w:val="00877BD8"/>
    <w:rsid w:val="00877EC7"/>
    <w:rsid w:val="008800C6"/>
    <w:rsid w:val="008801C8"/>
    <w:rsid w:val="008801EE"/>
    <w:rsid w:val="008802D4"/>
    <w:rsid w:val="008802E1"/>
    <w:rsid w:val="00880341"/>
    <w:rsid w:val="00880362"/>
    <w:rsid w:val="0088055A"/>
    <w:rsid w:val="008805A6"/>
    <w:rsid w:val="0088073B"/>
    <w:rsid w:val="008807E1"/>
    <w:rsid w:val="00880883"/>
    <w:rsid w:val="008808B0"/>
    <w:rsid w:val="0088092C"/>
    <w:rsid w:val="00880955"/>
    <w:rsid w:val="00880967"/>
    <w:rsid w:val="00880AB9"/>
    <w:rsid w:val="00880AEC"/>
    <w:rsid w:val="00880B26"/>
    <w:rsid w:val="00880B66"/>
    <w:rsid w:val="00880BEE"/>
    <w:rsid w:val="00880CEE"/>
    <w:rsid w:val="00881082"/>
    <w:rsid w:val="008810C4"/>
    <w:rsid w:val="008810FD"/>
    <w:rsid w:val="00881136"/>
    <w:rsid w:val="0088113C"/>
    <w:rsid w:val="008811C9"/>
    <w:rsid w:val="0088126F"/>
    <w:rsid w:val="008815DB"/>
    <w:rsid w:val="0088173A"/>
    <w:rsid w:val="00881866"/>
    <w:rsid w:val="00881A02"/>
    <w:rsid w:val="00881A1D"/>
    <w:rsid w:val="00881A72"/>
    <w:rsid w:val="00881AA4"/>
    <w:rsid w:val="00881B43"/>
    <w:rsid w:val="00881CB6"/>
    <w:rsid w:val="00881CF0"/>
    <w:rsid w:val="00881D52"/>
    <w:rsid w:val="00881EF2"/>
    <w:rsid w:val="00881F82"/>
    <w:rsid w:val="00881FDA"/>
    <w:rsid w:val="00881FDE"/>
    <w:rsid w:val="0088202F"/>
    <w:rsid w:val="008820F4"/>
    <w:rsid w:val="008820FE"/>
    <w:rsid w:val="0088210E"/>
    <w:rsid w:val="00882159"/>
    <w:rsid w:val="00882199"/>
    <w:rsid w:val="0088224C"/>
    <w:rsid w:val="008822D4"/>
    <w:rsid w:val="0088242A"/>
    <w:rsid w:val="0088249B"/>
    <w:rsid w:val="00882523"/>
    <w:rsid w:val="0088259E"/>
    <w:rsid w:val="008825D1"/>
    <w:rsid w:val="00882631"/>
    <w:rsid w:val="008827BC"/>
    <w:rsid w:val="008828D6"/>
    <w:rsid w:val="008829B9"/>
    <w:rsid w:val="008829CD"/>
    <w:rsid w:val="008829DF"/>
    <w:rsid w:val="00882AE9"/>
    <w:rsid w:val="00882BAC"/>
    <w:rsid w:val="00882D02"/>
    <w:rsid w:val="00882D1C"/>
    <w:rsid w:val="00882D2D"/>
    <w:rsid w:val="00882D67"/>
    <w:rsid w:val="00882EC3"/>
    <w:rsid w:val="00882FB4"/>
    <w:rsid w:val="0088305E"/>
    <w:rsid w:val="00883068"/>
    <w:rsid w:val="00883182"/>
    <w:rsid w:val="008831A6"/>
    <w:rsid w:val="008831BF"/>
    <w:rsid w:val="00883289"/>
    <w:rsid w:val="008832EA"/>
    <w:rsid w:val="0088348D"/>
    <w:rsid w:val="008835DF"/>
    <w:rsid w:val="008838B4"/>
    <w:rsid w:val="008839E3"/>
    <w:rsid w:val="00883AA1"/>
    <w:rsid w:val="00883AA9"/>
    <w:rsid w:val="00883B0E"/>
    <w:rsid w:val="00883B78"/>
    <w:rsid w:val="00883C68"/>
    <w:rsid w:val="00883CA4"/>
    <w:rsid w:val="00883D83"/>
    <w:rsid w:val="00883E4C"/>
    <w:rsid w:val="00883EDD"/>
    <w:rsid w:val="00883FB4"/>
    <w:rsid w:val="00883FC2"/>
    <w:rsid w:val="00884004"/>
    <w:rsid w:val="008841EE"/>
    <w:rsid w:val="008843F2"/>
    <w:rsid w:val="0088444A"/>
    <w:rsid w:val="008846CB"/>
    <w:rsid w:val="008846E0"/>
    <w:rsid w:val="00884865"/>
    <w:rsid w:val="00884947"/>
    <w:rsid w:val="008849FC"/>
    <w:rsid w:val="00884AD3"/>
    <w:rsid w:val="00884AF2"/>
    <w:rsid w:val="00884AF7"/>
    <w:rsid w:val="00884B4E"/>
    <w:rsid w:val="00884B7C"/>
    <w:rsid w:val="00884D8C"/>
    <w:rsid w:val="00884EC3"/>
    <w:rsid w:val="00884F26"/>
    <w:rsid w:val="00884F5A"/>
    <w:rsid w:val="00884FBB"/>
    <w:rsid w:val="0088509A"/>
    <w:rsid w:val="00885137"/>
    <w:rsid w:val="008851B9"/>
    <w:rsid w:val="00885249"/>
    <w:rsid w:val="0088526B"/>
    <w:rsid w:val="008853FD"/>
    <w:rsid w:val="00885482"/>
    <w:rsid w:val="00885494"/>
    <w:rsid w:val="008854DC"/>
    <w:rsid w:val="008857E1"/>
    <w:rsid w:val="00885AB9"/>
    <w:rsid w:val="00885B29"/>
    <w:rsid w:val="00885BA4"/>
    <w:rsid w:val="00885CD3"/>
    <w:rsid w:val="00885CD4"/>
    <w:rsid w:val="00885F86"/>
    <w:rsid w:val="0088620E"/>
    <w:rsid w:val="0088647A"/>
    <w:rsid w:val="0088678C"/>
    <w:rsid w:val="008867CD"/>
    <w:rsid w:val="008868DB"/>
    <w:rsid w:val="00886902"/>
    <w:rsid w:val="00886A6F"/>
    <w:rsid w:val="00886D1C"/>
    <w:rsid w:val="00886D21"/>
    <w:rsid w:val="00886E48"/>
    <w:rsid w:val="00886FDF"/>
    <w:rsid w:val="00887209"/>
    <w:rsid w:val="00887269"/>
    <w:rsid w:val="00887283"/>
    <w:rsid w:val="008872DA"/>
    <w:rsid w:val="008872E4"/>
    <w:rsid w:val="00887433"/>
    <w:rsid w:val="00887491"/>
    <w:rsid w:val="008876C6"/>
    <w:rsid w:val="00887730"/>
    <w:rsid w:val="00887741"/>
    <w:rsid w:val="00887878"/>
    <w:rsid w:val="00887ACA"/>
    <w:rsid w:val="00887B52"/>
    <w:rsid w:val="00887C0E"/>
    <w:rsid w:val="00887CFA"/>
    <w:rsid w:val="00887D3F"/>
    <w:rsid w:val="00887D6C"/>
    <w:rsid w:val="00887E6C"/>
    <w:rsid w:val="00887FC0"/>
    <w:rsid w:val="00887FFB"/>
    <w:rsid w:val="00890020"/>
    <w:rsid w:val="00890092"/>
    <w:rsid w:val="00890213"/>
    <w:rsid w:val="00890409"/>
    <w:rsid w:val="0089048F"/>
    <w:rsid w:val="008904AE"/>
    <w:rsid w:val="0089059D"/>
    <w:rsid w:val="0089067B"/>
    <w:rsid w:val="0089078C"/>
    <w:rsid w:val="008907A9"/>
    <w:rsid w:val="008907ED"/>
    <w:rsid w:val="008908DE"/>
    <w:rsid w:val="00890979"/>
    <w:rsid w:val="00890C09"/>
    <w:rsid w:val="00890C65"/>
    <w:rsid w:val="00890D97"/>
    <w:rsid w:val="00890DDC"/>
    <w:rsid w:val="00890E04"/>
    <w:rsid w:val="00890E88"/>
    <w:rsid w:val="00890E97"/>
    <w:rsid w:val="00890F81"/>
    <w:rsid w:val="00891071"/>
    <w:rsid w:val="0089114A"/>
    <w:rsid w:val="00891158"/>
    <w:rsid w:val="00891162"/>
    <w:rsid w:val="00891173"/>
    <w:rsid w:val="008911B0"/>
    <w:rsid w:val="0089125D"/>
    <w:rsid w:val="008912DE"/>
    <w:rsid w:val="008913DF"/>
    <w:rsid w:val="00891434"/>
    <w:rsid w:val="008916F9"/>
    <w:rsid w:val="00891879"/>
    <w:rsid w:val="008918C2"/>
    <w:rsid w:val="008918E1"/>
    <w:rsid w:val="008919C1"/>
    <w:rsid w:val="008919D9"/>
    <w:rsid w:val="00891A95"/>
    <w:rsid w:val="00891B56"/>
    <w:rsid w:val="00891B5F"/>
    <w:rsid w:val="00891BA6"/>
    <w:rsid w:val="00891BF9"/>
    <w:rsid w:val="00891D66"/>
    <w:rsid w:val="00891E28"/>
    <w:rsid w:val="00891F35"/>
    <w:rsid w:val="00891F61"/>
    <w:rsid w:val="0089205A"/>
    <w:rsid w:val="00892213"/>
    <w:rsid w:val="00892236"/>
    <w:rsid w:val="0089224C"/>
    <w:rsid w:val="00892285"/>
    <w:rsid w:val="008922AD"/>
    <w:rsid w:val="008922E1"/>
    <w:rsid w:val="008923A6"/>
    <w:rsid w:val="0089246E"/>
    <w:rsid w:val="008925F5"/>
    <w:rsid w:val="00892606"/>
    <w:rsid w:val="008926F9"/>
    <w:rsid w:val="00892813"/>
    <w:rsid w:val="008929F5"/>
    <w:rsid w:val="00892AFE"/>
    <w:rsid w:val="00892C25"/>
    <w:rsid w:val="00892D1C"/>
    <w:rsid w:val="00892D96"/>
    <w:rsid w:val="00892E3C"/>
    <w:rsid w:val="00893040"/>
    <w:rsid w:val="0089308A"/>
    <w:rsid w:val="00893211"/>
    <w:rsid w:val="00893320"/>
    <w:rsid w:val="008933AA"/>
    <w:rsid w:val="008933BC"/>
    <w:rsid w:val="008935D4"/>
    <w:rsid w:val="00893802"/>
    <w:rsid w:val="00893878"/>
    <w:rsid w:val="00893AFA"/>
    <w:rsid w:val="00893B0D"/>
    <w:rsid w:val="00893C26"/>
    <w:rsid w:val="00893C92"/>
    <w:rsid w:val="00893C94"/>
    <w:rsid w:val="00893D16"/>
    <w:rsid w:val="00893D72"/>
    <w:rsid w:val="00893DC1"/>
    <w:rsid w:val="00893E6B"/>
    <w:rsid w:val="00893EC2"/>
    <w:rsid w:val="00893EDD"/>
    <w:rsid w:val="00894129"/>
    <w:rsid w:val="00894139"/>
    <w:rsid w:val="008941BA"/>
    <w:rsid w:val="00894204"/>
    <w:rsid w:val="00894380"/>
    <w:rsid w:val="00894388"/>
    <w:rsid w:val="008943A6"/>
    <w:rsid w:val="00894400"/>
    <w:rsid w:val="00894496"/>
    <w:rsid w:val="00894517"/>
    <w:rsid w:val="008945B8"/>
    <w:rsid w:val="0089461A"/>
    <w:rsid w:val="00894652"/>
    <w:rsid w:val="008946E9"/>
    <w:rsid w:val="008946FF"/>
    <w:rsid w:val="0089472E"/>
    <w:rsid w:val="00894765"/>
    <w:rsid w:val="00894773"/>
    <w:rsid w:val="00894783"/>
    <w:rsid w:val="00894919"/>
    <w:rsid w:val="00894A95"/>
    <w:rsid w:val="00894B0F"/>
    <w:rsid w:val="00894BE2"/>
    <w:rsid w:val="00894D41"/>
    <w:rsid w:val="00894F5D"/>
    <w:rsid w:val="0089500B"/>
    <w:rsid w:val="0089506C"/>
    <w:rsid w:val="008950A8"/>
    <w:rsid w:val="008952D1"/>
    <w:rsid w:val="0089532D"/>
    <w:rsid w:val="00895334"/>
    <w:rsid w:val="0089559D"/>
    <w:rsid w:val="0089564E"/>
    <w:rsid w:val="00895799"/>
    <w:rsid w:val="008957A1"/>
    <w:rsid w:val="008958ED"/>
    <w:rsid w:val="00895ACF"/>
    <w:rsid w:val="00895C5B"/>
    <w:rsid w:val="00895CC2"/>
    <w:rsid w:val="00895DAE"/>
    <w:rsid w:val="00895DFF"/>
    <w:rsid w:val="00895E17"/>
    <w:rsid w:val="00895EBC"/>
    <w:rsid w:val="00895EC2"/>
    <w:rsid w:val="00895F97"/>
    <w:rsid w:val="00895FED"/>
    <w:rsid w:val="00896019"/>
    <w:rsid w:val="008960C4"/>
    <w:rsid w:val="00896101"/>
    <w:rsid w:val="00896174"/>
    <w:rsid w:val="00896187"/>
    <w:rsid w:val="008962CF"/>
    <w:rsid w:val="008963BC"/>
    <w:rsid w:val="008964F4"/>
    <w:rsid w:val="00896508"/>
    <w:rsid w:val="0089657E"/>
    <w:rsid w:val="0089660B"/>
    <w:rsid w:val="0089661F"/>
    <w:rsid w:val="00896767"/>
    <w:rsid w:val="00896796"/>
    <w:rsid w:val="008967D8"/>
    <w:rsid w:val="00896860"/>
    <w:rsid w:val="00896867"/>
    <w:rsid w:val="008968A4"/>
    <w:rsid w:val="008969A2"/>
    <w:rsid w:val="008969C4"/>
    <w:rsid w:val="00896A0C"/>
    <w:rsid w:val="00896AD4"/>
    <w:rsid w:val="00896AF4"/>
    <w:rsid w:val="00896B0F"/>
    <w:rsid w:val="00896B4C"/>
    <w:rsid w:val="00896B4D"/>
    <w:rsid w:val="00896B54"/>
    <w:rsid w:val="00896B5A"/>
    <w:rsid w:val="00896B5C"/>
    <w:rsid w:val="00896D1E"/>
    <w:rsid w:val="00896D52"/>
    <w:rsid w:val="00896D6B"/>
    <w:rsid w:val="00896DC9"/>
    <w:rsid w:val="00896DCB"/>
    <w:rsid w:val="00896DFD"/>
    <w:rsid w:val="00896E1C"/>
    <w:rsid w:val="00896E8C"/>
    <w:rsid w:val="00896EA2"/>
    <w:rsid w:val="00896EEA"/>
    <w:rsid w:val="00896EFC"/>
    <w:rsid w:val="00896EFE"/>
    <w:rsid w:val="00897001"/>
    <w:rsid w:val="00897010"/>
    <w:rsid w:val="0089706F"/>
    <w:rsid w:val="00897238"/>
    <w:rsid w:val="008974BF"/>
    <w:rsid w:val="008974D4"/>
    <w:rsid w:val="0089754D"/>
    <w:rsid w:val="008978B0"/>
    <w:rsid w:val="008978E3"/>
    <w:rsid w:val="008978F4"/>
    <w:rsid w:val="00897928"/>
    <w:rsid w:val="00897AE6"/>
    <w:rsid w:val="00897BE9"/>
    <w:rsid w:val="00897C5B"/>
    <w:rsid w:val="00897C9E"/>
    <w:rsid w:val="00897E8A"/>
    <w:rsid w:val="00897F3B"/>
    <w:rsid w:val="00897F94"/>
    <w:rsid w:val="008A0122"/>
    <w:rsid w:val="008A013C"/>
    <w:rsid w:val="008A0152"/>
    <w:rsid w:val="008A0268"/>
    <w:rsid w:val="008A0491"/>
    <w:rsid w:val="008A05F8"/>
    <w:rsid w:val="008A0615"/>
    <w:rsid w:val="008A07D1"/>
    <w:rsid w:val="008A0A7B"/>
    <w:rsid w:val="008A0BC6"/>
    <w:rsid w:val="008A0C18"/>
    <w:rsid w:val="008A0CA5"/>
    <w:rsid w:val="008A0D48"/>
    <w:rsid w:val="008A0D75"/>
    <w:rsid w:val="008A0DA4"/>
    <w:rsid w:val="008A0DB8"/>
    <w:rsid w:val="008A0F3A"/>
    <w:rsid w:val="008A1010"/>
    <w:rsid w:val="008A110D"/>
    <w:rsid w:val="008A1175"/>
    <w:rsid w:val="008A11C0"/>
    <w:rsid w:val="008A11EA"/>
    <w:rsid w:val="008A1280"/>
    <w:rsid w:val="008A12D6"/>
    <w:rsid w:val="008A13D5"/>
    <w:rsid w:val="008A156E"/>
    <w:rsid w:val="008A15C9"/>
    <w:rsid w:val="008A15E6"/>
    <w:rsid w:val="008A180A"/>
    <w:rsid w:val="008A1891"/>
    <w:rsid w:val="008A190F"/>
    <w:rsid w:val="008A199B"/>
    <w:rsid w:val="008A19F0"/>
    <w:rsid w:val="008A1A11"/>
    <w:rsid w:val="008A1A6C"/>
    <w:rsid w:val="008A1C17"/>
    <w:rsid w:val="008A1C6F"/>
    <w:rsid w:val="008A1E69"/>
    <w:rsid w:val="008A1F0F"/>
    <w:rsid w:val="008A1F5C"/>
    <w:rsid w:val="008A200A"/>
    <w:rsid w:val="008A2046"/>
    <w:rsid w:val="008A2138"/>
    <w:rsid w:val="008A216B"/>
    <w:rsid w:val="008A226C"/>
    <w:rsid w:val="008A2398"/>
    <w:rsid w:val="008A249A"/>
    <w:rsid w:val="008A249B"/>
    <w:rsid w:val="008A24C0"/>
    <w:rsid w:val="008A255A"/>
    <w:rsid w:val="008A2589"/>
    <w:rsid w:val="008A264C"/>
    <w:rsid w:val="008A268D"/>
    <w:rsid w:val="008A2705"/>
    <w:rsid w:val="008A2767"/>
    <w:rsid w:val="008A27AB"/>
    <w:rsid w:val="008A27C5"/>
    <w:rsid w:val="008A2909"/>
    <w:rsid w:val="008A291D"/>
    <w:rsid w:val="008A298F"/>
    <w:rsid w:val="008A2A33"/>
    <w:rsid w:val="008A2A61"/>
    <w:rsid w:val="008A2AD1"/>
    <w:rsid w:val="008A2B6E"/>
    <w:rsid w:val="008A2CF5"/>
    <w:rsid w:val="008A2D87"/>
    <w:rsid w:val="008A2E49"/>
    <w:rsid w:val="008A2EDC"/>
    <w:rsid w:val="008A2F37"/>
    <w:rsid w:val="008A2F53"/>
    <w:rsid w:val="008A30F3"/>
    <w:rsid w:val="008A30F8"/>
    <w:rsid w:val="008A310C"/>
    <w:rsid w:val="008A31AD"/>
    <w:rsid w:val="008A31F2"/>
    <w:rsid w:val="008A3204"/>
    <w:rsid w:val="008A33A4"/>
    <w:rsid w:val="008A3456"/>
    <w:rsid w:val="008A3522"/>
    <w:rsid w:val="008A3652"/>
    <w:rsid w:val="008A37EC"/>
    <w:rsid w:val="008A3840"/>
    <w:rsid w:val="008A3902"/>
    <w:rsid w:val="008A398D"/>
    <w:rsid w:val="008A39BA"/>
    <w:rsid w:val="008A3DC5"/>
    <w:rsid w:val="008A3DF5"/>
    <w:rsid w:val="008A3ED8"/>
    <w:rsid w:val="008A3F9B"/>
    <w:rsid w:val="008A4022"/>
    <w:rsid w:val="008A404C"/>
    <w:rsid w:val="008A4198"/>
    <w:rsid w:val="008A41E4"/>
    <w:rsid w:val="008A4264"/>
    <w:rsid w:val="008A42AE"/>
    <w:rsid w:val="008A439B"/>
    <w:rsid w:val="008A4519"/>
    <w:rsid w:val="008A45AA"/>
    <w:rsid w:val="008A45F8"/>
    <w:rsid w:val="008A4670"/>
    <w:rsid w:val="008A46BD"/>
    <w:rsid w:val="008A46C9"/>
    <w:rsid w:val="008A471E"/>
    <w:rsid w:val="008A489D"/>
    <w:rsid w:val="008A48B3"/>
    <w:rsid w:val="008A4937"/>
    <w:rsid w:val="008A4AA3"/>
    <w:rsid w:val="008A4B61"/>
    <w:rsid w:val="008A4BE2"/>
    <w:rsid w:val="008A4D05"/>
    <w:rsid w:val="008A4E2F"/>
    <w:rsid w:val="008A4F48"/>
    <w:rsid w:val="008A519F"/>
    <w:rsid w:val="008A53CE"/>
    <w:rsid w:val="008A54BC"/>
    <w:rsid w:val="008A54F8"/>
    <w:rsid w:val="008A5503"/>
    <w:rsid w:val="008A55B2"/>
    <w:rsid w:val="008A57E4"/>
    <w:rsid w:val="008A57F5"/>
    <w:rsid w:val="008A5980"/>
    <w:rsid w:val="008A5A22"/>
    <w:rsid w:val="008A5A50"/>
    <w:rsid w:val="008A5BB8"/>
    <w:rsid w:val="008A5C88"/>
    <w:rsid w:val="008A5E53"/>
    <w:rsid w:val="008A5E68"/>
    <w:rsid w:val="008A5F2E"/>
    <w:rsid w:val="008A5FFD"/>
    <w:rsid w:val="008A60CC"/>
    <w:rsid w:val="008A60F0"/>
    <w:rsid w:val="008A60F2"/>
    <w:rsid w:val="008A6117"/>
    <w:rsid w:val="008A6136"/>
    <w:rsid w:val="008A621B"/>
    <w:rsid w:val="008A640C"/>
    <w:rsid w:val="008A644D"/>
    <w:rsid w:val="008A6485"/>
    <w:rsid w:val="008A64B7"/>
    <w:rsid w:val="008A672E"/>
    <w:rsid w:val="008A6779"/>
    <w:rsid w:val="008A6785"/>
    <w:rsid w:val="008A678A"/>
    <w:rsid w:val="008A67C0"/>
    <w:rsid w:val="008A691B"/>
    <w:rsid w:val="008A6950"/>
    <w:rsid w:val="008A69A7"/>
    <w:rsid w:val="008A69F0"/>
    <w:rsid w:val="008A6AFF"/>
    <w:rsid w:val="008A6C87"/>
    <w:rsid w:val="008A6CEE"/>
    <w:rsid w:val="008A6D8F"/>
    <w:rsid w:val="008A6DAA"/>
    <w:rsid w:val="008A700A"/>
    <w:rsid w:val="008A70EB"/>
    <w:rsid w:val="008A7294"/>
    <w:rsid w:val="008A737B"/>
    <w:rsid w:val="008A7586"/>
    <w:rsid w:val="008A75B4"/>
    <w:rsid w:val="008A75CB"/>
    <w:rsid w:val="008A776C"/>
    <w:rsid w:val="008A7773"/>
    <w:rsid w:val="008A77C5"/>
    <w:rsid w:val="008A7824"/>
    <w:rsid w:val="008A784B"/>
    <w:rsid w:val="008A78CF"/>
    <w:rsid w:val="008A7920"/>
    <w:rsid w:val="008A7B53"/>
    <w:rsid w:val="008A7C71"/>
    <w:rsid w:val="008A7D69"/>
    <w:rsid w:val="008A7E9A"/>
    <w:rsid w:val="008B032C"/>
    <w:rsid w:val="008B037D"/>
    <w:rsid w:val="008B038F"/>
    <w:rsid w:val="008B03D1"/>
    <w:rsid w:val="008B03FA"/>
    <w:rsid w:val="008B040D"/>
    <w:rsid w:val="008B0511"/>
    <w:rsid w:val="008B052D"/>
    <w:rsid w:val="008B059D"/>
    <w:rsid w:val="008B0626"/>
    <w:rsid w:val="008B072F"/>
    <w:rsid w:val="008B0732"/>
    <w:rsid w:val="008B0790"/>
    <w:rsid w:val="008B07DA"/>
    <w:rsid w:val="008B081C"/>
    <w:rsid w:val="008B0852"/>
    <w:rsid w:val="008B08E6"/>
    <w:rsid w:val="008B0A36"/>
    <w:rsid w:val="008B0D1C"/>
    <w:rsid w:val="008B0D2D"/>
    <w:rsid w:val="008B0DDC"/>
    <w:rsid w:val="008B0DE9"/>
    <w:rsid w:val="008B0E3B"/>
    <w:rsid w:val="008B0E8A"/>
    <w:rsid w:val="008B0EDE"/>
    <w:rsid w:val="008B0F30"/>
    <w:rsid w:val="008B0F53"/>
    <w:rsid w:val="008B0F6F"/>
    <w:rsid w:val="008B1043"/>
    <w:rsid w:val="008B104C"/>
    <w:rsid w:val="008B105A"/>
    <w:rsid w:val="008B1065"/>
    <w:rsid w:val="008B1293"/>
    <w:rsid w:val="008B12C1"/>
    <w:rsid w:val="008B12CC"/>
    <w:rsid w:val="008B1430"/>
    <w:rsid w:val="008B16E9"/>
    <w:rsid w:val="008B183F"/>
    <w:rsid w:val="008B191D"/>
    <w:rsid w:val="008B1996"/>
    <w:rsid w:val="008B19A1"/>
    <w:rsid w:val="008B1BA4"/>
    <w:rsid w:val="008B1BE5"/>
    <w:rsid w:val="008B1D3A"/>
    <w:rsid w:val="008B1DA0"/>
    <w:rsid w:val="008B1DB8"/>
    <w:rsid w:val="008B1DDC"/>
    <w:rsid w:val="008B1F54"/>
    <w:rsid w:val="008B2025"/>
    <w:rsid w:val="008B209E"/>
    <w:rsid w:val="008B233B"/>
    <w:rsid w:val="008B255C"/>
    <w:rsid w:val="008B2675"/>
    <w:rsid w:val="008B2914"/>
    <w:rsid w:val="008B2936"/>
    <w:rsid w:val="008B2A28"/>
    <w:rsid w:val="008B2AC2"/>
    <w:rsid w:val="008B2B20"/>
    <w:rsid w:val="008B2BD8"/>
    <w:rsid w:val="008B2CC6"/>
    <w:rsid w:val="008B2D18"/>
    <w:rsid w:val="008B2E04"/>
    <w:rsid w:val="008B2E81"/>
    <w:rsid w:val="008B2EB3"/>
    <w:rsid w:val="008B2F65"/>
    <w:rsid w:val="008B2FFF"/>
    <w:rsid w:val="008B3291"/>
    <w:rsid w:val="008B3384"/>
    <w:rsid w:val="008B3456"/>
    <w:rsid w:val="008B3557"/>
    <w:rsid w:val="008B35CF"/>
    <w:rsid w:val="008B372E"/>
    <w:rsid w:val="008B386A"/>
    <w:rsid w:val="008B3A50"/>
    <w:rsid w:val="008B3AD9"/>
    <w:rsid w:val="008B3B67"/>
    <w:rsid w:val="008B3B8E"/>
    <w:rsid w:val="008B3BB9"/>
    <w:rsid w:val="008B3C18"/>
    <w:rsid w:val="008B3C73"/>
    <w:rsid w:val="008B3E22"/>
    <w:rsid w:val="008B3E5A"/>
    <w:rsid w:val="008B40DD"/>
    <w:rsid w:val="008B4280"/>
    <w:rsid w:val="008B4292"/>
    <w:rsid w:val="008B42DF"/>
    <w:rsid w:val="008B433C"/>
    <w:rsid w:val="008B449B"/>
    <w:rsid w:val="008B450E"/>
    <w:rsid w:val="008B4532"/>
    <w:rsid w:val="008B455B"/>
    <w:rsid w:val="008B465D"/>
    <w:rsid w:val="008B46FC"/>
    <w:rsid w:val="008B47CD"/>
    <w:rsid w:val="008B4811"/>
    <w:rsid w:val="008B4ADC"/>
    <w:rsid w:val="008B4AEB"/>
    <w:rsid w:val="008B4B9D"/>
    <w:rsid w:val="008B4BED"/>
    <w:rsid w:val="008B4D49"/>
    <w:rsid w:val="008B4D4A"/>
    <w:rsid w:val="008B4E21"/>
    <w:rsid w:val="008B4F5F"/>
    <w:rsid w:val="008B4F6C"/>
    <w:rsid w:val="008B500C"/>
    <w:rsid w:val="008B510E"/>
    <w:rsid w:val="008B51F9"/>
    <w:rsid w:val="008B5326"/>
    <w:rsid w:val="008B53E5"/>
    <w:rsid w:val="008B54F0"/>
    <w:rsid w:val="008B5963"/>
    <w:rsid w:val="008B5B04"/>
    <w:rsid w:val="008B5B0F"/>
    <w:rsid w:val="008B5BB2"/>
    <w:rsid w:val="008B5BBE"/>
    <w:rsid w:val="008B5C61"/>
    <w:rsid w:val="008B5E99"/>
    <w:rsid w:val="008B5FC6"/>
    <w:rsid w:val="008B6047"/>
    <w:rsid w:val="008B6066"/>
    <w:rsid w:val="008B60A4"/>
    <w:rsid w:val="008B610A"/>
    <w:rsid w:val="008B613D"/>
    <w:rsid w:val="008B6232"/>
    <w:rsid w:val="008B639F"/>
    <w:rsid w:val="008B67BB"/>
    <w:rsid w:val="008B67CD"/>
    <w:rsid w:val="008B6964"/>
    <w:rsid w:val="008B6A1F"/>
    <w:rsid w:val="008B6AAD"/>
    <w:rsid w:val="008B6AE9"/>
    <w:rsid w:val="008B6BF0"/>
    <w:rsid w:val="008B6C73"/>
    <w:rsid w:val="008B6C8C"/>
    <w:rsid w:val="008B6E83"/>
    <w:rsid w:val="008B6EE4"/>
    <w:rsid w:val="008B7044"/>
    <w:rsid w:val="008B70BC"/>
    <w:rsid w:val="008B718A"/>
    <w:rsid w:val="008B718B"/>
    <w:rsid w:val="008B7249"/>
    <w:rsid w:val="008B741E"/>
    <w:rsid w:val="008B746E"/>
    <w:rsid w:val="008B7594"/>
    <w:rsid w:val="008B77DD"/>
    <w:rsid w:val="008B786D"/>
    <w:rsid w:val="008B79E5"/>
    <w:rsid w:val="008B7B7D"/>
    <w:rsid w:val="008B7C70"/>
    <w:rsid w:val="008B7CD8"/>
    <w:rsid w:val="008B7D42"/>
    <w:rsid w:val="008B7D82"/>
    <w:rsid w:val="008B7E0E"/>
    <w:rsid w:val="008B7EDC"/>
    <w:rsid w:val="008B7F6B"/>
    <w:rsid w:val="008C0423"/>
    <w:rsid w:val="008C0456"/>
    <w:rsid w:val="008C05F8"/>
    <w:rsid w:val="008C06F2"/>
    <w:rsid w:val="008C0A01"/>
    <w:rsid w:val="008C0A5E"/>
    <w:rsid w:val="008C0AE4"/>
    <w:rsid w:val="008C0DEA"/>
    <w:rsid w:val="008C0EA0"/>
    <w:rsid w:val="008C0FEB"/>
    <w:rsid w:val="008C0FF7"/>
    <w:rsid w:val="008C10E2"/>
    <w:rsid w:val="008C1324"/>
    <w:rsid w:val="008C13CC"/>
    <w:rsid w:val="008C1522"/>
    <w:rsid w:val="008C154A"/>
    <w:rsid w:val="008C1797"/>
    <w:rsid w:val="008C1919"/>
    <w:rsid w:val="008C1977"/>
    <w:rsid w:val="008C19B1"/>
    <w:rsid w:val="008C1A32"/>
    <w:rsid w:val="008C1B1A"/>
    <w:rsid w:val="008C1B29"/>
    <w:rsid w:val="008C1C61"/>
    <w:rsid w:val="008C1D77"/>
    <w:rsid w:val="008C1D9C"/>
    <w:rsid w:val="008C1E4D"/>
    <w:rsid w:val="008C204C"/>
    <w:rsid w:val="008C20B3"/>
    <w:rsid w:val="008C21A7"/>
    <w:rsid w:val="008C2206"/>
    <w:rsid w:val="008C2362"/>
    <w:rsid w:val="008C2407"/>
    <w:rsid w:val="008C248F"/>
    <w:rsid w:val="008C24B0"/>
    <w:rsid w:val="008C25CA"/>
    <w:rsid w:val="008C2687"/>
    <w:rsid w:val="008C2734"/>
    <w:rsid w:val="008C27B2"/>
    <w:rsid w:val="008C29D8"/>
    <w:rsid w:val="008C2A9A"/>
    <w:rsid w:val="008C2B7B"/>
    <w:rsid w:val="008C2C3D"/>
    <w:rsid w:val="008C2C83"/>
    <w:rsid w:val="008C2CFE"/>
    <w:rsid w:val="008C2D44"/>
    <w:rsid w:val="008C2DBC"/>
    <w:rsid w:val="008C2E34"/>
    <w:rsid w:val="008C2EC9"/>
    <w:rsid w:val="008C2F7D"/>
    <w:rsid w:val="008C3081"/>
    <w:rsid w:val="008C309A"/>
    <w:rsid w:val="008C30C9"/>
    <w:rsid w:val="008C3204"/>
    <w:rsid w:val="008C342B"/>
    <w:rsid w:val="008C3540"/>
    <w:rsid w:val="008C363F"/>
    <w:rsid w:val="008C37D6"/>
    <w:rsid w:val="008C395B"/>
    <w:rsid w:val="008C39A5"/>
    <w:rsid w:val="008C3CC6"/>
    <w:rsid w:val="008C3F1A"/>
    <w:rsid w:val="008C3F1E"/>
    <w:rsid w:val="008C3FE4"/>
    <w:rsid w:val="008C4079"/>
    <w:rsid w:val="008C409A"/>
    <w:rsid w:val="008C40D3"/>
    <w:rsid w:val="008C4105"/>
    <w:rsid w:val="008C42B9"/>
    <w:rsid w:val="008C4366"/>
    <w:rsid w:val="008C468A"/>
    <w:rsid w:val="008C4710"/>
    <w:rsid w:val="008C474A"/>
    <w:rsid w:val="008C475F"/>
    <w:rsid w:val="008C47A1"/>
    <w:rsid w:val="008C4847"/>
    <w:rsid w:val="008C4A00"/>
    <w:rsid w:val="008C4DF6"/>
    <w:rsid w:val="008C4F76"/>
    <w:rsid w:val="008C4F77"/>
    <w:rsid w:val="008C51EB"/>
    <w:rsid w:val="008C530F"/>
    <w:rsid w:val="008C532B"/>
    <w:rsid w:val="008C5375"/>
    <w:rsid w:val="008C53CE"/>
    <w:rsid w:val="008C541A"/>
    <w:rsid w:val="008C546E"/>
    <w:rsid w:val="008C54AA"/>
    <w:rsid w:val="008C54D4"/>
    <w:rsid w:val="008C5533"/>
    <w:rsid w:val="008C5590"/>
    <w:rsid w:val="008C5675"/>
    <w:rsid w:val="008C567A"/>
    <w:rsid w:val="008C57A8"/>
    <w:rsid w:val="008C58E3"/>
    <w:rsid w:val="008C5AD4"/>
    <w:rsid w:val="008C5BDC"/>
    <w:rsid w:val="008C5CEB"/>
    <w:rsid w:val="008C5D3D"/>
    <w:rsid w:val="008C5DC6"/>
    <w:rsid w:val="008C5FD5"/>
    <w:rsid w:val="008C5FF3"/>
    <w:rsid w:val="008C60B0"/>
    <w:rsid w:val="008C60EA"/>
    <w:rsid w:val="008C622A"/>
    <w:rsid w:val="008C62DF"/>
    <w:rsid w:val="008C690D"/>
    <w:rsid w:val="008C6AB2"/>
    <w:rsid w:val="008C6B14"/>
    <w:rsid w:val="008C6DEA"/>
    <w:rsid w:val="008C6F19"/>
    <w:rsid w:val="008C6F7C"/>
    <w:rsid w:val="008C6F8C"/>
    <w:rsid w:val="008C70D8"/>
    <w:rsid w:val="008C73DC"/>
    <w:rsid w:val="008C73F7"/>
    <w:rsid w:val="008C742F"/>
    <w:rsid w:val="008C7544"/>
    <w:rsid w:val="008C754B"/>
    <w:rsid w:val="008C75A8"/>
    <w:rsid w:val="008C75D1"/>
    <w:rsid w:val="008C761C"/>
    <w:rsid w:val="008C79B2"/>
    <w:rsid w:val="008C7A8A"/>
    <w:rsid w:val="008C7B49"/>
    <w:rsid w:val="008C7BC2"/>
    <w:rsid w:val="008C7C8A"/>
    <w:rsid w:val="008C7DB4"/>
    <w:rsid w:val="008C7EDD"/>
    <w:rsid w:val="008D00F5"/>
    <w:rsid w:val="008D0315"/>
    <w:rsid w:val="008D03B4"/>
    <w:rsid w:val="008D03CD"/>
    <w:rsid w:val="008D0417"/>
    <w:rsid w:val="008D046C"/>
    <w:rsid w:val="008D05A5"/>
    <w:rsid w:val="008D0642"/>
    <w:rsid w:val="008D0980"/>
    <w:rsid w:val="008D0BEF"/>
    <w:rsid w:val="008D0C87"/>
    <w:rsid w:val="008D0D45"/>
    <w:rsid w:val="008D0E5D"/>
    <w:rsid w:val="008D0E97"/>
    <w:rsid w:val="008D0EA5"/>
    <w:rsid w:val="008D1097"/>
    <w:rsid w:val="008D1239"/>
    <w:rsid w:val="008D125D"/>
    <w:rsid w:val="008D12DE"/>
    <w:rsid w:val="008D1465"/>
    <w:rsid w:val="008D14FA"/>
    <w:rsid w:val="008D1703"/>
    <w:rsid w:val="008D171B"/>
    <w:rsid w:val="008D17C8"/>
    <w:rsid w:val="008D1AB8"/>
    <w:rsid w:val="008D1ACD"/>
    <w:rsid w:val="008D1C68"/>
    <w:rsid w:val="008D1F00"/>
    <w:rsid w:val="008D1F24"/>
    <w:rsid w:val="008D1F44"/>
    <w:rsid w:val="008D2038"/>
    <w:rsid w:val="008D2167"/>
    <w:rsid w:val="008D2190"/>
    <w:rsid w:val="008D21BB"/>
    <w:rsid w:val="008D2277"/>
    <w:rsid w:val="008D22F1"/>
    <w:rsid w:val="008D23E3"/>
    <w:rsid w:val="008D2762"/>
    <w:rsid w:val="008D281F"/>
    <w:rsid w:val="008D282B"/>
    <w:rsid w:val="008D294E"/>
    <w:rsid w:val="008D2DAD"/>
    <w:rsid w:val="008D2ECE"/>
    <w:rsid w:val="008D2F1F"/>
    <w:rsid w:val="008D30C8"/>
    <w:rsid w:val="008D313D"/>
    <w:rsid w:val="008D3225"/>
    <w:rsid w:val="008D32E2"/>
    <w:rsid w:val="008D33AF"/>
    <w:rsid w:val="008D34AE"/>
    <w:rsid w:val="008D3579"/>
    <w:rsid w:val="008D35D2"/>
    <w:rsid w:val="008D3667"/>
    <w:rsid w:val="008D366E"/>
    <w:rsid w:val="008D3748"/>
    <w:rsid w:val="008D3A05"/>
    <w:rsid w:val="008D3AB2"/>
    <w:rsid w:val="008D3CDC"/>
    <w:rsid w:val="008D3CF2"/>
    <w:rsid w:val="008D3D3B"/>
    <w:rsid w:val="008D3D9C"/>
    <w:rsid w:val="008D3E04"/>
    <w:rsid w:val="008D3E73"/>
    <w:rsid w:val="008D3F5A"/>
    <w:rsid w:val="008D3FD6"/>
    <w:rsid w:val="008D4223"/>
    <w:rsid w:val="008D458A"/>
    <w:rsid w:val="008D45A9"/>
    <w:rsid w:val="008D46AB"/>
    <w:rsid w:val="008D46EE"/>
    <w:rsid w:val="008D483E"/>
    <w:rsid w:val="008D495B"/>
    <w:rsid w:val="008D4BF1"/>
    <w:rsid w:val="008D4C50"/>
    <w:rsid w:val="008D4E29"/>
    <w:rsid w:val="008D4EB1"/>
    <w:rsid w:val="008D4ED1"/>
    <w:rsid w:val="008D4EE8"/>
    <w:rsid w:val="008D4F25"/>
    <w:rsid w:val="008D506A"/>
    <w:rsid w:val="008D5286"/>
    <w:rsid w:val="008D539E"/>
    <w:rsid w:val="008D5444"/>
    <w:rsid w:val="008D54D1"/>
    <w:rsid w:val="008D59F7"/>
    <w:rsid w:val="008D5A97"/>
    <w:rsid w:val="008D5A9D"/>
    <w:rsid w:val="008D5C21"/>
    <w:rsid w:val="008D5C28"/>
    <w:rsid w:val="008D5D7B"/>
    <w:rsid w:val="008D5EB8"/>
    <w:rsid w:val="008D5F21"/>
    <w:rsid w:val="008D605A"/>
    <w:rsid w:val="008D6081"/>
    <w:rsid w:val="008D60BF"/>
    <w:rsid w:val="008D6113"/>
    <w:rsid w:val="008D620E"/>
    <w:rsid w:val="008D6276"/>
    <w:rsid w:val="008D6306"/>
    <w:rsid w:val="008D6346"/>
    <w:rsid w:val="008D6633"/>
    <w:rsid w:val="008D6675"/>
    <w:rsid w:val="008D679F"/>
    <w:rsid w:val="008D681F"/>
    <w:rsid w:val="008D6A8A"/>
    <w:rsid w:val="008D6B77"/>
    <w:rsid w:val="008D6E06"/>
    <w:rsid w:val="008D6E32"/>
    <w:rsid w:val="008D7035"/>
    <w:rsid w:val="008D7066"/>
    <w:rsid w:val="008D707A"/>
    <w:rsid w:val="008D720A"/>
    <w:rsid w:val="008D72DE"/>
    <w:rsid w:val="008D73CE"/>
    <w:rsid w:val="008D7412"/>
    <w:rsid w:val="008D7775"/>
    <w:rsid w:val="008D7807"/>
    <w:rsid w:val="008D78F2"/>
    <w:rsid w:val="008D7949"/>
    <w:rsid w:val="008D7B08"/>
    <w:rsid w:val="008D7B26"/>
    <w:rsid w:val="008D7B96"/>
    <w:rsid w:val="008D7E1B"/>
    <w:rsid w:val="008D7E48"/>
    <w:rsid w:val="008E0020"/>
    <w:rsid w:val="008E0131"/>
    <w:rsid w:val="008E01C5"/>
    <w:rsid w:val="008E0346"/>
    <w:rsid w:val="008E035B"/>
    <w:rsid w:val="008E0450"/>
    <w:rsid w:val="008E0573"/>
    <w:rsid w:val="008E07D3"/>
    <w:rsid w:val="008E0840"/>
    <w:rsid w:val="008E08A3"/>
    <w:rsid w:val="008E0996"/>
    <w:rsid w:val="008E09E8"/>
    <w:rsid w:val="008E0A60"/>
    <w:rsid w:val="008E0CE3"/>
    <w:rsid w:val="008E0E01"/>
    <w:rsid w:val="008E0E5A"/>
    <w:rsid w:val="008E0EB2"/>
    <w:rsid w:val="008E12C2"/>
    <w:rsid w:val="008E135C"/>
    <w:rsid w:val="008E1376"/>
    <w:rsid w:val="008E1386"/>
    <w:rsid w:val="008E1399"/>
    <w:rsid w:val="008E159E"/>
    <w:rsid w:val="008E16C9"/>
    <w:rsid w:val="008E171C"/>
    <w:rsid w:val="008E1773"/>
    <w:rsid w:val="008E1949"/>
    <w:rsid w:val="008E1A55"/>
    <w:rsid w:val="008E1BC4"/>
    <w:rsid w:val="008E1C11"/>
    <w:rsid w:val="008E1CD4"/>
    <w:rsid w:val="008E1F28"/>
    <w:rsid w:val="008E2124"/>
    <w:rsid w:val="008E21A1"/>
    <w:rsid w:val="008E2295"/>
    <w:rsid w:val="008E231F"/>
    <w:rsid w:val="008E2555"/>
    <w:rsid w:val="008E259F"/>
    <w:rsid w:val="008E25EE"/>
    <w:rsid w:val="008E26C7"/>
    <w:rsid w:val="008E26E4"/>
    <w:rsid w:val="008E292D"/>
    <w:rsid w:val="008E297B"/>
    <w:rsid w:val="008E2A63"/>
    <w:rsid w:val="008E2A89"/>
    <w:rsid w:val="008E2BF4"/>
    <w:rsid w:val="008E2BFA"/>
    <w:rsid w:val="008E2CB8"/>
    <w:rsid w:val="008E2D25"/>
    <w:rsid w:val="008E2ED3"/>
    <w:rsid w:val="008E30A6"/>
    <w:rsid w:val="008E30F9"/>
    <w:rsid w:val="008E3144"/>
    <w:rsid w:val="008E3152"/>
    <w:rsid w:val="008E321D"/>
    <w:rsid w:val="008E3328"/>
    <w:rsid w:val="008E3350"/>
    <w:rsid w:val="008E33E4"/>
    <w:rsid w:val="008E348D"/>
    <w:rsid w:val="008E354E"/>
    <w:rsid w:val="008E3743"/>
    <w:rsid w:val="008E3823"/>
    <w:rsid w:val="008E3863"/>
    <w:rsid w:val="008E38C4"/>
    <w:rsid w:val="008E38F8"/>
    <w:rsid w:val="008E3961"/>
    <w:rsid w:val="008E3A5A"/>
    <w:rsid w:val="008E3C34"/>
    <w:rsid w:val="008E3CC4"/>
    <w:rsid w:val="008E3D5B"/>
    <w:rsid w:val="008E3D72"/>
    <w:rsid w:val="008E3DDD"/>
    <w:rsid w:val="008E3E37"/>
    <w:rsid w:val="008E3E48"/>
    <w:rsid w:val="008E4014"/>
    <w:rsid w:val="008E42A4"/>
    <w:rsid w:val="008E42A7"/>
    <w:rsid w:val="008E42D1"/>
    <w:rsid w:val="008E42F5"/>
    <w:rsid w:val="008E4319"/>
    <w:rsid w:val="008E447F"/>
    <w:rsid w:val="008E46F4"/>
    <w:rsid w:val="008E4762"/>
    <w:rsid w:val="008E4771"/>
    <w:rsid w:val="008E47EB"/>
    <w:rsid w:val="008E4800"/>
    <w:rsid w:val="008E48A1"/>
    <w:rsid w:val="008E48C6"/>
    <w:rsid w:val="008E4A97"/>
    <w:rsid w:val="008E4BAE"/>
    <w:rsid w:val="008E4CBE"/>
    <w:rsid w:val="008E4D74"/>
    <w:rsid w:val="008E4DA3"/>
    <w:rsid w:val="008E4DE9"/>
    <w:rsid w:val="008E4FC1"/>
    <w:rsid w:val="008E50B8"/>
    <w:rsid w:val="008E5228"/>
    <w:rsid w:val="008E5292"/>
    <w:rsid w:val="008E52D9"/>
    <w:rsid w:val="008E5359"/>
    <w:rsid w:val="008E5698"/>
    <w:rsid w:val="008E56C7"/>
    <w:rsid w:val="008E5731"/>
    <w:rsid w:val="008E574C"/>
    <w:rsid w:val="008E57EF"/>
    <w:rsid w:val="008E58B2"/>
    <w:rsid w:val="008E593C"/>
    <w:rsid w:val="008E5984"/>
    <w:rsid w:val="008E5A75"/>
    <w:rsid w:val="008E5CED"/>
    <w:rsid w:val="008E5DBE"/>
    <w:rsid w:val="008E5E33"/>
    <w:rsid w:val="008E5F6D"/>
    <w:rsid w:val="008E5F7C"/>
    <w:rsid w:val="008E5F9B"/>
    <w:rsid w:val="008E6178"/>
    <w:rsid w:val="008E61C4"/>
    <w:rsid w:val="008E61C8"/>
    <w:rsid w:val="008E61E2"/>
    <w:rsid w:val="008E6209"/>
    <w:rsid w:val="008E62AB"/>
    <w:rsid w:val="008E62B9"/>
    <w:rsid w:val="008E63AC"/>
    <w:rsid w:val="008E6694"/>
    <w:rsid w:val="008E6795"/>
    <w:rsid w:val="008E67C1"/>
    <w:rsid w:val="008E693F"/>
    <w:rsid w:val="008E6990"/>
    <w:rsid w:val="008E69D3"/>
    <w:rsid w:val="008E6AB5"/>
    <w:rsid w:val="008E6B74"/>
    <w:rsid w:val="008E6B7C"/>
    <w:rsid w:val="008E6B88"/>
    <w:rsid w:val="008E6BB1"/>
    <w:rsid w:val="008E6C2E"/>
    <w:rsid w:val="008E6C41"/>
    <w:rsid w:val="008E6C53"/>
    <w:rsid w:val="008E6D62"/>
    <w:rsid w:val="008E6DAE"/>
    <w:rsid w:val="008E6DDF"/>
    <w:rsid w:val="008E6DE7"/>
    <w:rsid w:val="008E6E63"/>
    <w:rsid w:val="008E6F8A"/>
    <w:rsid w:val="008E7079"/>
    <w:rsid w:val="008E7151"/>
    <w:rsid w:val="008E7263"/>
    <w:rsid w:val="008E72EA"/>
    <w:rsid w:val="008E7394"/>
    <w:rsid w:val="008E75BD"/>
    <w:rsid w:val="008E76BB"/>
    <w:rsid w:val="008E76FD"/>
    <w:rsid w:val="008E77D9"/>
    <w:rsid w:val="008E788F"/>
    <w:rsid w:val="008E7A30"/>
    <w:rsid w:val="008E7A6F"/>
    <w:rsid w:val="008E7A85"/>
    <w:rsid w:val="008E7EF0"/>
    <w:rsid w:val="008F00C6"/>
    <w:rsid w:val="008F012A"/>
    <w:rsid w:val="008F01F6"/>
    <w:rsid w:val="008F02AA"/>
    <w:rsid w:val="008F0476"/>
    <w:rsid w:val="008F05EB"/>
    <w:rsid w:val="008F0733"/>
    <w:rsid w:val="008F07A9"/>
    <w:rsid w:val="008F09FD"/>
    <w:rsid w:val="008F0E3E"/>
    <w:rsid w:val="008F0E7F"/>
    <w:rsid w:val="008F10A6"/>
    <w:rsid w:val="008F11CF"/>
    <w:rsid w:val="008F1202"/>
    <w:rsid w:val="008F1266"/>
    <w:rsid w:val="008F127B"/>
    <w:rsid w:val="008F134E"/>
    <w:rsid w:val="008F1386"/>
    <w:rsid w:val="008F1533"/>
    <w:rsid w:val="008F174E"/>
    <w:rsid w:val="008F17F9"/>
    <w:rsid w:val="008F194B"/>
    <w:rsid w:val="008F1A25"/>
    <w:rsid w:val="008F1D0E"/>
    <w:rsid w:val="008F1D70"/>
    <w:rsid w:val="008F1E78"/>
    <w:rsid w:val="008F1ED8"/>
    <w:rsid w:val="008F1FBB"/>
    <w:rsid w:val="008F2006"/>
    <w:rsid w:val="008F24A9"/>
    <w:rsid w:val="008F25FB"/>
    <w:rsid w:val="008F261A"/>
    <w:rsid w:val="008F2660"/>
    <w:rsid w:val="008F2679"/>
    <w:rsid w:val="008F2730"/>
    <w:rsid w:val="008F27E7"/>
    <w:rsid w:val="008F28B0"/>
    <w:rsid w:val="008F2946"/>
    <w:rsid w:val="008F29A4"/>
    <w:rsid w:val="008F2AC9"/>
    <w:rsid w:val="008F2AD3"/>
    <w:rsid w:val="008F2B1D"/>
    <w:rsid w:val="008F2B5A"/>
    <w:rsid w:val="008F2BD1"/>
    <w:rsid w:val="008F2D01"/>
    <w:rsid w:val="008F2D23"/>
    <w:rsid w:val="008F2D43"/>
    <w:rsid w:val="008F300E"/>
    <w:rsid w:val="008F3061"/>
    <w:rsid w:val="008F30D4"/>
    <w:rsid w:val="008F3126"/>
    <w:rsid w:val="008F3178"/>
    <w:rsid w:val="008F31A2"/>
    <w:rsid w:val="008F3257"/>
    <w:rsid w:val="008F32D0"/>
    <w:rsid w:val="008F350D"/>
    <w:rsid w:val="008F3627"/>
    <w:rsid w:val="008F368F"/>
    <w:rsid w:val="008F37BD"/>
    <w:rsid w:val="008F37F1"/>
    <w:rsid w:val="008F37F3"/>
    <w:rsid w:val="008F37F6"/>
    <w:rsid w:val="008F38D8"/>
    <w:rsid w:val="008F3956"/>
    <w:rsid w:val="008F3965"/>
    <w:rsid w:val="008F399C"/>
    <w:rsid w:val="008F3B8A"/>
    <w:rsid w:val="008F3BA0"/>
    <w:rsid w:val="008F3D2A"/>
    <w:rsid w:val="008F3D57"/>
    <w:rsid w:val="008F3D9D"/>
    <w:rsid w:val="008F3E1A"/>
    <w:rsid w:val="008F3E4A"/>
    <w:rsid w:val="008F401C"/>
    <w:rsid w:val="008F4153"/>
    <w:rsid w:val="008F41EB"/>
    <w:rsid w:val="008F4261"/>
    <w:rsid w:val="008F4385"/>
    <w:rsid w:val="008F43C9"/>
    <w:rsid w:val="008F43EC"/>
    <w:rsid w:val="008F43F0"/>
    <w:rsid w:val="008F4688"/>
    <w:rsid w:val="008F472C"/>
    <w:rsid w:val="008F4745"/>
    <w:rsid w:val="008F48A7"/>
    <w:rsid w:val="008F4968"/>
    <w:rsid w:val="008F4BC3"/>
    <w:rsid w:val="008F4BC4"/>
    <w:rsid w:val="008F4EEC"/>
    <w:rsid w:val="008F4FAB"/>
    <w:rsid w:val="008F508B"/>
    <w:rsid w:val="008F513B"/>
    <w:rsid w:val="008F5151"/>
    <w:rsid w:val="008F522B"/>
    <w:rsid w:val="008F52EC"/>
    <w:rsid w:val="008F530E"/>
    <w:rsid w:val="008F53B9"/>
    <w:rsid w:val="008F5411"/>
    <w:rsid w:val="008F54DF"/>
    <w:rsid w:val="008F5554"/>
    <w:rsid w:val="008F560C"/>
    <w:rsid w:val="008F570D"/>
    <w:rsid w:val="008F5712"/>
    <w:rsid w:val="008F5867"/>
    <w:rsid w:val="008F5878"/>
    <w:rsid w:val="008F588F"/>
    <w:rsid w:val="008F58ED"/>
    <w:rsid w:val="008F598D"/>
    <w:rsid w:val="008F5B5E"/>
    <w:rsid w:val="008F5C08"/>
    <w:rsid w:val="008F5DA2"/>
    <w:rsid w:val="008F5E2F"/>
    <w:rsid w:val="008F5EE0"/>
    <w:rsid w:val="008F5F84"/>
    <w:rsid w:val="008F5FD8"/>
    <w:rsid w:val="008F5FDE"/>
    <w:rsid w:val="008F6063"/>
    <w:rsid w:val="008F6098"/>
    <w:rsid w:val="008F618B"/>
    <w:rsid w:val="008F62E3"/>
    <w:rsid w:val="008F63CC"/>
    <w:rsid w:val="008F6552"/>
    <w:rsid w:val="008F67A5"/>
    <w:rsid w:val="008F687E"/>
    <w:rsid w:val="008F68B0"/>
    <w:rsid w:val="008F68B4"/>
    <w:rsid w:val="008F68B9"/>
    <w:rsid w:val="008F6940"/>
    <w:rsid w:val="008F69B2"/>
    <w:rsid w:val="008F6AA0"/>
    <w:rsid w:val="008F6AA9"/>
    <w:rsid w:val="008F6E37"/>
    <w:rsid w:val="008F6E62"/>
    <w:rsid w:val="008F6EF7"/>
    <w:rsid w:val="008F6F21"/>
    <w:rsid w:val="008F6F44"/>
    <w:rsid w:val="008F7003"/>
    <w:rsid w:val="008F70E8"/>
    <w:rsid w:val="008F7139"/>
    <w:rsid w:val="008F71C7"/>
    <w:rsid w:val="008F73FC"/>
    <w:rsid w:val="008F74FA"/>
    <w:rsid w:val="008F7500"/>
    <w:rsid w:val="008F7574"/>
    <w:rsid w:val="008F75B4"/>
    <w:rsid w:val="008F769F"/>
    <w:rsid w:val="008F7924"/>
    <w:rsid w:val="008F7990"/>
    <w:rsid w:val="008F79C0"/>
    <w:rsid w:val="008F7A08"/>
    <w:rsid w:val="008F7A63"/>
    <w:rsid w:val="008F7A9D"/>
    <w:rsid w:val="008F7D04"/>
    <w:rsid w:val="008F7D9E"/>
    <w:rsid w:val="008F7E40"/>
    <w:rsid w:val="008F7EC1"/>
    <w:rsid w:val="008F7F28"/>
    <w:rsid w:val="00900003"/>
    <w:rsid w:val="009000BE"/>
    <w:rsid w:val="009000C0"/>
    <w:rsid w:val="009000FB"/>
    <w:rsid w:val="0090013D"/>
    <w:rsid w:val="009001CE"/>
    <w:rsid w:val="009001D9"/>
    <w:rsid w:val="0090026A"/>
    <w:rsid w:val="009002AA"/>
    <w:rsid w:val="00900393"/>
    <w:rsid w:val="009003C0"/>
    <w:rsid w:val="009003C6"/>
    <w:rsid w:val="009004A4"/>
    <w:rsid w:val="009004AE"/>
    <w:rsid w:val="009004C6"/>
    <w:rsid w:val="009006DA"/>
    <w:rsid w:val="009006F9"/>
    <w:rsid w:val="0090089D"/>
    <w:rsid w:val="009009BF"/>
    <w:rsid w:val="00900AFB"/>
    <w:rsid w:val="00900B51"/>
    <w:rsid w:val="00900D58"/>
    <w:rsid w:val="00900E7F"/>
    <w:rsid w:val="00900E98"/>
    <w:rsid w:val="00900EA5"/>
    <w:rsid w:val="00900F76"/>
    <w:rsid w:val="00900FF7"/>
    <w:rsid w:val="00901001"/>
    <w:rsid w:val="00901034"/>
    <w:rsid w:val="0090105E"/>
    <w:rsid w:val="009011DE"/>
    <w:rsid w:val="0090131C"/>
    <w:rsid w:val="00901327"/>
    <w:rsid w:val="0090139A"/>
    <w:rsid w:val="009013CC"/>
    <w:rsid w:val="00901445"/>
    <w:rsid w:val="0090152F"/>
    <w:rsid w:val="009015EA"/>
    <w:rsid w:val="0090167C"/>
    <w:rsid w:val="00901749"/>
    <w:rsid w:val="009018CB"/>
    <w:rsid w:val="00901944"/>
    <w:rsid w:val="009019B6"/>
    <w:rsid w:val="00901AF4"/>
    <w:rsid w:val="00901BA7"/>
    <w:rsid w:val="00901BCA"/>
    <w:rsid w:val="00901CD3"/>
    <w:rsid w:val="00901CF4"/>
    <w:rsid w:val="00901E86"/>
    <w:rsid w:val="00902073"/>
    <w:rsid w:val="0090226A"/>
    <w:rsid w:val="009023B0"/>
    <w:rsid w:val="0090246C"/>
    <w:rsid w:val="00902640"/>
    <w:rsid w:val="00902656"/>
    <w:rsid w:val="00902668"/>
    <w:rsid w:val="009026AB"/>
    <w:rsid w:val="0090281C"/>
    <w:rsid w:val="00902903"/>
    <w:rsid w:val="00902965"/>
    <w:rsid w:val="00902A83"/>
    <w:rsid w:val="00902B62"/>
    <w:rsid w:val="00902C9A"/>
    <w:rsid w:val="00902D0D"/>
    <w:rsid w:val="00902D5E"/>
    <w:rsid w:val="00902E21"/>
    <w:rsid w:val="00902E34"/>
    <w:rsid w:val="00902E71"/>
    <w:rsid w:val="00902F88"/>
    <w:rsid w:val="00903093"/>
    <w:rsid w:val="009031B8"/>
    <w:rsid w:val="00903408"/>
    <w:rsid w:val="009034A5"/>
    <w:rsid w:val="009035E4"/>
    <w:rsid w:val="009036B3"/>
    <w:rsid w:val="0090391A"/>
    <w:rsid w:val="00903976"/>
    <w:rsid w:val="00903988"/>
    <w:rsid w:val="00903CA8"/>
    <w:rsid w:val="00903D13"/>
    <w:rsid w:val="00903E69"/>
    <w:rsid w:val="00903F06"/>
    <w:rsid w:val="00903FF5"/>
    <w:rsid w:val="00903FF9"/>
    <w:rsid w:val="00904057"/>
    <w:rsid w:val="009042CD"/>
    <w:rsid w:val="009044B2"/>
    <w:rsid w:val="00904555"/>
    <w:rsid w:val="00904629"/>
    <w:rsid w:val="009046F9"/>
    <w:rsid w:val="00904727"/>
    <w:rsid w:val="0090473D"/>
    <w:rsid w:val="009047C4"/>
    <w:rsid w:val="0090483C"/>
    <w:rsid w:val="0090485A"/>
    <w:rsid w:val="00904874"/>
    <w:rsid w:val="00904A58"/>
    <w:rsid w:val="00904A5A"/>
    <w:rsid w:val="00904A8C"/>
    <w:rsid w:val="00904A8D"/>
    <w:rsid w:val="00904B64"/>
    <w:rsid w:val="00904B67"/>
    <w:rsid w:val="00904B7C"/>
    <w:rsid w:val="00904BD2"/>
    <w:rsid w:val="00904D7F"/>
    <w:rsid w:val="00904D80"/>
    <w:rsid w:val="00904E0D"/>
    <w:rsid w:val="00904E40"/>
    <w:rsid w:val="00904E8D"/>
    <w:rsid w:val="00904F0C"/>
    <w:rsid w:val="00904FE0"/>
    <w:rsid w:val="00905302"/>
    <w:rsid w:val="009053C4"/>
    <w:rsid w:val="009053D0"/>
    <w:rsid w:val="009053E5"/>
    <w:rsid w:val="00905476"/>
    <w:rsid w:val="00905489"/>
    <w:rsid w:val="009054F4"/>
    <w:rsid w:val="0090558B"/>
    <w:rsid w:val="00905752"/>
    <w:rsid w:val="009057B1"/>
    <w:rsid w:val="0090587A"/>
    <w:rsid w:val="00905885"/>
    <w:rsid w:val="009059BC"/>
    <w:rsid w:val="00905B43"/>
    <w:rsid w:val="00905C1C"/>
    <w:rsid w:val="00905D75"/>
    <w:rsid w:val="00905E57"/>
    <w:rsid w:val="00905E58"/>
    <w:rsid w:val="00905EE6"/>
    <w:rsid w:val="00905FF8"/>
    <w:rsid w:val="0090630A"/>
    <w:rsid w:val="009064CC"/>
    <w:rsid w:val="00906571"/>
    <w:rsid w:val="0090667F"/>
    <w:rsid w:val="009066BD"/>
    <w:rsid w:val="009067DE"/>
    <w:rsid w:val="009068CF"/>
    <w:rsid w:val="00906A8C"/>
    <w:rsid w:val="00906D8E"/>
    <w:rsid w:val="00906E41"/>
    <w:rsid w:val="00906E5C"/>
    <w:rsid w:val="00906E6F"/>
    <w:rsid w:val="00906E8F"/>
    <w:rsid w:val="00906F27"/>
    <w:rsid w:val="00907219"/>
    <w:rsid w:val="00907385"/>
    <w:rsid w:val="009074ED"/>
    <w:rsid w:val="009075C2"/>
    <w:rsid w:val="009077CE"/>
    <w:rsid w:val="009077F0"/>
    <w:rsid w:val="009078B3"/>
    <w:rsid w:val="009078FD"/>
    <w:rsid w:val="009079DF"/>
    <w:rsid w:val="00907A94"/>
    <w:rsid w:val="00907ACF"/>
    <w:rsid w:val="00907AF7"/>
    <w:rsid w:val="00907C5C"/>
    <w:rsid w:val="00907D8D"/>
    <w:rsid w:val="00907DBB"/>
    <w:rsid w:val="00907DDF"/>
    <w:rsid w:val="00907DF7"/>
    <w:rsid w:val="00907E49"/>
    <w:rsid w:val="00907EA9"/>
    <w:rsid w:val="009100B8"/>
    <w:rsid w:val="009100DC"/>
    <w:rsid w:val="009100E3"/>
    <w:rsid w:val="0091013B"/>
    <w:rsid w:val="009101AF"/>
    <w:rsid w:val="009101C5"/>
    <w:rsid w:val="00910264"/>
    <w:rsid w:val="0091026B"/>
    <w:rsid w:val="009103B6"/>
    <w:rsid w:val="0091040E"/>
    <w:rsid w:val="00910421"/>
    <w:rsid w:val="0091050B"/>
    <w:rsid w:val="00910595"/>
    <w:rsid w:val="009105C8"/>
    <w:rsid w:val="00910700"/>
    <w:rsid w:val="00910769"/>
    <w:rsid w:val="00910865"/>
    <w:rsid w:val="00910B11"/>
    <w:rsid w:val="00910BDE"/>
    <w:rsid w:val="00910C5F"/>
    <w:rsid w:val="00910DA7"/>
    <w:rsid w:val="00910E16"/>
    <w:rsid w:val="00910E20"/>
    <w:rsid w:val="00910EF5"/>
    <w:rsid w:val="00910FC4"/>
    <w:rsid w:val="00911130"/>
    <w:rsid w:val="009111A3"/>
    <w:rsid w:val="009112F5"/>
    <w:rsid w:val="0091143F"/>
    <w:rsid w:val="0091163C"/>
    <w:rsid w:val="0091182C"/>
    <w:rsid w:val="00911C18"/>
    <w:rsid w:val="00911C99"/>
    <w:rsid w:val="00911C9A"/>
    <w:rsid w:val="00911CAE"/>
    <w:rsid w:val="00911CB6"/>
    <w:rsid w:val="00911CBF"/>
    <w:rsid w:val="00911D1B"/>
    <w:rsid w:val="00911D5A"/>
    <w:rsid w:val="00911EC8"/>
    <w:rsid w:val="00911F06"/>
    <w:rsid w:val="0091207E"/>
    <w:rsid w:val="009120FA"/>
    <w:rsid w:val="0091232F"/>
    <w:rsid w:val="00912339"/>
    <w:rsid w:val="009123E3"/>
    <w:rsid w:val="009124B6"/>
    <w:rsid w:val="0091253E"/>
    <w:rsid w:val="00912620"/>
    <w:rsid w:val="0091265B"/>
    <w:rsid w:val="00912689"/>
    <w:rsid w:val="009126D5"/>
    <w:rsid w:val="00912718"/>
    <w:rsid w:val="009127D8"/>
    <w:rsid w:val="009128FC"/>
    <w:rsid w:val="00912A20"/>
    <w:rsid w:val="00912A76"/>
    <w:rsid w:val="00912B46"/>
    <w:rsid w:val="00912BB5"/>
    <w:rsid w:val="00912CD7"/>
    <w:rsid w:val="00912E88"/>
    <w:rsid w:val="00912F93"/>
    <w:rsid w:val="00913077"/>
    <w:rsid w:val="0091313E"/>
    <w:rsid w:val="0091329F"/>
    <w:rsid w:val="0091339C"/>
    <w:rsid w:val="0091349B"/>
    <w:rsid w:val="00913517"/>
    <w:rsid w:val="009135C4"/>
    <w:rsid w:val="009135CE"/>
    <w:rsid w:val="009135DD"/>
    <w:rsid w:val="009135E3"/>
    <w:rsid w:val="0091369A"/>
    <w:rsid w:val="00913742"/>
    <w:rsid w:val="009138F5"/>
    <w:rsid w:val="0091398E"/>
    <w:rsid w:val="00913A46"/>
    <w:rsid w:val="00913A47"/>
    <w:rsid w:val="00913A5C"/>
    <w:rsid w:val="00913A70"/>
    <w:rsid w:val="00913B06"/>
    <w:rsid w:val="00913C90"/>
    <w:rsid w:val="00913CD2"/>
    <w:rsid w:val="00913D39"/>
    <w:rsid w:val="00913D55"/>
    <w:rsid w:val="00913E7E"/>
    <w:rsid w:val="00913ED7"/>
    <w:rsid w:val="00913F31"/>
    <w:rsid w:val="00913FCC"/>
    <w:rsid w:val="009141A9"/>
    <w:rsid w:val="0091434B"/>
    <w:rsid w:val="00914518"/>
    <w:rsid w:val="00914548"/>
    <w:rsid w:val="009145FE"/>
    <w:rsid w:val="0091463E"/>
    <w:rsid w:val="009146F5"/>
    <w:rsid w:val="009147B4"/>
    <w:rsid w:val="00914970"/>
    <w:rsid w:val="009149F3"/>
    <w:rsid w:val="00914ACC"/>
    <w:rsid w:val="00914BCE"/>
    <w:rsid w:val="00914BE2"/>
    <w:rsid w:val="00914C54"/>
    <w:rsid w:val="00914D0A"/>
    <w:rsid w:val="00914D88"/>
    <w:rsid w:val="00914DE2"/>
    <w:rsid w:val="00914DEB"/>
    <w:rsid w:val="00914E19"/>
    <w:rsid w:val="00914F12"/>
    <w:rsid w:val="00914FB5"/>
    <w:rsid w:val="00915003"/>
    <w:rsid w:val="0091500F"/>
    <w:rsid w:val="00915054"/>
    <w:rsid w:val="00915067"/>
    <w:rsid w:val="009151A1"/>
    <w:rsid w:val="009151DF"/>
    <w:rsid w:val="00915335"/>
    <w:rsid w:val="0091533A"/>
    <w:rsid w:val="0091533C"/>
    <w:rsid w:val="0091533E"/>
    <w:rsid w:val="00915377"/>
    <w:rsid w:val="00915392"/>
    <w:rsid w:val="009153DA"/>
    <w:rsid w:val="00915454"/>
    <w:rsid w:val="009156EB"/>
    <w:rsid w:val="0091575C"/>
    <w:rsid w:val="009157AF"/>
    <w:rsid w:val="009157D4"/>
    <w:rsid w:val="0091589E"/>
    <w:rsid w:val="009158D7"/>
    <w:rsid w:val="009158FB"/>
    <w:rsid w:val="00915ACD"/>
    <w:rsid w:val="00915B3F"/>
    <w:rsid w:val="00915BF0"/>
    <w:rsid w:val="00915CE1"/>
    <w:rsid w:val="00915E16"/>
    <w:rsid w:val="00915E3F"/>
    <w:rsid w:val="00915F18"/>
    <w:rsid w:val="00915FAF"/>
    <w:rsid w:val="00916041"/>
    <w:rsid w:val="00916058"/>
    <w:rsid w:val="009160CA"/>
    <w:rsid w:val="009161F6"/>
    <w:rsid w:val="00916286"/>
    <w:rsid w:val="009167C2"/>
    <w:rsid w:val="009167C6"/>
    <w:rsid w:val="00916928"/>
    <w:rsid w:val="009169B4"/>
    <w:rsid w:val="00916AC9"/>
    <w:rsid w:val="00916B62"/>
    <w:rsid w:val="00916C51"/>
    <w:rsid w:val="00916C77"/>
    <w:rsid w:val="00916C8D"/>
    <w:rsid w:val="00916DC4"/>
    <w:rsid w:val="00916E8F"/>
    <w:rsid w:val="00916EF3"/>
    <w:rsid w:val="00916F4B"/>
    <w:rsid w:val="00916F86"/>
    <w:rsid w:val="009171CA"/>
    <w:rsid w:val="00917250"/>
    <w:rsid w:val="00917280"/>
    <w:rsid w:val="009172BB"/>
    <w:rsid w:val="009173D3"/>
    <w:rsid w:val="009173F1"/>
    <w:rsid w:val="009174BE"/>
    <w:rsid w:val="009174CC"/>
    <w:rsid w:val="00917669"/>
    <w:rsid w:val="00917833"/>
    <w:rsid w:val="009178D4"/>
    <w:rsid w:val="00917966"/>
    <w:rsid w:val="00917D4C"/>
    <w:rsid w:val="00917DB8"/>
    <w:rsid w:val="00917E43"/>
    <w:rsid w:val="00917ED5"/>
    <w:rsid w:val="009201B3"/>
    <w:rsid w:val="00920200"/>
    <w:rsid w:val="00920278"/>
    <w:rsid w:val="0092048F"/>
    <w:rsid w:val="00920498"/>
    <w:rsid w:val="009204DD"/>
    <w:rsid w:val="00920516"/>
    <w:rsid w:val="009206E3"/>
    <w:rsid w:val="00920729"/>
    <w:rsid w:val="00920734"/>
    <w:rsid w:val="00920752"/>
    <w:rsid w:val="009209BD"/>
    <w:rsid w:val="00920AFC"/>
    <w:rsid w:val="00920B2A"/>
    <w:rsid w:val="0092116A"/>
    <w:rsid w:val="009212B4"/>
    <w:rsid w:val="0092138B"/>
    <w:rsid w:val="009213DB"/>
    <w:rsid w:val="009215B8"/>
    <w:rsid w:val="009218DE"/>
    <w:rsid w:val="009218FF"/>
    <w:rsid w:val="00921945"/>
    <w:rsid w:val="00921A87"/>
    <w:rsid w:val="00921A91"/>
    <w:rsid w:val="00921C49"/>
    <w:rsid w:val="00921CD1"/>
    <w:rsid w:val="009220FE"/>
    <w:rsid w:val="0092210F"/>
    <w:rsid w:val="0092246C"/>
    <w:rsid w:val="009228C4"/>
    <w:rsid w:val="00922BCA"/>
    <w:rsid w:val="00922BF2"/>
    <w:rsid w:val="00922CB2"/>
    <w:rsid w:val="00922CBE"/>
    <w:rsid w:val="00922D1E"/>
    <w:rsid w:val="00922D9B"/>
    <w:rsid w:val="00922DA5"/>
    <w:rsid w:val="00922DD7"/>
    <w:rsid w:val="00922E25"/>
    <w:rsid w:val="00922F4F"/>
    <w:rsid w:val="00923072"/>
    <w:rsid w:val="00923101"/>
    <w:rsid w:val="00923151"/>
    <w:rsid w:val="00923168"/>
    <w:rsid w:val="009233A1"/>
    <w:rsid w:val="009233F8"/>
    <w:rsid w:val="00923C81"/>
    <w:rsid w:val="00923D8B"/>
    <w:rsid w:val="00923EAE"/>
    <w:rsid w:val="00923FF7"/>
    <w:rsid w:val="0092403C"/>
    <w:rsid w:val="00924073"/>
    <w:rsid w:val="00924075"/>
    <w:rsid w:val="0092407C"/>
    <w:rsid w:val="00924196"/>
    <w:rsid w:val="00924214"/>
    <w:rsid w:val="009242CB"/>
    <w:rsid w:val="00924318"/>
    <w:rsid w:val="00924339"/>
    <w:rsid w:val="009243AC"/>
    <w:rsid w:val="00924464"/>
    <w:rsid w:val="009244B1"/>
    <w:rsid w:val="00924673"/>
    <w:rsid w:val="00924697"/>
    <w:rsid w:val="009246DD"/>
    <w:rsid w:val="009246E8"/>
    <w:rsid w:val="00924756"/>
    <w:rsid w:val="00924777"/>
    <w:rsid w:val="00924BAF"/>
    <w:rsid w:val="00924D5C"/>
    <w:rsid w:val="00924DBE"/>
    <w:rsid w:val="00924DE8"/>
    <w:rsid w:val="00924E0C"/>
    <w:rsid w:val="00924F2B"/>
    <w:rsid w:val="00924FF3"/>
    <w:rsid w:val="00925006"/>
    <w:rsid w:val="00925076"/>
    <w:rsid w:val="00925313"/>
    <w:rsid w:val="0092535E"/>
    <w:rsid w:val="00925465"/>
    <w:rsid w:val="009254BD"/>
    <w:rsid w:val="009255D4"/>
    <w:rsid w:val="009255F6"/>
    <w:rsid w:val="00925708"/>
    <w:rsid w:val="00925837"/>
    <w:rsid w:val="009258AE"/>
    <w:rsid w:val="009258DF"/>
    <w:rsid w:val="009259A4"/>
    <w:rsid w:val="009259EF"/>
    <w:rsid w:val="00925AA9"/>
    <w:rsid w:val="00925B6E"/>
    <w:rsid w:val="00925BDC"/>
    <w:rsid w:val="00925C35"/>
    <w:rsid w:val="00925DB9"/>
    <w:rsid w:val="00925EB0"/>
    <w:rsid w:val="00925ECD"/>
    <w:rsid w:val="00925F31"/>
    <w:rsid w:val="00925F4A"/>
    <w:rsid w:val="00925F6B"/>
    <w:rsid w:val="00925FD7"/>
    <w:rsid w:val="00926021"/>
    <w:rsid w:val="00926132"/>
    <w:rsid w:val="009261A4"/>
    <w:rsid w:val="009261EF"/>
    <w:rsid w:val="009262EB"/>
    <w:rsid w:val="00926302"/>
    <w:rsid w:val="00926343"/>
    <w:rsid w:val="0092635E"/>
    <w:rsid w:val="00926478"/>
    <w:rsid w:val="009264A7"/>
    <w:rsid w:val="00926537"/>
    <w:rsid w:val="00926596"/>
    <w:rsid w:val="00926713"/>
    <w:rsid w:val="0092673A"/>
    <w:rsid w:val="0092699D"/>
    <w:rsid w:val="00926A30"/>
    <w:rsid w:val="00926B2C"/>
    <w:rsid w:val="00926B6F"/>
    <w:rsid w:val="00926C18"/>
    <w:rsid w:val="00926C1A"/>
    <w:rsid w:val="00926CFC"/>
    <w:rsid w:val="00926E4F"/>
    <w:rsid w:val="00926FD3"/>
    <w:rsid w:val="00927063"/>
    <w:rsid w:val="009270E1"/>
    <w:rsid w:val="009270E6"/>
    <w:rsid w:val="00927191"/>
    <w:rsid w:val="00927220"/>
    <w:rsid w:val="00927331"/>
    <w:rsid w:val="00927477"/>
    <w:rsid w:val="009275BC"/>
    <w:rsid w:val="009275BE"/>
    <w:rsid w:val="00927625"/>
    <w:rsid w:val="009276C2"/>
    <w:rsid w:val="009276CA"/>
    <w:rsid w:val="0092776B"/>
    <w:rsid w:val="00927789"/>
    <w:rsid w:val="009279DA"/>
    <w:rsid w:val="009279DB"/>
    <w:rsid w:val="00927A60"/>
    <w:rsid w:val="00927A8A"/>
    <w:rsid w:val="00927AA4"/>
    <w:rsid w:val="00927AFC"/>
    <w:rsid w:val="00927C05"/>
    <w:rsid w:val="00927C97"/>
    <w:rsid w:val="00927C98"/>
    <w:rsid w:val="00927D47"/>
    <w:rsid w:val="00927E22"/>
    <w:rsid w:val="00927EC4"/>
    <w:rsid w:val="00927EC6"/>
    <w:rsid w:val="00927ECA"/>
    <w:rsid w:val="00927FE5"/>
    <w:rsid w:val="00930119"/>
    <w:rsid w:val="009301B6"/>
    <w:rsid w:val="0093021C"/>
    <w:rsid w:val="00930228"/>
    <w:rsid w:val="0093028F"/>
    <w:rsid w:val="00930318"/>
    <w:rsid w:val="009303E8"/>
    <w:rsid w:val="00930493"/>
    <w:rsid w:val="009305D3"/>
    <w:rsid w:val="0093071D"/>
    <w:rsid w:val="00930988"/>
    <w:rsid w:val="00930990"/>
    <w:rsid w:val="009309D8"/>
    <w:rsid w:val="009309E2"/>
    <w:rsid w:val="00930ACB"/>
    <w:rsid w:val="00930BE1"/>
    <w:rsid w:val="00930C4C"/>
    <w:rsid w:val="00930C6A"/>
    <w:rsid w:val="00930C95"/>
    <w:rsid w:val="00930CB0"/>
    <w:rsid w:val="00930D71"/>
    <w:rsid w:val="00930DB3"/>
    <w:rsid w:val="00930DD6"/>
    <w:rsid w:val="00930E23"/>
    <w:rsid w:val="00930E6B"/>
    <w:rsid w:val="00930F3F"/>
    <w:rsid w:val="00930FED"/>
    <w:rsid w:val="009310FB"/>
    <w:rsid w:val="00931142"/>
    <w:rsid w:val="00931166"/>
    <w:rsid w:val="00931441"/>
    <w:rsid w:val="009314BE"/>
    <w:rsid w:val="00931506"/>
    <w:rsid w:val="009316AA"/>
    <w:rsid w:val="00931922"/>
    <w:rsid w:val="0093197C"/>
    <w:rsid w:val="0093199A"/>
    <w:rsid w:val="00931A39"/>
    <w:rsid w:val="00931ACE"/>
    <w:rsid w:val="00931B01"/>
    <w:rsid w:val="00931B27"/>
    <w:rsid w:val="00931C65"/>
    <w:rsid w:val="00931C6D"/>
    <w:rsid w:val="00931C94"/>
    <w:rsid w:val="00931D3A"/>
    <w:rsid w:val="00931E1C"/>
    <w:rsid w:val="00931EF8"/>
    <w:rsid w:val="00931F9A"/>
    <w:rsid w:val="00931FF1"/>
    <w:rsid w:val="0093227A"/>
    <w:rsid w:val="009322DE"/>
    <w:rsid w:val="0093246A"/>
    <w:rsid w:val="0093270D"/>
    <w:rsid w:val="0093294D"/>
    <w:rsid w:val="0093296A"/>
    <w:rsid w:val="00932AE7"/>
    <w:rsid w:val="00932B25"/>
    <w:rsid w:val="00932B49"/>
    <w:rsid w:val="00932C40"/>
    <w:rsid w:val="00932C96"/>
    <w:rsid w:val="00932F4E"/>
    <w:rsid w:val="009330D5"/>
    <w:rsid w:val="0093316A"/>
    <w:rsid w:val="009331C5"/>
    <w:rsid w:val="009331F2"/>
    <w:rsid w:val="00933379"/>
    <w:rsid w:val="0093342C"/>
    <w:rsid w:val="009334FB"/>
    <w:rsid w:val="0093363C"/>
    <w:rsid w:val="0093364C"/>
    <w:rsid w:val="00933705"/>
    <w:rsid w:val="009339A2"/>
    <w:rsid w:val="00933C6E"/>
    <w:rsid w:val="00933D0B"/>
    <w:rsid w:val="00933EA5"/>
    <w:rsid w:val="00933EBF"/>
    <w:rsid w:val="00933F39"/>
    <w:rsid w:val="00933F8F"/>
    <w:rsid w:val="00933FA8"/>
    <w:rsid w:val="00933FEB"/>
    <w:rsid w:val="00934115"/>
    <w:rsid w:val="00934372"/>
    <w:rsid w:val="009343E1"/>
    <w:rsid w:val="009345B5"/>
    <w:rsid w:val="0093469B"/>
    <w:rsid w:val="009346E1"/>
    <w:rsid w:val="00934799"/>
    <w:rsid w:val="009347E2"/>
    <w:rsid w:val="009347F2"/>
    <w:rsid w:val="0093483E"/>
    <w:rsid w:val="009349E3"/>
    <w:rsid w:val="00934A62"/>
    <w:rsid w:val="00934B36"/>
    <w:rsid w:val="00934D82"/>
    <w:rsid w:val="00934E2D"/>
    <w:rsid w:val="00934EB9"/>
    <w:rsid w:val="00934F59"/>
    <w:rsid w:val="00934F83"/>
    <w:rsid w:val="0093500A"/>
    <w:rsid w:val="0093502D"/>
    <w:rsid w:val="009352A6"/>
    <w:rsid w:val="0093534A"/>
    <w:rsid w:val="009355FC"/>
    <w:rsid w:val="0093572E"/>
    <w:rsid w:val="00935730"/>
    <w:rsid w:val="00935805"/>
    <w:rsid w:val="009358C8"/>
    <w:rsid w:val="00935927"/>
    <w:rsid w:val="00935934"/>
    <w:rsid w:val="0093597B"/>
    <w:rsid w:val="00935A56"/>
    <w:rsid w:val="00935A6A"/>
    <w:rsid w:val="00935AA3"/>
    <w:rsid w:val="00935AF2"/>
    <w:rsid w:val="00935B9D"/>
    <w:rsid w:val="00935C06"/>
    <w:rsid w:val="00935C53"/>
    <w:rsid w:val="00935C8A"/>
    <w:rsid w:val="00935FBF"/>
    <w:rsid w:val="00936022"/>
    <w:rsid w:val="0093608F"/>
    <w:rsid w:val="009360B2"/>
    <w:rsid w:val="00936171"/>
    <w:rsid w:val="00936184"/>
    <w:rsid w:val="009361E3"/>
    <w:rsid w:val="00936204"/>
    <w:rsid w:val="0093628C"/>
    <w:rsid w:val="00936301"/>
    <w:rsid w:val="009363EA"/>
    <w:rsid w:val="009366A1"/>
    <w:rsid w:val="009366E9"/>
    <w:rsid w:val="0093691E"/>
    <w:rsid w:val="00936F4F"/>
    <w:rsid w:val="00936F5E"/>
    <w:rsid w:val="00936F6D"/>
    <w:rsid w:val="00936FFB"/>
    <w:rsid w:val="0093713A"/>
    <w:rsid w:val="00937204"/>
    <w:rsid w:val="00937210"/>
    <w:rsid w:val="009372E9"/>
    <w:rsid w:val="0093735D"/>
    <w:rsid w:val="00937454"/>
    <w:rsid w:val="009376DD"/>
    <w:rsid w:val="009377F2"/>
    <w:rsid w:val="00937893"/>
    <w:rsid w:val="00937939"/>
    <w:rsid w:val="0093799B"/>
    <w:rsid w:val="00937BCF"/>
    <w:rsid w:val="00937C19"/>
    <w:rsid w:val="00937C40"/>
    <w:rsid w:val="00937C7A"/>
    <w:rsid w:val="00937DD6"/>
    <w:rsid w:val="00937DFF"/>
    <w:rsid w:val="00937E07"/>
    <w:rsid w:val="00937EE0"/>
    <w:rsid w:val="00937F04"/>
    <w:rsid w:val="00937F3B"/>
    <w:rsid w:val="00940097"/>
    <w:rsid w:val="009400FE"/>
    <w:rsid w:val="00940268"/>
    <w:rsid w:val="0094029A"/>
    <w:rsid w:val="00940312"/>
    <w:rsid w:val="0094034E"/>
    <w:rsid w:val="00940474"/>
    <w:rsid w:val="0094053C"/>
    <w:rsid w:val="009406CD"/>
    <w:rsid w:val="00940735"/>
    <w:rsid w:val="0094076E"/>
    <w:rsid w:val="009407ED"/>
    <w:rsid w:val="00940824"/>
    <w:rsid w:val="0094098A"/>
    <w:rsid w:val="009409AF"/>
    <w:rsid w:val="00940A49"/>
    <w:rsid w:val="00940A61"/>
    <w:rsid w:val="00940AE6"/>
    <w:rsid w:val="00940B03"/>
    <w:rsid w:val="00940B18"/>
    <w:rsid w:val="00940C1C"/>
    <w:rsid w:val="00940D31"/>
    <w:rsid w:val="00940EDE"/>
    <w:rsid w:val="00941031"/>
    <w:rsid w:val="0094104E"/>
    <w:rsid w:val="009410A1"/>
    <w:rsid w:val="009411C1"/>
    <w:rsid w:val="0094127B"/>
    <w:rsid w:val="00941380"/>
    <w:rsid w:val="009413B4"/>
    <w:rsid w:val="0094153A"/>
    <w:rsid w:val="009415FA"/>
    <w:rsid w:val="00941650"/>
    <w:rsid w:val="0094166C"/>
    <w:rsid w:val="009416D6"/>
    <w:rsid w:val="00941799"/>
    <w:rsid w:val="0094179F"/>
    <w:rsid w:val="009417BA"/>
    <w:rsid w:val="0094191E"/>
    <w:rsid w:val="00941931"/>
    <w:rsid w:val="00941933"/>
    <w:rsid w:val="0094196B"/>
    <w:rsid w:val="009419A7"/>
    <w:rsid w:val="00941A8E"/>
    <w:rsid w:val="00941D7F"/>
    <w:rsid w:val="00941DB8"/>
    <w:rsid w:val="00941DC1"/>
    <w:rsid w:val="00941F2F"/>
    <w:rsid w:val="0094203E"/>
    <w:rsid w:val="00942193"/>
    <w:rsid w:val="00942207"/>
    <w:rsid w:val="0094255A"/>
    <w:rsid w:val="009425A4"/>
    <w:rsid w:val="00942611"/>
    <w:rsid w:val="00942683"/>
    <w:rsid w:val="0094270B"/>
    <w:rsid w:val="00942727"/>
    <w:rsid w:val="009427F6"/>
    <w:rsid w:val="00942845"/>
    <w:rsid w:val="009428E8"/>
    <w:rsid w:val="00942960"/>
    <w:rsid w:val="00942AB8"/>
    <w:rsid w:val="00942B0D"/>
    <w:rsid w:val="00942B3E"/>
    <w:rsid w:val="00942B48"/>
    <w:rsid w:val="00942B8B"/>
    <w:rsid w:val="00942BD0"/>
    <w:rsid w:val="00942BDE"/>
    <w:rsid w:val="00942BDF"/>
    <w:rsid w:val="00942EEA"/>
    <w:rsid w:val="00942F02"/>
    <w:rsid w:val="00942F1E"/>
    <w:rsid w:val="0094305A"/>
    <w:rsid w:val="009430F6"/>
    <w:rsid w:val="009431AA"/>
    <w:rsid w:val="00943217"/>
    <w:rsid w:val="0094333B"/>
    <w:rsid w:val="0094335E"/>
    <w:rsid w:val="009433E5"/>
    <w:rsid w:val="0094340F"/>
    <w:rsid w:val="009435DF"/>
    <w:rsid w:val="009435E9"/>
    <w:rsid w:val="00943618"/>
    <w:rsid w:val="0094361C"/>
    <w:rsid w:val="00943632"/>
    <w:rsid w:val="00943689"/>
    <w:rsid w:val="009436CD"/>
    <w:rsid w:val="009437B4"/>
    <w:rsid w:val="00943975"/>
    <w:rsid w:val="00943983"/>
    <w:rsid w:val="0094399A"/>
    <w:rsid w:val="009439F0"/>
    <w:rsid w:val="00943A17"/>
    <w:rsid w:val="00943AB0"/>
    <w:rsid w:val="00943B13"/>
    <w:rsid w:val="00943B69"/>
    <w:rsid w:val="00943BCE"/>
    <w:rsid w:val="00943C3D"/>
    <w:rsid w:val="00943C8D"/>
    <w:rsid w:val="00943EAD"/>
    <w:rsid w:val="00943FAE"/>
    <w:rsid w:val="00943FDC"/>
    <w:rsid w:val="00944004"/>
    <w:rsid w:val="00944015"/>
    <w:rsid w:val="00944049"/>
    <w:rsid w:val="0094416B"/>
    <w:rsid w:val="00944195"/>
    <w:rsid w:val="00944332"/>
    <w:rsid w:val="009443BD"/>
    <w:rsid w:val="009444A6"/>
    <w:rsid w:val="00944538"/>
    <w:rsid w:val="00944715"/>
    <w:rsid w:val="00944825"/>
    <w:rsid w:val="0094488B"/>
    <w:rsid w:val="00944892"/>
    <w:rsid w:val="009448B7"/>
    <w:rsid w:val="009449ED"/>
    <w:rsid w:val="00944ACC"/>
    <w:rsid w:val="00944B9A"/>
    <w:rsid w:val="00944C2D"/>
    <w:rsid w:val="00944C44"/>
    <w:rsid w:val="00944C97"/>
    <w:rsid w:val="00944CAE"/>
    <w:rsid w:val="00944D68"/>
    <w:rsid w:val="00944D89"/>
    <w:rsid w:val="00944DF4"/>
    <w:rsid w:val="00944EDC"/>
    <w:rsid w:val="00944F11"/>
    <w:rsid w:val="00944FDC"/>
    <w:rsid w:val="009450F5"/>
    <w:rsid w:val="009451BE"/>
    <w:rsid w:val="00945250"/>
    <w:rsid w:val="00945259"/>
    <w:rsid w:val="0094527B"/>
    <w:rsid w:val="009452C1"/>
    <w:rsid w:val="009452D8"/>
    <w:rsid w:val="00945317"/>
    <w:rsid w:val="0094548C"/>
    <w:rsid w:val="009454E9"/>
    <w:rsid w:val="00945582"/>
    <w:rsid w:val="009455B0"/>
    <w:rsid w:val="00945694"/>
    <w:rsid w:val="0094570C"/>
    <w:rsid w:val="00945769"/>
    <w:rsid w:val="00945829"/>
    <w:rsid w:val="00945968"/>
    <w:rsid w:val="009459F3"/>
    <w:rsid w:val="00945ABB"/>
    <w:rsid w:val="00945AF0"/>
    <w:rsid w:val="00945B47"/>
    <w:rsid w:val="00945B6D"/>
    <w:rsid w:val="00945BA3"/>
    <w:rsid w:val="00945BF4"/>
    <w:rsid w:val="00945CF5"/>
    <w:rsid w:val="00945E40"/>
    <w:rsid w:val="00945FAA"/>
    <w:rsid w:val="00945FE6"/>
    <w:rsid w:val="00946097"/>
    <w:rsid w:val="009460A9"/>
    <w:rsid w:val="00946125"/>
    <w:rsid w:val="00946136"/>
    <w:rsid w:val="009461D0"/>
    <w:rsid w:val="009461E0"/>
    <w:rsid w:val="0094625C"/>
    <w:rsid w:val="00946316"/>
    <w:rsid w:val="0094644D"/>
    <w:rsid w:val="0094655C"/>
    <w:rsid w:val="009465C1"/>
    <w:rsid w:val="009465F9"/>
    <w:rsid w:val="009468B5"/>
    <w:rsid w:val="009468E7"/>
    <w:rsid w:val="00946A27"/>
    <w:rsid w:val="00946A46"/>
    <w:rsid w:val="00946B13"/>
    <w:rsid w:val="00946C3B"/>
    <w:rsid w:val="00946DB6"/>
    <w:rsid w:val="00946E5C"/>
    <w:rsid w:val="00946EB4"/>
    <w:rsid w:val="00946F00"/>
    <w:rsid w:val="00946F1E"/>
    <w:rsid w:val="00946F2A"/>
    <w:rsid w:val="00946F66"/>
    <w:rsid w:val="00946F92"/>
    <w:rsid w:val="00947253"/>
    <w:rsid w:val="009472FB"/>
    <w:rsid w:val="00947338"/>
    <w:rsid w:val="009473E3"/>
    <w:rsid w:val="00947508"/>
    <w:rsid w:val="0094757F"/>
    <w:rsid w:val="009476B9"/>
    <w:rsid w:val="0094770D"/>
    <w:rsid w:val="0094771E"/>
    <w:rsid w:val="00947898"/>
    <w:rsid w:val="00947B20"/>
    <w:rsid w:val="00947B2B"/>
    <w:rsid w:val="00947B54"/>
    <w:rsid w:val="00947BA7"/>
    <w:rsid w:val="00947C7A"/>
    <w:rsid w:val="00947CD9"/>
    <w:rsid w:val="00947D38"/>
    <w:rsid w:val="00947E31"/>
    <w:rsid w:val="00947E7B"/>
    <w:rsid w:val="00947EB2"/>
    <w:rsid w:val="0095013B"/>
    <w:rsid w:val="0095014D"/>
    <w:rsid w:val="00950170"/>
    <w:rsid w:val="009501ED"/>
    <w:rsid w:val="0095029D"/>
    <w:rsid w:val="009502E0"/>
    <w:rsid w:val="00950308"/>
    <w:rsid w:val="009503A1"/>
    <w:rsid w:val="0095064E"/>
    <w:rsid w:val="0095066E"/>
    <w:rsid w:val="0095077F"/>
    <w:rsid w:val="00950959"/>
    <w:rsid w:val="009509AD"/>
    <w:rsid w:val="00950A4D"/>
    <w:rsid w:val="00950AC9"/>
    <w:rsid w:val="00950C3A"/>
    <w:rsid w:val="00950CDC"/>
    <w:rsid w:val="00950DF6"/>
    <w:rsid w:val="00950EE1"/>
    <w:rsid w:val="00950EE3"/>
    <w:rsid w:val="00951105"/>
    <w:rsid w:val="00951122"/>
    <w:rsid w:val="009511FD"/>
    <w:rsid w:val="0095139C"/>
    <w:rsid w:val="009513E8"/>
    <w:rsid w:val="00951477"/>
    <w:rsid w:val="0095147D"/>
    <w:rsid w:val="0095156B"/>
    <w:rsid w:val="009515E4"/>
    <w:rsid w:val="00951680"/>
    <w:rsid w:val="0095169D"/>
    <w:rsid w:val="00951777"/>
    <w:rsid w:val="00951B04"/>
    <w:rsid w:val="00951BEE"/>
    <w:rsid w:val="00951CAF"/>
    <w:rsid w:val="00951EF8"/>
    <w:rsid w:val="00951F83"/>
    <w:rsid w:val="00951FA3"/>
    <w:rsid w:val="00951FD5"/>
    <w:rsid w:val="00951FFD"/>
    <w:rsid w:val="00952000"/>
    <w:rsid w:val="009520EB"/>
    <w:rsid w:val="00952176"/>
    <w:rsid w:val="009521CC"/>
    <w:rsid w:val="009522B8"/>
    <w:rsid w:val="00952330"/>
    <w:rsid w:val="009523FF"/>
    <w:rsid w:val="0095240F"/>
    <w:rsid w:val="00952462"/>
    <w:rsid w:val="009525F3"/>
    <w:rsid w:val="009527EE"/>
    <w:rsid w:val="00952935"/>
    <w:rsid w:val="009529E0"/>
    <w:rsid w:val="00952AEF"/>
    <w:rsid w:val="00952B0A"/>
    <w:rsid w:val="00952C56"/>
    <w:rsid w:val="00952E24"/>
    <w:rsid w:val="00952EC5"/>
    <w:rsid w:val="00952FA5"/>
    <w:rsid w:val="00953008"/>
    <w:rsid w:val="0095321E"/>
    <w:rsid w:val="00953247"/>
    <w:rsid w:val="009532DF"/>
    <w:rsid w:val="00953359"/>
    <w:rsid w:val="009533AC"/>
    <w:rsid w:val="0095354A"/>
    <w:rsid w:val="00953587"/>
    <w:rsid w:val="009535DB"/>
    <w:rsid w:val="00953638"/>
    <w:rsid w:val="00953659"/>
    <w:rsid w:val="009536B0"/>
    <w:rsid w:val="0095370C"/>
    <w:rsid w:val="0095382B"/>
    <w:rsid w:val="0095385D"/>
    <w:rsid w:val="009538C8"/>
    <w:rsid w:val="0095396D"/>
    <w:rsid w:val="00953A8B"/>
    <w:rsid w:val="00953B5B"/>
    <w:rsid w:val="00953B6E"/>
    <w:rsid w:val="00953B90"/>
    <w:rsid w:val="00953C37"/>
    <w:rsid w:val="00953D61"/>
    <w:rsid w:val="00953DB9"/>
    <w:rsid w:val="00953E54"/>
    <w:rsid w:val="00953ECD"/>
    <w:rsid w:val="00953EF1"/>
    <w:rsid w:val="00953FB6"/>
    <w:rsid w:val="009541A6"/>
    <w:rsid w:val="009541DF"/>
    <w:rsid w:val="00954286"/>
    <w:rsid w:val="009542FB"/>
    <w:rsid w:val="00954301"/>
    <w:rsid w:val="00954315"/>
    <w:rsid w:val="0095436E"/>
    <w:rsid w:val="00954406"/>
    <w:rsid w:val="00954581"/>
    <w:rsid w:val="00954729"/>
    <w:rsid w:val="0095472C"/>
    <w:rsid w:val="009548BA"/>
    <w:rsid w:val="0095497F"/>
    <w:rsid w:val="00954E5D"/>
    <w:rsid w:val="00954F1A"/>
    <w:rsid w:val="0095505C"/>
    <w:rsid w:val="0095509B"/>
    <w:rsid w:val="009550D6"/>
    <w:rsid w:val="00955165"/>
    <w:rsid w:val="00955247"/>
    <w:rsid w:val="0095524B"/>
    <w:rsid w:val="00955292"/>
    <w:rsid w:val="009552DD"/>
    <w:rsid w:val="00955317"/>
    <w:rsid w:val="00955331"/>
    <w:rsid w:val="00955378"/>
    <w:rsid w:val="00955505"/>
    <w:rsid w:val="00955559"/>
    <w:rsid w:val="009555BD"/>
    <w:rsid w:val="00955765"/>
    <w:rsid w:val="0095577C"/>
    <w:rsid w:val="0095596D"/>
    <w:rsid w:val="00955CB4"/>
    <w:rsid w:val="00955CCD"/>
    <w:rsid w:val="00955D44"/>
    <w:rsid w:val="00955D72"/>
    <w:rsid w:val="00955D76"/>
    <w:rsid w:val="00955DEF"/>
    <w:rsid w:val="00955E47"/>
    <w:rsid w:val="009561DE"/>
    <w:rsid w:val="0095623A"/>
    <w:rsid w:val="0095625D"/>
    <w:rsid w:val="0095628D"/>
    <w:rsid w:val="0095631E"/>
    <w:rsid w:val="00956423"/>
    <w:rsid w:val="0095647A"/>
    <w:rsid w:val="0095649E"/>
    <w:rsid w:val="00956509"/>
    <w:rsid w:val="0095650A"/>
    <w:rsid w:val="0095662E"/>
    <w:rsid w:val="00956932"/>
    <w:rsid w:val="009569AB"/>
    <w:rsid w:val="00956A9D"/>
    <w:rsid w:val="00956AEE"/>
    <w:rsid w:val="00956D4E"/>
    <w:rsid w:val="00956E4D"/>
    <w:rsid w:val="00956F19"/>
    <w:rsid w:val="0095712C"/>
    <w:rsid w:val="009571A2"/>
    <w:rsid w:val="009571D1"/>
    <w:rsid w:val="009572D6"/>
    <w:rsid w:val="009573FA"/>
    <w:rsid w:val="0095747C"/>
    <w:rsid w:val="009574CD"/>
    <w:rsid w:val="00957607"/>
    <w:rsid w:val="0095761A"/>
    <w:rsid w:val="0095766A"/>
    <w:rsid w:val="00957702"/>
    <w:rsid w:val="009577E2"/>
    <w:rsid w:val="0095797C"/>
    <w:rsid w:val="009579F6"/>
    <w:rsid w:val="00957B57"/>
    <w:rsid w:val="00957B7B"/>
    <w:rsid w:val="00957BE0"/>
    <w:rsid w:val="00957C77"/>
    <w:rsid w:val="00957CD6"/>
    <w:rsid w:val="00957CF7"/>
    <w:rsid w:val="00957E35"/>
    <w:rsid w:val="009600D0"/>
    <w:rsid w:val="0096011A"/>
    <w:rsid w:val="0096012F"/>
    <w:rsid w:val="00960283"/>
    <w:rsid w:val="009604E9"/>
    <w:rsid w:val="009605B6"/>
    <w:rsid w:val="0096068B"/>
    <w:rsid w:val="009606D8"/>
    <w:rsid w:val="009608FA"/>
    <w:rsid w:val="009609DE"/>
    <w:rsid w:val="00960A3A"/>
    <w:rsid w:val="00960BD1"/>
    <w:rsid w:val="00960C04"/>
    <w:rsid w:val="00960C7D"/>
    <w:rsid w:val="00960C90"/>
    <w:rsid w:val="00960D04"/>
    <w:rsid w:val="00960D4C"/>
    <w:rsid w:val="00960DD0"/>
    <w:rsid w:val="00960DE1"/>
    <w:rsid w:val="00960EF7"/>
    <w:rsid w:val="00960FCF"/>
    <w:rsid w:val="00961021"/>
    <w:rsid w:val="0096109F"/>
    <w:rsid w:val="009610A5"/>
    <w:rsid w:val="0096114C"/>
    <w:rsid w:val="00961198"/>
    <w:rsid w:val="009611D7"/>
    <w:rsid w:val="0096135E"/>
    <w:rsid w:val="0096148A"/>
    <w:rsid w:val="00961502"/>
    <w:rsid w:val="0096161F"/>
    <w:rsid w:val="00961714"/>
    <w:rsid w:val="0096174A"/>
    <w:rsid w:val="0096179F"/>
    <w:rsid w:val="009618A6"/>
    <w:rsid w:val="0096193E"/>
    <w:rsid w:val="0096198B"/>
    <w:rsid w:val="009619DD"/>
    <w:rsid w:val="00961A67"/>
    <w:rsid w:val="00961ABB"/>
    <w:rsid w:val="00961B9F"/>
    <w:rsid w:val="00961BC8"/>
    <w:rsid w:val="00961BE6"/>
    <w:rsid w:val="00961CD5"/>
    <w:rsid w:val="00961D48"/>
    <w:rsid w:val="00961EBA"/>
    <w:rsid w:val="00961F67"/>
    <w:rsid w:val="00961FAD"/>
    <w:rsid w:val="00962339"/>
    <w:rsid w:val="009623D3"/>
    <w:rsid w:val="009625EB"/>
    <w:rsid w:val="00962639"/>
    <w:rsid w:val="0096265B"/>
    <w:rsid w:val="009627D8"/>
    <w:rsid w:val="009628C7"/>
    <w:rsid w:val="00962DBA"/>
    <w:rsid w:val="00962DE6"/>
    <w:rsid w:val="00962E82"/>
    <w:rsid w:val="00962E90"/>
    <w:rsid w:val="0096302A"/>
    <w:rsid w:val="009630DC"/>
    <w:rsid w:val="00963517"/>
    <w:rsid w:val="00963551"/>
    <w:rsid w:val="00963665"/>
    <w:rsid w:val="00963740"/>
    <w:rsid w:val="00963779"/>
    <w:rsid w:val="00963783"/>
    <w:rsid w:val="009637E3"/>
    <w:rsid w:val="00963855"/>
    <w:rsid w:val="009638DC"/>
    <w:rsid w:val="00963922"/>
    <w:rsid w:val="00963A10"/>
    <w:rsid w:val="00963A4F"/>
    <w:rsid w:val="00963AF7"/>
    <w:rsid w:val="00963C04"/>
    <w:rsid w:val="00963CD1"/>
    <w:rsid w:val="00963ECE"/>
    <w:rsid w:val="00963EEE"/>
    <w:rsid w:val="00963FF4"/>
    <w:rsid w:val="00963FF5"/>
    <w:rsid w:val="0096407F"/>
    <w:rsid w:val="00964109"/>
    <w:rsid w:val="0096414A"/>
    <w:rsid w:val="009641F6"/>
    <w:rsid w:val="00964213"/>
    <w:rsid w:val="0096431F"/>
    <w:rsid w:val="00964339"/>
    <w:rsid w:val="00964343"/>
    <w:rsid w:val="00964364"/>
    <w:rsid w:val="00964499"/>
    <w:rsid w:val="00964678"/>
    <w:rsid w:val="0096477A"/>
    <w:rsid w:val="00964780"/>
    <w:rsid w:val="009647BC"/>
    <w:rsid w:val="00964877"/>
    <w:rsid w:val="00964893"/>
    <w:rsid w:val="009648A1"/>
    <w:rsid w:val="009648CB"/>
    <w:rsid w:val="009648F9"/>
    <w:rsid w:val="00964A3B"/>
    <w:rsid w:val="00964A3C"/>
    <w:rsid w:val="00964B94"/>
    <w:rsid w:val="00964C78"/>
    <w:rsid w:val="00964C8C"/>
    <w:rsid w:val="00964E9F"/>
    <w:rsid w:val="00964F20"/>
    <w:rsid w:val="00964F6A"/>
    <w:rsid w:val="0096507A"/>
    <w:rsid w:val="009651D6"/>
    <w:rsid w:val="00965373"/>
    <w:rsid w:val="00965395"/>
    <w:rsid w:val="009653ED"/>
    <w:rsid w:val="009654A5"/>
    <w:rsid w:val="00965540"/>
    <w:rsid w:val="009656AD"/>
    <w:rsid w:val="00965777"/>
    <w:rsid w:val="0096588A"/>
    <w:rsid w:val="00965A26"/>
    <w:rsid w:val="00965A9B"/>
    <w:rsid w:val="00965AF5"/>
    <w:rsid w:val="00965B3A"/>
    <w:rsid w:val="00965C09"/>
    <w:rsid w:val="00965CEB"/>
    <w:rsid w:val="00966060"/>
    <w:rsid w:val="00966078"/>
    <w:rsid w:val="009660A4"/>
    <w:rsid w:val="00966154"/>
    <w:rsid w:val="009661B6"/>
    <w:rsid w:val="00966203"/>
    <w:rsid w:val="00966264"/>
    <w:rsid w:val="009662D8"/>
    <w:rsid w:val="0096634A"/>
    <w:rsid w:val="009665E5"/>
    <w:rsid w:val="0096667E"/>
    <w:rsid w:val="009666D7"/>
    <w:rsid w:val="00966721"/>
    <w:rsid w:val="00966759"/>
    <w:rsid w:val="00966859"/>
    <w:rsid w:val="00966916"/>
    <w:rsid w:val="00966933"/>
    <w:rsid w:val="00966977"/>
    <w:rsid w:val="00966A68"/>
    <w:rsid w:val="00966B2B"/>
    <w:rsid w:val="00966D23"/>
    <w:rsid w:val="00966EB0"/>
    <w:rsid w:val="00967194"/>
    <w:rsid w:val="0096729C"/>
    <w:rsid w:val="0096737D"/>
    <w:rsid w:val="009673C5"/>
    <w:rsid w:val="0096742E"/>
    <w:rsid w:val="0096746F"/>
    <w:rsid w:val="009674CF"/>
    <w:rsid w:val="009674D0"/>
    <w:rsid w:val="00967736"/>
    <w:rsid w:val="0096791F"/>
    <w:rsid w:val="00967962"/>
    <w:rsid w:val="00967A6F"/>
    <w:rsid w:val="00967BB4"/>
    <w:rsid w:val="00967C06"/>
    <w:rsid w:val="00967CB7"/>
    <w:rsid w:val="00967CFE"/>
    <w:rsid w:val="00967E5F"/>
    <w:rsid w:val="00967E87"/>
    <w:rsid w:val="00967F6F"/>
    <w:rsid w:val="00970062"/>
    <w:rsid w:val="0097009F"/>
    <w:rsid w:val="00970115"/>
    <w:rsid w:val="0097012B"/>
    <w:rsid w:val="009702CA"/>
    <w:rsid w:val="009703A2"/>
    <w:rsid w:val="00970454"/>
    <w:rsid w:val="00970492"/>
    <w:rsid w:val="009705F9"/>
    <w:rsid w:val="00970750"/>
    <w:rsid w:val="00970820"/>
    <w:rsid w:val="00970987"/>
    <w:rsid w:val="00970ABB"/>
    <w:rsid w:val="00970D2E"/>
    <w:rsid w:val="00970DC9"/>
    <w:rsid w:val="00970E16"/>
    <w:rsid w:val="009710FD"/>
    <w:rsid w:val="0097116D"/>
    <w:rsid w:val="009713C3"/>
    <w:rsid w:val="0097161B"/>
    <w:rsid w:val="00971785"/>
    <w:rsid w:val="00971847"/>
    <w:rsid w:val="009718A3"/>
    <w:rsid w:val="00971926"/>
    <w:rsid w:val="00971979"/>
    <w:rsid w:val="009719CC"/>
    <w:rsid w:val="009719DB"/>
    <w:rsid w:val="00971A5C"/>
    <w:rsid w:val="00971B6F"/>
    <w:rsid w:val="00971C7E"/>
    <w:rsid w:val="00971CE0"/>
    <w:rsid w:val="00971CED"/>
    <w:rsid w:val="00971D75"/>
    <w:rsid w:val="00971DA3"/>
    <w:rsid w:val="00971EE2"/>
    <w:rsid w:val="00971EFA"/>
    <w:rsid w:val="00971F30"/>
    <w:rsid w:val="00972080"/>
    <w:rsid w:val="0097209B"/>
    <w:rsid w:val="00972130"/>
    <w:rsid w:val="009721D2"/>
    <w:rsid w:val="00972205"/>
    <w:rsid w:val="009723A4"/>
    <w:rsid w:val="00972461"/>
    <w:rsid w:val="0097246C"/>
    <w:rsid w:val="00972578"/>
    <w:rsid w:val="009725A1"/>
    <w:rsid w:val="00972733"/>
    <w:rsid w:val="0097277F"/>
    <w:rsid w:val="009728F9"/>
    <w:rsid w:val="00972998"/>
    <w:rsid w:val="00972A18"/>
    <w:rsid w:val="00972BA2"/>
    <w:rsid w:val="00972BC8"/>
    <w:rsid w:val="00972C52"/>
    <w:rsid w:val="00972CAD"/>
    <w:rsid w:val="00973224"/>
    <w:rsid w:val="009733FA"/>
    <w:rsid w:val="009736C0"/>
    <w:rsid w:val="00973728"/>
    <w:rsid w:val="00973732"/>
    <w:rsid w:val="00973A10"/>
    <w:rsid w:val="00973B56"/>
    <w:rsid w:val="00973B61"/>
    <w:rsid w:val="00973C1A"/>
    <w:rsid w:val="00973C58"/>
    <w:rsid w:val="00973C5F"/>
    <w:rsid w:val="00973CEB"/>
    <w:rsid w:val="00973D3D"/>
    <w:rsid w:val="00973D49"/>
    <w:rsid w:val="00973D6A"/>
    <w:rsid w:val="00973D79"/>
    <w:rsid w:val="00973DFA"/>
    <w:rsid w:val="00973E95"/>
    <w:rsid w:val="00973EBA"/>
    <w:rsid w:val="00973F08"/>
    <w:rsid w:val="00973FCC"/>
    <w:rsid w:val="0097403B"/>
    <w:rsid w:val="0097405E"/>
    <w:rsid w:val="009740DA"/>
    <w:rsid w:val="0097413C"/>
    <w:rsid w:val="009741AC"/>
    <w:rsid w:val="009741BE"/>
    <w:rsid w:val="0097430E"/>
    <w:rsid w:val="00974418"/>
    <w:rsid w:val="00974453"/>
    <w:rsid w:val="009744B3"/>
    <w:rsid w:val="00974568"/>
    <w:rsid w:val="00974606"/>
    <w:rsid w:val="00974717"/>
    <w:rsid w:val="00974832"/>
    <w:rsid w:val="0097488C"/>
    <w:rsid w:val="00974A4A"/>
    <w:rsid w:val="00974B13"/>
    <w:rsid w:val="00974D36"/>
    <w:rsid w:val="00974DFF"/>
    <w:rsid w:val="00974F4D"/>
    <w:rsid w:val="00974F7C"/>
    <w:rsid w:val="00974F82"/>
    <w:rsid w:val="00975122"/>
    <w:rsid w:val="00975170"/>
    <w:rsid w:val="009751AA"/>
    <w:rsid w:val="009756EF"/>
    <w:rsid w:val="009757FE"/>
    <w:rsid w:val="0097588C"/>
    <w:rsid w:val="00975A1C"/>
    <w:rsid w:val="00975C64"/>
    <w:rsid w:val="00975CD5"/>
    <w:rsid w:val="00975ECD"/>
    <w:rsid w:val="00975F56"/>
    <w:rsid w:val="0097601E"/>
    <w:rsid w:val="00976025"/>
    <w:rsid w:val="009760B5"/>
    <w:rsid w:val="00976120"/>
    <w:rsid w:val="009762FC"/>
    <w:rsid w:val="0097641B"/>
    <w:rsid w:val="00976496"/>
    <w:rsid w:val="009764DF"/>
    <w:rsid w:val="00976797"/>
    <w:rsid w:val="009767FF"/>
    <w:rsid w:val="00976827"/>
    <w:rsid w:val="00976B2A"/>
    <w:rsid w:val="00976BBD"/>
    <w:rsid w:val="00976C4C"/>
    <w:rsid w:val="00976CC6"/>
    <w:rsid w:val="00976D42"/>
    <w:rsid w:val="00976DA0"/>
    <w:rsid w:val="00976DD1"/>
    <w:rsid w:val="00976E89"/>
    <w:rsid w:val="00976E8B"/>
    <w:rsid w:val="009770D5"/>
    <w:rsid w:val="0097724A"/>
    <w:rsid w:val="00977285"/>
    <w:rsid w:val="0097731E"/>
    <w:rsid w:val="00977392"/>
    <w:rsid w:val="009774BD"/>
    <w:rsid w:val="009774E8"/>
    <w:rsid w:val="0097763C"/>
    <w:rsid w:val="00977708"/>
    <w:rsid w:val="00977716"/>
    <w:rsid w:val="00977740"/>
    <w:rsid w:val="009777F9"/>
    <w:rsid w:val="0097782C"/>
    <w:rsid w:val="00977892"/>
    <w:rsid w:val="009779AA"/>
    <w:rsid w:val="00977A0F"/>
    <w:rsid w:val="00977AB5"/>
    <w:rsid w:val="00977B07"/>
    <w:rsid w:val="00977C0F"/>
    <w:rsid w:val="00977C27"/>
    <w:rsid w:val="00977C56"/>
    <w:rsid w:val="00977CDF"/>
    <w:rsid w:val="00977D1E"/>
    <w:rsid w:val="00977E94"/>
    <w:rsid w:val="00977F50"/>
    <w:rsid w:val="00977FC5"/>
    <w:rsid w:val="00980206"/>
    <w:rsid w:val="0098033D"/>
    <w:rsid w:val="00980341"/>
    <w:rsid w:val="009803AA"/>
    <w:rsid w:val="0098047E"/>
    <w:rsid w:val="009804AB"/>
    <w:rsid w:val="009804EB"/>
    <w:rsid w:val="009804F3"/>
    <w:rsid w:val="009805AB"/>
    <w:rsid w:val="009806BE"/>
    <w:rsid w:val="00980938"/>
    <w:rsid w:val="009809A1"/>
    <w:rsid w:val="009809B6"/>
    <w:rsid w:val="00980AB5"/>
    <w:rsid w:val="00980AB7"/>
    <w:rsid w:val="00980BE5"/>
    <w:rsid w:val="00980C1B"/>
    <w:rsid w:val="00980C30"/>
    <w:rsid w:val="00980CA4"/>
    <w:rsid w:val="00980CC2"/>
    <w:rsid w:val="0098105A"/>
    <w:rsid w:val="0098114A"/>
    <w:rsid w:val="009811B3"/>
    <w:rsid w:val="009812E9"/>
    <w:rsid w:val="0098134C"/>
    <w:rsid w:val="00981352"/>
    <w:rsid w:val="009813EE"/>
    <w:rsid w:val="00981486"/>
    <w:rsid w:val="0098159C"/>
    <w:rsid w:val="00981657"/>
    <w:rsid w:val="00981699"/>
    <w:rsid w:val="009816EF"/>
    <w:rsid w:val="00981771"/>
    <w:rsid w:val="0098178E"/>
    <w:rsid w:val="009817DE"/>
    <w:rsid w:val="0098188C"/>
    <w:rsid w:val="009818DF"/>
    <w:rsid w:val="009819A1"/>
    <w:rsid w:val="009819B3"/>
    <w:rsid w:val="00981A11"/>
    <w:rsid w:val="00981B41"/>
    <w:rsid w:val="00981D7D"/>
    <w:rsid w:val="00981E8E"/>
    <w:rsid w:val="00981F2D"/>
    <w:rsid w:val="00981F46"/>
    <w:rsid w:val="00981F7A"/>
    <w:rsid w:val="00982109"/>
    <w:rsid w:val="00982151"/>
    <w:rsid w:val="009821AE"/>
    <w:rsid w:val="009822E3"/>
    <w:rsid w:val="00982302"/>
    <w:rsid w:val="009823B9"/>
    <w:rsid w:val="009823EC"/>
    <w:rsid w:val="0098250A"/>
    <w:rsid w:val="00982535"/>
    <w:rsid w:val="0098254A"/>
    <w:rsid w:val="009827E0"/>
    <w:rsid w:val="009828C6"/>
    <w:rsid w:val="009828D4"/>
    <w:rsid w:val="0098295C"/>
    <w:rsid w:val="00982981"/>
    <w:rsid w:val="0098299A"/>
    <w:rsid w:val="00982B5B"/>
    <w:rsid w:val="00982D5C"/>
    <w:rsid w:val="00982D99"/>
    <w:rsid w:val="00982DA9"/>
    <w:rsid w:val="00982E30"/>
    <w:rsid w:val="00982FA7"/>
    <w:rsid w:val="009830C3"/>
    <w:rsid w:val="00983165"/>
    <w:rsid w:val="009834BD"/>
    <w:rsid w:val="00983796"/>
    <w:rsid w:val="009839E9"/>
    <w:rsid w:val="00983B3F"/>
    <w:rsid w:val="00983B48"/>
    <w:rsid w:val="00983BBB"/>
    <w:rsid w:val="00983C72"/>
    <w:rsid w:val="00983DB4"/>
    <w:rsid w:val="00983E2A"/>
    <w:rsid w:val="00983EFF"/>
    <w:rsid w:val="00983FE1"/>
    <w:rsid w:val="00983FF7"/>
    <w:rsid w:val="0098402D"/>
    <w:rsid w:val="009840B3"/>
    <w:rsid w:val="00984256"/>
    <w:rsid w:val="009842FE"/>
    <w:rsid w:val="00984354"/>
    <w:rsid w:val="0098457E"/>
    <w:rsid w:val="00984581"/>
    <w:rsid w:val="00984644"/>
    <w:rsid w:val="009848D0"/>
    <w:rsid w:val="00984966"/>
    <w:rsid w:val="00984AF8"/>
    <w:rsid w:val="00984BEF"/>
    <w:rsid w:val="00984D37"/>
    <w:rsid w:val="00984E45"/>
    <w:rsid w:val="00984F22"/>
    <w:rsid w:val="00984F51"/>
    <w:rsid w:val="00984F55"/>
    <w:rsid w:val="00984FA8"/>
    <w:rsid w:val="00984FE9"/>
    <w:rsid w:val="0098501F"/>
    <w:rsid w:val="009850A6"/>
    <w:rsid w:val="009850F8"/>
    <w:rsid w:val="00985164"/>
    <w:rsid w:val="0098518B"/>
    <w:rsid w:val="009853E9"/>
    <w:rsid w:val="00985529"/>
    <w:rsid w:val="0098564F"/>
    <w:rsid w:val="009856D5"/>
    <w:rsid w:val="00985904"/>
    <w:rsid w:val="00985919"/>
    <w:rsid w:val="00985988"/>
    <w:rsid w:val="00985A0D"/>
    <w:rsid w:val="00985A54"/>
    <w:rsid w:val="00985AC0"/>
    <w:rsid w:val="00985B04"/>
    <w:rsid w:val="00985C8A"/>
    <w:rsid w:val="00985D32"/>
    <w:rsid w:val="00985D7E"/>
    <w:rsid w:val="00985F34"/>
    <w:rsid w:val="00985FC6"/>
    <w:rsid w:val="009860F3"/>
    <w:rsid w:val="00986178"/>
    <w:rsid w:val="009861A2"/>
    <w:rsid w:val="009861D3"/>
    <w:rsid w:val="009861E7"/>
    <w:rsid w:val="009861FB"/>
    <w:rsid w:val="0098621F"/>
    <w:rsid w:val="00986526"/>
    <w:rsid w:val="00986565"/>
    <w:rsid w:val="0098656F"/>
    <w:rsid w:val="009865E0"/>
    <w:rsid w:val="0098672C"/>
    <w:rsid w:val="0098673E"/>
    <w:rsid w:val="009867E7"/>
    <w:rsid w:val="009868D7"/>
    <w:rsid w:val="009868E6"/>
    <w:rsid w:val="00986AAD"/>
    <w:rsid w:val="00986BBC"/>
    <w:rsid w:val="00986CE8"/>
    <w:rsid w:val="00986F3B"/>
    <w:rsid w:val="009871B4"/>
    <w:rsid w:val="009872C8"/>
    <w:rsid w:val="009873B6"/>
    <w:rsid w:val="009876A1"/>
    <w:rsid w:val="009877EE"/>
    <w:rsid w:val="009877F1"/>
    <w:rsid w:val="0098788D"/>
    <w:rsid w:val="00987931"/>
    <w:rsid w:val="00987AF1"/>
    <w:rsid w:val="00987BBE"/>
    <w:rsid w:val="00987C0F"/>
    <w:rsid w:val="00987C77"/>
    <w:rsid w:val="00987D7B"/>
    <w:rsid w:val="0099000D"/>
    <w:rsid w:val="009901FF"/>
    <w:rsid w:val="009902DE"/>
    <w:rsid w:val="00990378"/>
    <w:rsid w:val="009903AE"/>
    <w:rsid w:val="00990490"/>
    <w:rsid w:val="009905D9"/>
    <w:rsid w:val="00990632"/>
    <w:rsid w:val="009906DD"/>
    <w:rsid w:val="009908CE"/>
    <w:rsid w:val="00990900"/>
    <w:rsid w:val="00990B7E"/>
    <w:rsid w:val="00990BB7"/>
    <w:rsid w:val="00990CAC"/>
    <w:rsid w:val="00990D51"/>
    <w:rsid w:val="00990F7F"/>
    <w:rsid w:val="0099104E"/>
    <w:rsid w:val="009911A4"/>
    <w:rsid w:val="009911D8"/>
    <w:rsid w:val="00991499"/>
    <w:rsid w:val="009914E0"/>
    <w:rsid w:val="00991500"/>
    <w:rsid w:val="009916F6"/>
    <w:rsid w:val="0099177A"/>
    <w:rsid w:val="00991792"/>
    <w:rsid w:val="009917B8"/>
    <w:rsid w:val="00991971"/>
    <w:rsid w:val="00991994"/>
    <w:rsid w:val="00991B2A"/>
    <w:rsid w:val="00991B6A"/>
    <w:rsid w:val="00991BDE"/>
    <w:rsid w:val="00991BF9"/>
    <w:rsid w:val="00991C36"/>
    <w:rsid w:val="00991C65"/>
    <w:rsid w:val="00991CF5"/>
    <w:rsid w:val="00991E75"/>
    <w:rsid w:val="00991EC5"/>
    <w:rsid w:val="009920EE"/>
    <w:rsid w:val="00992128"/>
    <w:rsid w:val="00992209"/>
    <w:rsid w:val="00992232"/>
    <w:rsid w:val="00992247"/>
    <w:rsid w:val="009922B1"/>
    <w:rsid w:val="009922BE"/>
    <w:rsid w:val="00992361"/>
    <w:rsid w:val="009923CE"/>
    <w:rsid w:val="00992459"/>
    <w:rsid w:val="00992487"/>
    <w:rsid w:val="009924A8"/>
    <w:rsid w:val="00992534"/>
    <w:rsid w:val="0099253B"/>
    <w:rsid w:val="00992544"/>
    <w:rsid w:val="009925A7"/>
    <w:rsid w:val="00992653"/>
    <w:rsid w:val="009926C8"/>
    <w:rsid w:val="009926DF"/>
    <w:rsid w:val="009926F3"/>
    <w:rsid w:val="009927F1"/>
    <w:rsid w:val="00992817"/>
    <w:rsid w:val="00992937"/>
    <w:rsid w:val="009929B7"/>
    <w:rsid w:val="00992A2C"/>
    <w:rsid w:val="00992A46"/>
    <w:rsid w:val="00992AFB"/>
    <w:rsid w:val="00992BA5"/>
    <w:rsid w:val="00992CB7"/>
    <w:rsid w:val="00992D09"/>
    <w:rsid w:val="00993108"/>
    <w:rsid w:val="009931A3"/>
    <w:rsid w:val="0099321B"/>
    <w:rsid w:val="00993254"/>
    <w:rsid w:val="0099329D"/>
    <w:rsid w:val="009933AE"/>
    <w:rsid w:val="00993578"/>
    <w:rsid w:val="0099362D"/>
    <w:rsid w:val="009936FF"/>
    <w:rsid w:val="009938B9"/>
    <w:rsid w:val="0099397B"/>
    <w:rsid w:val="00993B33"/>
    <w:rsid w:val="00993D9B"/>
    <w:rsid w:val="00993D9F"/>
    <w:rsid w:val="00993F3F"/>
    <w:rsid w:val="00993F6D"/>
    <w:rsid w:val="00993F7A"/>
    <w:rsid w:val="00993F88"/>
    <w:rsid w:val="00993FD1"/>
    <w:rsid w:val="00994083"/>
    <w:rsid w:val="0099410F"/>
    <w:rsid w:val="0099415E"/>
    <w:rsid w:val="00994284"/>
    <w:rsid w:val="0099432A"/>
    <w:rsid w:val="00994331"/>
    <w:rsid w:val="00994367"/>
    <w:rsid w:val="009943CD"/>
    <w:rsid w:val="00994427"/>
    <w:rsid w:val="009944DA"/>
    <w:rsid w:val="00994556"/>
    <w:rsid w:val="00994586"/>
    <w:rsid w:val="009946D8"/>
    <w:rsid w:val="0099478C"/>
    <w:rsid w:val="0099483E"/>
    <w:rsid w:val="00994869"/>
    <w:rsid w:val="00994ADC"/>
    <w:rsid w:val="00994AEF"/>
    <w:rsid w:val="00994B9B"/>
    <w:rsid w:val="00994BB8"/>
    <w:rsid w:val="00994BFF"/>
    <w:rsid w:val="00994CAB"/>
    <w:rsid w:val="00994D42"/>
    <w:rsid w:val="00994D55"/>
    <w:rsid w:val="00994D8B"/>
    <w:rsid w:val="00994DB2"/>
    <w:rsid w:val="00994E28"/>
    <w:rsid w:val="00994F2A"/>
    <w:rsid w:val="0099502D"/>
    <w:rsid w:val="00995045"/>
    <w:rsid w:val="009951D4"/>
    <w:rsid w:val="009952E6"/>
    <w:rsid w:val="0099530A"/>
    <w:rsid w:val="00995318"/>
    <w:rsid w:val="009953C4"/>
    <w:rsid w:val="0099542A"/>
    <w:rsid w:val="009954FF"/>
    <w:rsid w:val="009955B5"/>
    <w:rsid w:val="00995714"/>
    <w:rsid w:val="0099575E"/>
    <w:rsid w:val="00995787"/>
    <w:rsid w:val="009957EB"/>
    <w:rsid w:val="0099589A"/>
    <w:rsid w:val="00995945"/>
    <w:rsid w:val="009959D9"/>
    <w:rsid w:val="00995B84"/>
    <w:rsid w:val="00995C1B"/>
    <w:rsid w:val="00995C6E"/>
    <w:rsid w:val="00995C82"/>
    <w:rsid w:val="00995CD3"/>
    <w:rsid w:val="00995CF7"/>
    <w:rsid w:val="00995DC8"/>
    <w:rsid w:val="00995E1B"/>
    <w:rsid w:val="00996173"/>
    <w:rsid w:val="009961F6"/>
    <w:rsid w:val="009963C8"/>
    <w:rsid w:val="009963DF"/>
    <w:rsid w:val="009963E0"/>
    <w:rsid w:val="009963EF"/>
    <w:rsid w:val="00996479"/>
    <w:rsid w:val="00996578"/>
    <w:rsid w:val="009965D3"/>
    <w:rsid w:val="00996889"/>
    <w:rsid w:val="00996965"/>
    <w:rsid w:val="00996A74"/>
    <w:rsid w:val="00996AC2"/>
    <w:rsid w:val="00996BC5"/>
    <w:rsid w:val="00996BDB"/>
    <w:rsid w:val="00996CB0"/>
    <w:rsid w:val="00996CB4"/>
    <w:rsid w:val="00996D5B"/>
    <w:rsid w:val="00996D7B"/>
    <w:rsid w:val="00996E32"/>
    <w:rsid w:val="00996E33"/>
    <w:rsid w:val="0099704E"/>
    <w:rsid w:val="009970FA"/>
    <w:rsid w:val="00997116"/>
    <w:rsid w:val="0099714D"/>
    <w:rsid w:val="0099715E"/>
    <w:rsid w:val="009971DC"/>
    <w:rsid w:val="00997676"/>
    <w:rsid w:val="0099768F"/>
    <w:rsid w:val="00997718"/>
    <w:rsid w:val="00997755"/>
    <w:rsid w:val="009977F5"/>
    <w:rsid w:val="00997816"/>
    <w:rsid w:val="00997851"/>
    <w:rsid w:val="00997A21"/>
    <w:rsid w:val="00997B97"/>
    <w:rsid w:val="00997D7A"/>
    <w:rsid w:val="00997FC1"/>
    <w:rsid w:val="00997FED"/>
    <w:rsid w:val="009A0008"/>
    <w:rsid w:val="009A00F1"/>
    <w:rsid w:val="009A01A1"/>
    <w:rsid w:val="009A01E1"/>
    <w:rsid w:val="009A0273"/>
    <w:rsid w:val="009A0450"/>
    <w:rsid w:val="009A0507"/>
    <w:rsid w:val="009A053E"/>
    <w:rsid w:val="009A05A2"/>
    <w:rsid w:val="009A0609"/>
    <w:rsid w:val="009A06C5"/>
    <w:rsid w:val="009A07D4"/>
    <w:rsid w:val="009A087D"/>
    <w:rsid w:val="009A0904"/>
    <w:rsid w:val="009A093D"/>
    <w:rsid w:val="009A09C3"/>
    <w:rsid w:val="009A0A77"/>
    <w:rsid w:val="009A0ACB"/>
    <w:rsid w:val="009A0CDB"/>
    <w:rsid w:val="009A0D06"/>
    <w:rsid w:val="009A0D9E"/>
    <w:rsid w:val="009A0DE8"/>
    <w:rsid w:val="009A0DF7"/>
    <w:rsid w:val="009A0E48"/>
    <w:rsid w:val="009A0E5E"/>
    <w:rsid w:val="009A0EA7"/>
    <w:rsid w:val="009A103D"/>
    <w:rsid w:val="009A10AB"/>
    <w:rsid w:val="009A10E4"/>
    <w:rsid w:val="009A116A"/>
    <w:rsid w:val="009A11A0"/>
    <w:rsid w:val="009A1274"/>
    <w:rsid w:val="009A1390"/>
    <w:rsid w:val="009A1527"/>
    <w:rsid w:val="009A1702"/>
    <w:rsid w:val="009A17CC"/>
    <w:rsid w:val="009A180A"/>
    <w:rsid w:val="009A194C"/>
    <w:rsid w:val="009A19A3"/>
    <w:rsid w:val="009A19EB"/>
    <w:rsid w:val="009A1A45"/>
    <w:rsid w:val="009A1A75"/>
    <w:rsid w:val="009A1CB1"/>
    <w:rsid w:val="009A1CC6"/>
    <w:rsid w:val="009A1DC7"/>
    <w:rsid w:val="009A1E5A"/>
    <w:rsid w:val="009A2111"/>
    <w:rsid w:val="009A21BD"/>
    <w:rsid w:val="009A226B"/>
    <w:rsid w:val="009A22FA"/>
    <w:rsid w:val="009A2440"/>
    <w:rsid w:val="009A251A"/>
    <w:rsid w:val="009A2576"/>
    <w:rsid w:val="009A2676"/>
    <w:rsid w:val="009A2704"/>
    <w:rsid w:val="009A270E"/>
    <w:rsid w:val="009A2800"/>
    <w:rsid w:val="009A285D"/>
    <w:rsid w:val="009A2A4A"/>
    <w:rsid w:val="009A2A80"/>
    <w:rsid w:val="009A2A92"/>
    <w:rsid w:val="009A2AB0"/>
    <w:rsid w:val="009A2BCF"/>
    <w:rsid w:val="009A2D14"/>
    <w:rsid w:val="009A2DA5"/>
    <w:rsid w:val="009A2E95"/>
    <w:rsid w:val="009A31A7"/>
    <w:rsid w:val="009A3232"/>
    <w:rsid w:val="009A323A"/>
    <w:rsid w:val="009A3240"/>
    <w:rsid w:val="009A337E"/>
    <w:rsid w:val="009A3479"/>
    <w:rsid w:val="009A373D"/>
    <w:rsid w:val="009A378E"/>
    <w:rsid w:val="009A3948"/>
    <w:rsid w:val="009A3952"/>
    <w:rsid w:val="009A397F"/>
    <w:rsid w:val="009A3A1D"/>
    <w:rsid w:val="009A3A26"/>
    <w:rsid w:val="009A3C70"/>
    <w:rsid w:val="009A3DA0"/>
    <w:rsid w:val="009A3DBF"/>
    <w:rsid w:val="009A3FEB"/>
    <w:rsid w:val="009A3FFA"/>
    <w:rsid w:val="009A40AA"/>
    <w:rsid w:val="009A40C1"/>
    <w:rsid w:val="009A4149"/>
    <w:rsid w:val="009A423C"/>
    <w:rsid w:val="009A4362"/>
    <w:rsid w:val="009A437E"/>
    <w:rsid w:val="009A453D"/>
    <w:rsid w:val="009A46CA"/>
    <w:rsid w:val="009A470B"/>
    <w:rsid w:val="009A471D"/>
    <w:rsid w:val="009A4731"/>
    <w:rsid w:val="009A4732"/>
    <w:rsid w:val="009A4778"/>
    <w:rsid w:val="009A4887"/>
    <w:rsid w:val="009A48A7"/>
    <w:rsid w:val="009A4AFE"/>
    <w:rsid w:val="009A4B4B"/>
    <w:rsid w:val="009A4C62"/>
    <w:rsid w:val="009A4CB2"/>
    <w:rsid w:val="009A4DBA"/>
    <w:rsid w:val="009A4F41"/>
    <w:rsid w:val="009A4FE6"/>
    <w:rsid w:val="009A5016"/>
    <w:rsid w:val="009A5029"/>
    <w:rsid w:val="009A50DF"/>
    <w:rsid w:val="009A51AB"/>
    <w:rsid w:val="009A52A3"/>
    <w:rsid w:val="009A5418"/>
    <w:rsid w:val="009A54DF"/>
    <w:rsid w:val="009A5559"/>
    <w:rsid w:val="009A5623"/>
    <w:rsid w:val="009A5694"/>
    <w:rsid w:val="009A56B4"/>
    <w:rsid w:val="009A580B"/>
    <w:rsid w:val="009A58F9"/>
    <w:rsid w:val="009A5960"/>
    <w:rsid w:val="009A5984"/>
    <w:rsid w:val="009A59C6"/>
    <w:rsid w:val="009A59D1"/>
    <w:rsid w:val="009A5BA5"/>
    <w:rsid w:val="009A5CE3"/>
    <w:rsid w:val="009A5DE2"/>
    <w:rsid w:val="009A5E08"/>
    <w:rsid w:val="009A5E20"/>
    <w:rsid w:val="009A5E90"/>
    <w:rsid w:val="009A5E93"/>
    <w:rsid w:val="009A5EE6"/>
    <w:rsid w:val="009A5F6A"/>
    <w:rsid w:val="009A6120"/>
    <w:rsid w:val="009A613D"/>
    <w:rsid w:val="009A6327"/>
    <w:rsid w:val="009A635A"/>
    <w:rsid w:val="009A636B"/>
    <w:rsid w:val="009A6472"/>
    <w:rsid w:val="009A64EC"/>
    <w:rsid w:val="009A68DC"/>
    <w:rsid w:val="009A6954"/>
    <w:rsid w:val="009A6995"/>
    <w:rsid w:val="009A6A7F"/>
    <w:rsid w:val="009A6A97"/>
    <w:rsid w:val="009A6BA1"/>
    <w:rsid w:val="009A6DA2"/>
    <w:rsid w:val="009A6E1F"/>
    <w:rsid w:val="009A6F0A"/>
    <w:rsid w:val="009A7032"/>
    <w:rsid w:val="009A7064"/>
    <w:rsid w:val="009A711E"/>
    <w:rsid w:val="009A740E"/>
    <w:rsid w:val="009A7460"/>
    <w:rsid w:val="009A7468"/>
    <w:rsid w:val="009A74B9"/>
    <w:rsid w:val="009A75E0"/>
    <w:rsid w:val="009A76DB"/>
    <w:rsid w:val="009A774D"/>
    <w:rsid w:val="009A7791"/>
    <w:rsid w:val="009A78CA"/>
    <w:rsid w:val="009A78F9"/>
    <w:rsid w:val="009A7926"/>
    <w:rsid w:val="009A79A4"/>
    <w:rsid w:val="009A7AC5"/>
    <w:rsid w:val="009A7BB9"/>
    <w:rsid w:val="009A7BCC"/>
    <w:rsid w:val="009A7BE4"/>
    <w:rsid w:val="009A7D1C"/>
    <w:rsid w:val="009A7D20"/>
    <w:rsid w:val="009A7D7B"/>
    <w:rsid w:val="009A7E62"/>
    <w:rsid w:val="009A7E71"/>
    <w:rsid w:val="009B0154"/>
    <w:rsid w:val="009B018E"/>
    <w:rsid w:val="009B02A9"/>
    <w:rsid w:val="009B0456"/>
    <w:rsid w:val="009B05DA"/>
    <w:rsid w:val="009B05E9"/>
    <w:rsid w:val="009B060F"/>
    <w:rsid w:val="009B061F"/>
    <w:rsid w:val="009B065F"/>
    <w:rsid w:val="009B0770"/>
    <w:rsid w:val="009B0821"/>
    <w:rsid w:val="009B0A2A"/>
    <w:rsid w:val="009B0A33"/>
    <w:rsid w:val="009B0A80"/>
    <w:rsid w:val="009B0AF7"/>
    <w:rsid w:val="009B0AF9"/>
    <w:rsid w:val="009B0BB0"/>
    <w:rsid w:val="009B0C69"/>
    <w:rsid w:val="009B0CE9"/>
    <w:rsid w:val="009B0E43"/>
    <w:rsid w:val="009B0F1E"/>
    <w:rsid w:val="009B0F45"/>
    <w:rsid w:val="009B0F72"/>
    <w:rsid w:val="009B10A8"/>
    <w:rsid w:val="009B10E9"/>
    <w:rsid w:val="009B1213"/>
    <w:rsid w:val="009B133E"/>
    <w:rsid w:val="009B1350"/>
    <w:rsid w:val="009B15E5"/>
    <w:rsid w:val="009B1639"/>
    <w:rsid w:val="009B1755"/>
    <w:rsid w:val="009B185B"/>
    <w:rsid w:val="009B18C8"/>
    <w:rsid w:val="009B1986"/>
    <w:rsid w:val="009B19E1"/>
    <w:rsid w:val="009B1A15"/>
    <w:rsid w:val="009B1A4C"/>
    <w:rsid w:val="009B1AE6"/>
    <w:rsid w:val="009B1E17"/>
    <w:rsid w:val="009B1F5C"/>
    <w:rsid w:val="009B1FA5"/>
    <w:rsid w:val="009B1FF3"/>
    <w:rsid w:val="009B2121"/>
    <w:rsid w:val="009B2219"/>
    <w:rsid w:val="009B2322"/>
    <w:rsid w:val="009B241D"/>
    <w:rsid w:val="009B24B7"/>
    <w:rsid w:val="009B256B"/>
    <w:rsid w:val="009B25B2"/>
    <w:rsid w:val="009B2639"/>
    <w:rsid w:val="009B2665"/>
    <w:rsid w:val="009B2744"/>
    <w:rsid w:val="009B287A"/>
    <w:rsid w:val="009B298D"/>
    <w:rsid w:val="009B2A18"/>
    <w:rsid w:val="009B2AAA"/>
    <w:rsid w:val="009B2B16"/>
    <w:rsid w:val="009B2C1D"/>
    <w:rsid w:val="009B2D88"/>
    <w:rsid w:val="009B2DFD"/>
    <w:rsid w:val="009B2E93"/>
    <w:rsid w:val="009B2F4C"/>
    <w:rsid w:val="009B304F"/>
    <w:rsid w:val="009B3068"/>
    <w:rsid w:val="009B30DE"/>
    <w:rsid w:val="009B3118"/>
    <w:rsid w:val="009B3135"/>
    <w:rsid w:val="009B31E0"/>
    <w:rsid w:val="009B32AF"/>
    <w:rsid w:val="009B3306"/>
    <w:rsid w:val="009B33C6"/>
    <w:rsid w:val="009B340D"/>
    <w:rsid w:val="009B3414"/>
    <w:rsid w:val="009B344C"/>
    <w:rsid w:val="009B3476"/>
    <w:rsid w:val="009B3486"/>
    <w:rsid w:val="009B3689"/>
    <w:rsid w:val="009B3691"/>
    <w:rsid w:val="009B3706"/>
    <w:rsid w:val="009B3806"/>
    <w:rsid w:val="009B38E2"/>
    <w:rsid w:val="009B3A68"/>
    <w:rsid w:val="009B3BE6"/>
    <w:rsid w:val="009B3C66"/>
    <w:rsid w:val="009B3C6D"/>
    <w:rsid w:val="009B3DD6"/>
    <w:rsid w:val="009B3E6A"/>
    <w:rsid w:val="009B3E9C"/>
    <w:rsid w:val="009B3EF7"/>
    <w:rsid w:val="009B405A"/>
    <w:rsid w:val="009B4064"/>
    <w:rsid w:val="009B4082"/>
    <w:rsid w:val="009B40D1"/>
    <w:rsid w:val="009B45E8"/>
    <w:rsid w:val="009B4698"/>
    <w:rsid w:val="009B46B5"/>
    <w:rsid w:val="009B4713"/>
    <w:rsid w:val="009B4793"/>
    <w:rsid w:val="009B4914"/>
    <w:rsid w:val="009B4A4F"/>
    <w:rsid w:val="009B4C31"/>
    <w:rsid w:val="009B4CEA"/>
    <w:rsid w:val="009B4D92"/>
    <w:rsid w:val="009B4E48"/>
    <w:rsid w:val="009B5023"/>
    <w:rsid w:val="009B5025"/>
    <w:rsid w:val="009B5226"/>
    <w:rsid w:val="009B536A"/>
    <w:rsid w:val="009B54B0"/>
    <w:rsid w:val="009B550E"/>
    <w:rsid w:val="009B551E"/>
    <w:rsid w:val="009B5593"/>
    <w:rsid w:val="009B56EA"/>
    <w:rsid w:val="009B57F2"/>
    <w:rsid w:val="009B5999"/>
    <w:rsid w:val="009B5B2B"/>
    <w:rsid w:val="009B5B2E"/>
    <w:rsid w:val="009B5B62"/>
    <w:rsid w:val="009B5BC2"/>
    <w:rsid w:val="009B5BD8"/>
    <w:rsid w:val="009B5FA8"/>
    <w:rsid w:val="009B6214"/>
    <w:rsid w:val="009B62CE"/>
    <w:rsid w:val="009B632E"/>
    <w:rsid w:val="009B6348"/>
    <w:rsid w:val="009B63F2"/>
    <w:rsid w:val="009B6517"/>
    <w:rsid w:val="009B6799"/>
    <w:rsid w:val="009B67C2"/>
    <w:rsid w:val="009B69E0"/>
    <w:rsid w:val="009B69ED"/>
    <w:rsid w:val="009B6BE4"/>
    <w:rsid w:val="009B6D2D"/>
    <w:rsid w:val="009B6E32"/>
    <w:rsid w:val="009B6FA3"/>
    <w:rsid w:val="009B7127"/>
    <w:rsid w:val="009B7163"/>
    <w:rsid w:val="009B71B7"/>
    <w:rsid w:val="009B72CB"/>
    <w:rsid w:val="009B7334"/>
    <w:rsid w:val="009B7385"/>
    <w:rsid w:val="009B7464"/>
    <w:rsid w:val="009B75B9"/>
    <w:rsid w:val="009B7801"/>
    <w:rsid w:val="009B78BA"/>
    <w:rsid w:val="009B7C60"/>
    <w:rsid w:val="009B7D5F"/>
    <w:rsid w:val="009B7D7A"/>
    <w:rsid w:val="009C009C"/>
    <w:rsid w:val="009C01E3"/>
    <w:rsid w:val="009C0245"/>
    <w:rsid w:val="009C05ED"/>
    <w:rsid w:val="009C0654"/>
    <w:rsid w:val="009C07B2"/>
    <w:rsid w:val="009C0A94"/>
    <w:rsid w:val="009C0CD8"/>
    <w:rsid w:val="009C0D2E"/>
    <w:rsid w:val="009C0DD8"/>
    <w:rsid w:val="009C0E70"/>
    <w:rsid w:val="009C0E7D"/>
    <w:rsid w:val="009C0EC2"/>
    <w:rsid w:val="009C0FD9"/>
    <w:rsid w:val="009C1079"/>
    <w:rsid w:val="009C1099"/>
    <w:rsid w:val="009C10EC"/>
    <w:rsid w:val="009C116C"/>
    <w:rsid w:val="009C11FB"/>
    <w:rsid w:val="009C124E"/>
    <w:rsid w:val="009C137A"/>
    <w:rsid w:val="009C1438"/>
    <w:rsid w:val="009C146A"/>
    <w:rsid w:val="009C1606"/>
    <w:rsid w:val="009C183F"/>
    <w:rsid w:val="009C18A1"/>
    <w:rsid w:val="009C195F"/>
    <w:rsid w:val="009C1AC4"/>
    <w:rsid w:val="009C1ADE"/>
    <w:rsid w:val="009C1BC2"/>
    <w:rsid w:val="009C1C9B"/>
    <w:rsid w:val="009C1CB0"/>
    <w:rsid w:val="009C1D2F"/>
    <w:rsid w:val="009C1E90"/>
    <w:rsid w:val="009C1F1A"/>
    <w:rsid w:val="009C1F4E"/>
    <w:rsid w:val="009C1FA8"/>
    <w:rsid w:val="009C1FDC"/>
    <w:rsid w:val="009C20C0"/>
    <w:rsid w:val="009C20F9"/>
    <w:rsid w:val="009C2145"/>
    <w:rsid w:val="009C2209"/>
    <w:rsid w:val="009C2219"/>
    <w:rsid w:val="009C2264"/>
    <w:rsid w:val="009C2287"/>
    <w:rsid w:val="009C2344"/>
    <w:rsid w:val="009C2631"/>
    <w:rsid w:val="009C265B"/>
    <w:rsid w:val="009C2669"/>
    <w:rsid w:val="009C2676"/>
    <w:rsid w:val="009C2738"/>
    <w:rsid w:val="009C275F"/>
    <w:rsid w:val="009C28C1"/>
    <w:rsid w:val="009C29E4"/>
    <w:rsid w:val="009C2A0B"/>
    <w:rsid w:val="009C2A2B"/>
    <w:rsid w:val="009C2A40"/>
    <w:rsid w:val="009C2A9B"/>
    <w:rsid w:val="009C2BB3"/>
    <w:rsid w:val="009C2BC0"/>
    <w:rsid w:val="009C2BC1"/>
    <w:rsid w:val="009C2C54"/>
    <w:rsid w:val="009C2CDA"/>
    <w:rsid w:val="009C2D17"/>
    <w:rsid w:val="009C2E84"/>
    <w:rsid w:val="009C2EF4"/>
    <w:rsid w:val="009C2EFE"/>
    <w:rsid w:val="009C2F29"/>
    <w:rsid w:val="009C2F3C"/>
    <w:rsid w:val="009C3094"/>
    <w:rsid w:val="009C30E4"/>
    <w:rsid w:val="009C333B"/>
    <w:rsid w:val="009C3343"/>
    <w:rsid w:val="009C33A5"/>
    <w:rsid w:val="009C33FE"/>
    <w:rsid w:val="009C34D8"/>
    <w:rsid w:val="009C3536"/>
    <w:rsid w:val="009C3662"/>
    <w:rsid w:val="009C3835"/>
    <w:rsid w:val="009C3A03"/>
    <w:rsid w:val="009C3A5C"/>
    <w:rsid w:val="009C3C52"/>
    <w:rsid w:val="009C3C75"/>
    <w:rsid w:val="009C3E24"/>
    <w:rsid w:val="009C407A"/>
    <w:rsid w:val="009C423F"/>
    <w:rsid w:val="009C43D1"/>
    <w:rsid w:val="009C43E2"/>
    <w:rsid w:val="009C445C"/>
    <w:rsid w:val="009C44B2"/>
    <w:rsid w:val="009C44F1"/>
    <w:rsid w:val="009C4549"/>
    <w:rsid w:val="009C463F"/>
    <w:rsid w:val="009C4726"/>
    <w:rsid w:val="009C4778"/>
    <w:rsid w:val="009C4844"/>
    <w:rsid w:val="009C486A"/>
    <w:rsid w:val="009C48E1"/>
    <w:rsid w:val="009C4B28"/>
    <w:rsid w:val="009C4B93"/>
    <w:rsid w:val="009C4E7C"/>
    <w:rsid w:val="009C4F9D"/>
    <w:rsid w:val="009C4FF1"/>
    <w:rsid w:val="009C5081"/>
    <w:rsid w:val="009C512D"/>
    <w:rsid w:val="009C52DA"/>
    <w:rsid w:val="009C537B"/>
    <w:rsid w:val="009C54B7"/>
    <w:rsid w:val="009C557F"/>
    <w:rsid w:val="009C5588"/>
    <w:rsid w:val="009C5591"/>
    <w:rsid w:val="009C55BE"/>
    <w:rsid w:val="009C5626"/>
    <w:rsid w:val="009C5728"/>
    <w:rsid w:val="009C5887"/>
    <w:rsid w:val="009C58B0"/>
    <w:rsid w:val="009C592C"/>
    <w:rsid w:val="009C59F1"/>
    <w:rsid w:val="009C5AD1"/>
    <w:rsid w:val="009C5CC4"/>
    <w:rsid w:val="009C5D12"/>
    <w:rsid w:val="009C5D87"/>
    <w:rsid w:val="009C5DC1"/>
    <w:rsid w:val="009C5DE0"/>
    <w:rsid w:val="009C600A"/>
    <w:rsid w:val="009C6017"/>
    <w:rsid w:val="009C6053"/>
    <w:rsid w:val="009C60EB"/>
    <w:rsid w:val="009C6383"/>
    <w:rsid w:val="009C646F"/>
    <w:rsid w:val="009C6518"/>
    <w:rsid w:val="009C651D"/>
    <w:rsid w:val="009C66B1"/>
    <w:rsid w:val="009C675B"/>
    <w:rsid w:val="009C675D"/>
    <w:rsid w:val="009C68B9"/>
    <w:rsid w:val="009C6A01"/>
    <w:rsid w:val="009C6A85"/>
    <w:rsid w:val="009C6CEC"/>
    <w:rsid w:val="009C6E21"/>
    <w:rsid w:val="009C72A3"/>
    <w:rsid w:val="009C72B7"/>
    <w:rsid w:val="009C72F7"/>
    <w:rsid w:val="009C731B"/>
    <w:rsid w:val="009C73AF"/>
    <w:rsid w:val="009C73B6"/>
    <w:rsid w:val="009C73CB"/>
    <w:rsid w:val="009C744D"/>
    <w:rsid w:val="009C75EE"/>
    <w:rsid w:val="009C76BA"/>
    <w:rsid w:val="009C76D3"/>
    <w:rsid w:val="009C77A7"/>
    <w:rsid w:val="009C77A8"/>
    <w:rsid w:val="009C7802"/>
    <w:rsid w:val="009C7871"/>
    <w:rsid w:val="009C7887"/>
    <w:rsid w:val="009C790B"/>
    <w:rsid w:val="009C7AAE"/>
    <w:rsid w:val="009C7B48"/>
    <w:rsid w:val="009C7B9D"/>
    <w:rsid w:val="009C7CBD"/>
    <w:rsid w:val="009C7CDB"/>
    <w:rsid w:val="009C7D90"/>
    <w:rsid w:val="009C7DAB"/>
    <w:rsid w:val="009C7DE9"/>
    <w:rsid w:val="009C7F9B"/>
    <w:rsid w:val="009C7FF2"/>
    <w:rsid w:val="009D0088"/>
    <w:rsid w:val="009D026F"/>
    <w:rsid w:val="009D030F"/>
    <w:rsid w:val="009D079E"/>
    <w:rsid w:val="009D07E5"/>
    <w:rsid w:val="009D0819"/>
    <w:rsid w:val="009D0850"/>
    <w:rsid w:val="009D08F1"/>
    <w:rsid w:val="009D0932"/>
    <w:rsid w:val="009D0A2B"/>
    <w:rsid w:val="009D0A64"/>
    <w:rsid w:val="009D0ACD"/>
    <w:rsid w:val="009D0C7C"/>
    <w:rsid w:val="009D0D5C"/>
    <w:rsid w:val="009D0DEF"/>
    <w:rsid w:val="009D0EDB"/>
    <w:rsid w:val="009D0F1F"/>
    <w:rsid w:val="009D10C9"/>
    <w:rsid w:val="009D11F2"/>
    <w:rsid w:val="009D11FA"/>
    <w:rsid w:val="009D122F"/>
    <w:rsid w:val="009D1361"/>
    <w:rsid w:val="009D1378"/>
    <w:rsid w:val="009D13A8"/>
    <w:rsid w:val="009D13C4"/>
    <w:rsid w:val="009D141B"/>
    <w:rsid w:val="009D149C"/>
    <w:rsid w:val="009D14BF"/>
    <w:rsid w:val="009D1513"/>
    <w:rsid w:val="009D16B3"/>
    <w:rsid w:val="009D17EC"/>
    <w:rsid w:val="009D185D"/>
    <w:rsid w:val="009D186D"/>
    <w:rsid w:val="009D18DE"/>
    <w:rsid w:val="009D1B2C"/>
    <w:rsid w:val="009D1B6E"/>
    <w:rsid w:val="009D1BA4"/>
    <w:rsid w:val="009D1BCA"/>
    <w:rsid w:val="009D1C4F"/>
    <w:rsid w:val="009D1D56"/>
    <w:rsid w:val="009D1D7D"/>
    <w:rsid w:val="009D214A"/>
    <w:rsid w:val="009D22B9"/>
    <w:rsid w:val="009D23DA"/>
    <w:rsid w:val="009D27D8"/>
    <w:rsid w:val="009D2811"/>
    <w:rsid w:val="009D2878"/>
    <w:rsid w:val="009D292C"/>
    <w:rsid w:val="009D2932"/>
    <w:rsid w:val="009D2A6A"/>
    <w:rsid w:val="009D2ACA"/>
    <w:rsid w:val="009D2B23"/>
    <w:rsid w:val="009D2B53"/>
    <w:rsid w:val="009D2BE7"/>
    <w:rsid w:val="009D2C3D"/>
    <w:rsid w:val="009D2D8A"/>
    <w:rsid w:val="009D2EF8"/>
    <w:rsid w:val="009D315D"/>
    <w:rsid w:val="009D32FA"/>
    <w:rsid w:val="009D333F"/>
    <w:rsid w:val="009D343D"/>
    <w:rsid w:val="009D352B"/>
    <w:rsid w:val="009D3855"/>
    <w:rsid w:val="009D38E5"/>
    <w:rsid w:val="009D3901"/>
    <w:rsid w:val="009D3B08"/>
    <w:rsid w:val="009D3B6E"/>
    <w:rsid w:val="009D3C71"/>
    <w:rsid w:val="009D3CB0"/>
    <w:rsid w:val="009D3CBE"/>
    <w:rsid w:val="009D3E74"/>
    <w:rsid w:val="009D3F6B"/>
    <w:rsid w:val="009D3FC9"/>
    <w:rsid w:val="009D401E"/>
    <w:rsid w:val="009D4184"/>
    <w:rsid w:val="009D41A6"/>
    <w:rsid w:val="009D42BF"/>
    <w:rsid w:val="009D4417"/>
    <w:rsid w:val="009D44D7"/>
    <w:rsid w:val="009D45F6"/>
    <w:rsid w:val="009D46C0"/>
    <w:rsid w:val="009D4740"/>
    <w:rsid w:val="009D475C"/>
    <w:rsid w:val="009D4861"/>
    <w:rsid w:val="009D4872"/>
    <w:rsid w:val="009D4882"/>
    <w:rsid w:val="009D4AC5"/>
    <w:rsid w:val="009D4B1F"/>
    <w:rsid w:val="009D4CC0"/>
    <w:rsid w:val="009D4D2D"/>
    <w:rsid w:val="009D4D70"/>
    <w:rsid w:val="009D4DE6"/>
    <w:rsid w:val="009D5098"/>
    <w:rsid w:val="009D516D"/>
    <w:rsid w:val="009D51B2"/>
    <w:rsid w:val="009D51F9"/>
    <w:rsid w:val="009D5246"/>
    <w:rsid w:val="009D54B2"/>
    <w:rsid w:val="009D54FD"/>
    <w:rsid w:val="009D555B"/>
    <w:rsid w:val="009D5799"/>
    <w:rsid w:val="009D57C4"/>
    <w:rsid w:val="009D596D"/>
    <w:rsid w:val="009D5A61"/>
    <w:rsid w:val="009D5D75"/>
    <w:rsid w:val="009D5E14"/>
    <w:rsid w:val="009D5F35"/>
    <w:rsid w:val="009D5F4E"/>
    <w:rsid w:val="009D609C"/>
    <w:rsid w:val="009D619B"/>
    <w:rsid w:val="009D61DB"/>
    <w:rsid w:val="009D6266"/>
    <w:rsid w:val="009D62D5"/>
    <w:rsid w:val="009D631C"/>
    <w:rsid w:val="009D6633"/>
    <w:rsid w:val="009D6772"/>
    <w:rsid w:val="009D67E4"/>
    <w:rsid w:val="009D6812"/>
    <w:rsid w:val="009D69F3"/>
    <w:rsid w:val="009D6A48"/>
    <w:rsid w:val="009D6BCC"/>
    <w:rsid w:val="009D6C05"/>
    <w:rsid w:val="009D6E4B"/>
    <w:rsid w:val="009D6FCB"/>
    <w:rsid w:val="009D6FD0"/>
    <w:rsid w:val="009D6FFB"/>
    <w:rsid w:val="009D7063"/>
    <w:rsid w:val="009D70D3"/>
    <w:rsid w:val="009D7461"/>
    <w:rsid w:val="009D750A"/>
    <w:rsid w:val="009D7542"/>
    <w:rsid w:val="009D7544"/>
    <w:rsid w:val="009D7555"/>
    <w:rsid w:val="009D75BB"/>
    <w:rsid w:val="009D7679"/>
    <w:rsid w:val="009D78DE"/>
    <w:rsid w:val="009D78E0"/>
    <w:rsid w:val="009D78EC"/>
    <w:rsid w:val="009D78F6"/>
    <w:rsid w:val="009D7987"/>
    <w:rsid w:val="009D79ED"/>
    <w:rsid w:val="009D7A2E"/>
    <w:rsid w:val="009D7B88"/>
    <w:rsid w:val="009D7BB1"/>
    <w:rsid w:val="009D7C43"/>
    <w:rsid w:val="009D7C90"/>
    <w:rsid w:val="009D7CBF"/>
    <w:rsid w:val="009D7D56"/>
    <w:rsid w:val="009D7D5A"/>
    <w:rsid w:val="009D7D63"/>
    <w:rsid w:val="009D7DCE"/>
    <w:rsid w:val="009D7F46"/>
    <w:rsid w:val="009E009D"/>
    <w:rsid w:val="009E012D"/>
    <w:rsid w:val="009E029A"/>
    <w:rsid w:val="009E02A9"/>
    <w:rsid w:val="009E0337"/>
    <w:rsid w:val="009E03CA"/>
    <w:rsid w:val="009E0496"/>
    <w:rsid w:val="009E04AE"/>
    <w:rsid w:val="009E0565"/>
    <w:rsid w:val="009E0794"/>
    <w:rsid w:val="009E0826"/>
    <w:rsid w:val="009E0861"/>
    <w:rsid w:val="009E08AE"/>
    <w:rsid w:val="009E08FB"/>
    <w:rsid w:val="009E090E"/>
    <w:rsid w:val="009E0B0A"/>
    <w:rsid w:val="009E0B32"/>
    <w:rsid w:val="009E0BBD"/>
    <w:rsid w:val="009E0C4C"/>
    <w:rsid w:val="009E0CC4"/>
    <w:rsid w:val="009E117A"/>
    <w:rsid w:val="009E1188"/>
    <w:rsid w:val="009E126E"/>
    <w:rsid w:val="009E1294"/>
    <w:rsid w:val="009E13D1"/>
    <w:rsid w:val="009E155F"/>
    <w:rsid w:val="009E159D"/>
    <w:rsid w:val="009E16C8"/>
    <w:rsid w:val="009E174D"/>
    <w:rsid w:val="009E18A2"/>
    <w:rsid w:val="009E18DA"/>
    <w:rsid w:val="009E1986"/>
    <w:rsid w:val="009E1987"/>
    <w:rsid w:val="009E198C"/>
    <w:rsid w:val="009E1C70"/>
    <w:rsid w:val="009E1CE5"/>
    <w:rsid w:val="009E1D20"/>
    <w:rsid w:val="009E1DD1"/>
    <w:rsid w:val="009E1F1E"/>
    <w:rsid w:val="009E2010"/>
    <w:rsid w:val="009E2045"/>
    <w:rsid w:val="009E20E9"/>
    <w:rsid w:val="009E2230"/>
    <w:rsid w:val="009E2345"/>
    <w:rsid w:val="009E234F"/>
    <w:rsid w:val="009E23FC"/>
    <w:rsid w:val="009E2506"/>
    <w:rsid w:val="009E2556"/>
    <w:rsid w:val="009E2651"/>
    <w:rsid w:val="009E26A4"/>
    <w:rsid w:val="009E2746"/>
    <w:rsid w:val="009E27CD"/>
    <w:rsid w:val="009E27D0"/>
    <w:rsid w:val="009E288F"/>
    <w:rsid w:val="009E28F2"/>
    <w:rsid w:val="009E29F3"/>
    <w:rsid w:val="009E2AAE"/>
    <w:rsid w:val="009E2EC6"/>
    <w:rsid w:val="009E2ED7"/>
    <w:rsid w:val="009E2F1E"/>
    <w:rsid w:val="009E2FED"/>
    <w:rsid w:val="009E309A"/>
    <w:rsid w:val="009E313E"/>
    <w:rsid w:val="009E3190"/>
    <w:rsid w:val="009E31B1"/>
    <w:rsid w:val="009E32A8"/>
    <w:rsid w:val="009E3328"/>
    <w:rsid w:val="009E339F"/>
    <w:rsid w:val="009E346D"/>
    <w:rsid w:val="009E3505"/>
    <w:rsid w:val="009E3528"/>
    <w:rsid w:val="009E354F"/>
    <w:rsid w:val="009E3658"/>
    <w:rsid w:val="009E36FE"/>
    <w:rsid w:val="009E376C"/>
    <w:rsid w:val="009E379B"/>
    <w:rsid w:val="009E37C3"/>
    <w:rsid w:val="009E39C7"/>
    <w:rsid w:val="009E39E2"/>
    <w:rsid w:val="009E3A21"/>
    <w:rsid w:val="009E3A26"/>
    <w:rsid w:val="009E3A6E"/>
    <w:rsid w:val="009E3BD1"/>
    <w:rsid w:val="009E3C3F"/>
    <w:rsid w:val="009E3D8C"/>
    <w:rsid w:val="009E3F7D"/>
    <w:rsid w:val="009E3FA3"/>
    <w:rsid w:val="009E4175"/>
    <w:rsid w:val="009E4214"/>
    <w:rsid w:val="009E42A1"/>
    <w:rsid w:val="009E42C1"/>
    <w:rsid w:val="009E441A"/>
    <w:rsid w:val="009E4420"/>
    <w:rsid w:val="009E4473"/>
    <w:rsid w:val="009E449A"/>
    <w:rsid w:val="009E44A2"/>
    <w:rsid w:val="009E45A3"/>
    <w:rsid w:val="009E45B7"/>
    <w:rsid w:val="009E466B"/>
    <w:rsid w:val="009E47CD"/>
    <w:rsid w:val="009E48DC"/>
    <w:rsid w:val="009E494E"/>
    <w:rsid w:val="009E4BA2"/>
    <w:rsid w:val="009E4DC9"/>
    <w:rsid w:val="009E4DD3"/>
    <w:rsid w:val="009E4E07"/>
    <w:rsid w:val="009E4F0F"/>
    <w:rsid w:val="009E5294"/>
    <w:rsid w:val="009E53B8"/>
    <w:rsid w:val="009E53DD"/>
    <w:rsid w:val="009E551C"/>
    <w:rsid w:val="009E55C8"/>
    <w:rsid w:val="009E5638"/>
    <w:rsid w:val="009E5651"/>
    <w:rsid w:val="009E56E4"/>
    <w:rsid w:val="009E5891"/>
    <w:rsid w:val="009E58AE"/>
    <w:rsid w:val="009E5992"/>
    <w:rsid w:val="009E59E9"/>
    <w:rsid w:val="009E5B7D"/>
    <w:rsid w:val="009E5C4F"/>
    <w:rsid w:val="009E5C7A"/>
    <w:rsid w:val="009E5D2A"/>
    <w:rsid w:val="009E5E12"/>
    <w:rsid w:val="009E5EE0"/>
    <w:rsid w:val="009E5F28"/>
    <w:rsid w:val="009E60B6"/>
    <w:rsid w:val="009E60F2"/>
    <w:rsid w:val="009E61E1"/>
    <w:rsid w:val="009E62F6"/>
    <w:rsid w:val="009E632E"/>
    <w:rsid w:val="009E6392"/>
    <w:rsid w:val="009E6625"/>
    <w:rsid w:val="009E6636"/>
    <w:rsid w:val="009E666F"/>
    <w:rsid w:val="009E6786"/>
    <w:rsid w:val="009E67A0"/>
    <w:rsid w:val="009E6826"/>
    <w:rsid w:val="009E692E"/>
    <w:rsid w:val="009E6ADE"/>
    <w:rsid w:val="009E6BAA"/>
    <w:rsid w:val="009E6CF3"/>
    <w:rsid w:val="009E6EB4"/>
    <w:rsid w:val="009E6F2A"/>
    <w:rsid w:val="009E6F39"/>
    <w:rsid w:val="009E6FD0"/>
    <w:rsid w:val="009E7068"/>
    <w:rsid w:val="009E709D"/>
    <w:rsid w:val="009E7105"/>
    <w:rsid w:val="009E716D"/>
    <w:rsid w:val="009E728C"/>
    <w:rsid w:val="009E738B"/>
    <w:rsid w:val="009E73DB"/>
    <w:rsid w:val="009E74BD"/>
    <w:rsid w:val="009E74DB"/>
    <w:rsid w:val="009E750A"/>
    <w:rsid w:val="009E7599"/>
    <w:rsid w:val="009E7605"/>
    <w:rsid w:val="009E7663"/>
    <w:rsid w:val="009E768B"/>
    <w:rsid w:val="009E76DD"/>
    <w:rsid w:val="009E7808"/>
    <w:rsid w:val="009E781B"/>
    <w:rsid w:val="009E7AEC"/>
    <w:rsid w:val="009E7B12"/>
    <w:rsid w:val="009E7CFF"/>
    <w:rsid w:val="009E7D24"/>
    <w:rsid w:val="009E7DD7"/>
    <w:rsid w:val="009E7EDE"/>
    <w:rsid w:val="009E7F22"/>
    <w:rsid w:val="009E7FF0"/>
    <w:rsid w:val="009F0027"/>
    <w:rsid w:val="009F002B"/>
    <w:rsid w:val="009F0071"/>
    <w:rsid w:val="009F00F9"/>
    <w:rsid w:val="009F0102"/>
    <w:rsid w:val="009F01F7"/>
    <w:rsid w:val="009F0209"/>
    <w:rsid w:val="009F02A6"/>
    <w:rsid w:val="009F02B2"/>
    <w:rsid w:val="009F02E8"/>
    <w:rsid w:val="009F03B7"/>
    <w:rsid w:val="009F0474"/>
    <w:rsid w:val="009F050E"/>
    <w:rsid w:val="009F0515"/>
    <w:rsid w:val="009F05D6"/>
    <w:rsid w:val="009F069C"/>
    <w:rsid w:val="009F0707"/>
    <w:rsid w:val="009F07C3"/>
    <w:rsid w:val="009F081E"/>
    <w:rsid w:val="009F082C"/>
    <w:rsid w:val="009F092B"/>
    <w:rsid w:val="009F0C0A"/>
    <w:rsid w:val="009F0DAC"/>
    <w:rsid w:val="009F0E89"/>
    <w:rsid w:val="009F0EBD"/>
    <w:rsid w:val="009F0ECF"/>
    <w:rsid w:val="009F0EF2"/>
    <w:rsid w:val="009F0F77"/>
    <w:rsid w:val="009F0FB8"/>
    <w:rsid w:val="009F1012"/>
    <w:rsid w:val="009F11D3"/>
    <w:rsid w:val="009F12FC"/>
    <w:rsid w:val="009F13AA"/>
    <w:rsid w:val="009F1588"/>
    <w:rsid w:val="009F16BB"/>
    <w:rsid w:val="009F18B1"/>
    <w:rsid w:val="009F1B11"/>
    <w:rsid w:val="009F1B27"/>
    <w:rsid w:val="009F1BAB"/>
    <w:rsid w:val="009F1C28"/>
    <w:rsid w:val="009F1C91"/>
    <w:rsid w:val="009F1DAD"/>
    <w:rsid w:val="009F1DBB"/>
    <w:rsid w:val="009F2153"/>
    <w:rsid w:val="009F241D"/>
    <w:rsid w:val="009F2574"/>
    <w:rsid w:val="009F25BA"/>
    <w:rsid w:val="009F25EB"/>
    <w:rsid w:val="009F25FF"/>
    <w:rsid w:val="009F26C5"/>
    <w:rsid w:val="009F27FD"/>
    <w:rsid w:val="009F282B"/>
    <w:rsid w:val="009F28EE"/>
    <w:rsid w:val="009F29E1"/>
    <w:rsid w:val="009F2B33"/>
    <w:rsid w:val="009F2C0E"/>
    <w:rsid w:val="009F2C67"/>
    <w:rsid w:val="009F2DAA"/>
    <w:rsid w:val="009F2E48"/>
    <w:rsid w:val="009F2E79"/>
    <w:rsid w:val="009F2F18"/>
    <w:rsid w:val="009F2F4A"/>
    <w:rsid w:val="009F2F71"/>
    <w:rsid w:val="009F321E"/>
    <w:rsid w:val="009F3295"/>
    <w:rsid w:val="009F342D"/>
    <w:rsid w:val="009F3466"/>
    <w:rsid w:val="009F353E"/>
    <w:rsid w:val="009F356B"/>
    <w:rsid w:val="009F35CD"/>
    <w:rsid w:val="009F3670"/>
    <w:rsid w:val="009F36D0"/>
    <w:rsid w:val="009F3742"/>
    <w:rsid w:val="009F37CC"/>
    <w:rsid w:val="009F3883"/>
    <w:rsid w:val="009F3918"/>
    <w:rsid w:val="009F3997"/>
    <w:rsid w:val="009F39CE"/>
    <w:rsid w:val="009F39E2"/>
    <w:rsid w:val="009F39FE"/>
    <w:rsid w:val="009F3A4B"/>
    <w:rsid w:val="009F3BD9"/>
    <w:rsid w:val="009F3C3D"/>
    <w:rsid w:val="009F3D05"/>
    <w:rsid w:val="009F3F37"/>
    <w:rsid w:val="009F3FDD"/>
    <w:rsid w:val="009F405D"/>
    <w:rsid w:val="009F40BF"/>
    <w:rsid w:val="009F40E7"/>
    <w:rsid w:val="009F4381"/>
    <w:rsid w:val="009F4388"/>
    <w:rsid w:val="009F43AC"/>
    <w:rsid w:val="009F43AF"/>
    <w:rsid w:val="009F43B5"/>
    <w:rsid w:val="009F43D9"/>
    <w:rsid w:val="009F4652"/>
    <w:rsid w:val="009F4654"/>
    <w:rsid w:val="009F47EC"/>
    <w:rsid w:val="009F4860"/>
    <w:rsid w:val="009F4900"/>
    <w:rsid w:val="009F4909"/>
    <w:rsid w:val="009F4921"/>
    <w:rsid w:val="009F4AC6"/>
    <w:rsid w:val="009F4B12"/>
    <w:rsid w:val="009F4B2C"/>
    <w:rsid w:val="009F4BE4"/>
    <w:rsid w:val="009F4D79"/>
    <w:rsid w:val="009F4ED8"/>
    <w:rsid w:val="009F4FB7"/>
    <w:rsid w:val="009F5133"/>
    <w:rsid w:val="009F516D"/>
    <w:rsid w:val="009F5280"/>
    <w:rsid w:val="009F530F"/>
    <w:rsid w:val="009F56B2"/>
    <w:rsid w:val="009F577B"/>
    <w:rsid w:val="009F5793"/>
    <w:rsid w:val="009F5936"/>
    <w:rsid w:val="009F5AE3"/>
    <w:rsid w:val="009F5B23"/>
    <w:rsid w:val="009F5BC6"/>
    <w:rsid w:val="009F5C4D"/>
    <w:rsid w:val="009F5C80"/>
    <w:rsid w:val="009F5C82"/>
    <w:rsid w:val="009F5C95"/>
    <w:rsid w:val="009F5CD0"/>
    <w:rsid w:val="009F5CEF"/>
    <w:rsid w:val="009F5E06"/>
    <w:rsid w:val="009F6050"/>
    <w:rsid w:val="009F60CB"/>
    <w:rsid w:val="009F60D0"/>
    <w:rsid w:val="009F60FA"/>
    <w:rsid w:val="009F61B1"/>
    <w:rsid w:val="009F61FF"/>
    <w:rsid w:val="009F625F"/>
    <w:rsid w:val="009F6398"/>
    <w:rsid w:val="009F647B"/>
    <w:rsid w:val="009F654C"/>
    <w:rsid w:val="009F6662"/>
    <w:rsid w:val="009F6698"/>
    <w:rsid w:val="009F673A"/>
    <w:rsid w:val="009F6A1F"/>
    <w:rsid w:val="009F6A3F"/>
    <w:rsid w:val="009F6A73"/>
    <w:rsid w:val="009F6B6D"/>
    <w:rsid w:val="009F6D71"/>
    <w:rsid w:val="009F6D87"/>
    <w:rsid w:val="009F6DAC"/>
    <w:rsid w:val="009F6DBB"/>
    <w:rsid w:val="009F6F76"/>
    <w:rsid w:val="009F7087"/>
    <w:rsid w:val="009F709A"/>
    <w:rsid w:val="009F726A"/>
    <w:rsid w:val="009F73CD"/>
    <w:rsid w:val="009F7438"/>
    <w:rsid w:val="009F746D"/>
    <w:rsid w:val="009F7507"/>
    <w:rsid w:val="009F7552"/>
    <w:rsid w:val="009F771A"/>
    <w:rsid w:val="009F77A6"/>
    <w:rsid w:val="009F782D"/>
    <w:rsid w:val="009F7842"/>
    <w:rsid w:val="009F7969"/>
    <w:rsid w:val="009F79C7"/>
    <w:rsid w:val="009F7A17"/>
    <w:rsid w:val="009F7C1D"/>
    <w:rsid w:val="009F7C86"/>
    <w:rsid w:val="009F7DD1"/>
    <w:rsid w:val="009F7F55"/>
    <w:rsid w:val="009F7FBB"/>
    <w:rsid w:val="009F93D3"/>
    <w:rsid w:val="00A000CB"/>
    <w:rsid w:val="00A0012D"/>
    <w:rsid w:val="00A00139"/>
    <w:rsid w:val="00A00287"/>
    <w:rsid w:val="00A002D6"/>
    <w:rsid w:val="00A00469"/>
    <w:rsid w:val="00A0075B"/>
    <w:rsid w:val="00A00930"/>
    <w:rsid w:val="00A00A18"/>
    <w:rsid w:val="00A00B90"/>
    <w:rsid w:val="00A00BD9"/>
    <w:rsid w:val="00A00C12"/>
    <w:rsid w:val="00A00C53"/>
    <w:rsid w:val="00A00CDC"/>
    <w:rsid w:val="00A00DC6"/>
    <w:rsid w:val="00A00DCD"/>
    <w:rsid w:val="00A00E29"/>
    <w:rsid w:val="00A00F18"/>
    <w:rsid w:val="00A00F97"/>
    <w:rsid w:val="00A01008"/>
    <w:rsid w:val="00A01040"/>
    <w:rsid w:val="00A0108E"/>
    <w:rsid w:val="00A010D9"/>
    <w:rsid w:val="00A0113B"/>
    <w:rsid w:val="00A0126C"/>
    <w:rsid w:val="00A0147B"/>
    <w:rsid w:val="00A01562"/>
    <w:rsid w:val="00A015A2"/>
    <w:rsid w:val="00A0185F"/>
    <w:rsid w:val="00A018A1"/>
    <w:rsid w:val="00A018BB"/>
    <w:rsid w:val="00A01BC6"/>
    <w:rsid w:val="00A01E37"/>
    <w:rsid w:val="00A01EDB"/>
    <w:rsid w:val="00A01F3C"/>
    <w:rsid w:val="00A01F48"/>
    <w:rsid w:val="00A01F85"/>
    <w:rsid w:val="00A0204D"/>
    <w:rsid w:val="00A020DC"/>
    <w:rsid w:val="00A02142"/>
    <w:rsid w:val="00A0219F"/>
    <w:rsid w:val="00A02268"/>
    <w:rsid w:val="00A0234D"/>
    <w:rsid w:val="00A024A0"/>
    <w:rsid w:val="00A024E4"/>
    <w:rsid w:val="00A0257B"/>
    <w:rsid w:val="00A025A8"/>
    <w:rsid w:val="00A025AF"/>
    <w:rsid w:val="00A0262C"/>
    <w:rsid w:val="00A02731"/>
    <w:rsid w:val="00A02733"/>
    <w:rsid w:val="00A027C0"/>
    <w:rsid w:val="00A0283F"/>
    <w:rsid w:val="00A028BA"/>
    <w:rsid w:val="00A028C1"/>
    <w:rsid w:val="00A028EC"/>
    <w:rsid w:val="00A028FB"/>
    <w:rsid w:val="00A02986"/>
    <w:rsid w:val="00A029DE"/>
    <w:rsid w:val="00A02A20"/>
    <w:rsid w:val="00A02AF0"/>
    <w:rsid w:val="00A02B40"/>
    <w:rsid w:val="00A02B89"/>
    <w:rsid w:val="00A02C12"/>
    <w:rsid w:val="00A02C7D"/>
    <w:rsid w:val="00A02C93"/>
    <w:rsid w:val="00A02CA1"/>
    <w:rsid w:val="00A02D42"/>
    <w:rsid w:val="00A02DDF"/>
    <w:rsid w:val="00A02E72"/>
    <w:rsid w:val="00A02ED1"/>
    <w:rsid w:val="00A0303A"/>
    <w:rsid w:val="00A0303E"/>
    <w:rsid w:val="00A03064"/>
    <w:rsid w:val="00A032BF"/>
    <w:rsid w:val="00A0330C"/>
    <w:rsid w:val="00A03323"/>
    <w:rsid w:val="00A0337E"/>
    <w:rsid w:val="00A0344E"/>
    <w:rsid w:val="00A03586"/>
    <w:rsid w:val="00A036A6"/>
    <w:rsid w:val="00A036A8"/>
    <w:rsid w:val="00A0386F"/>
    <w:rsid w:val="00A03882"/>
    <w:rsid w:val="00A0388C"/>
    <w:rsid w:val="00A03891"/>
    <w:rsid w:val="00A038CB"/>
    <w:rsid w:val="00A03923"/>
    <w:rsid w:val="00A039D0"/>
    <w:rsid w:val="00A039F4"/>
    <w:rsid w:val="00A03AB7"/>
    <w:rsid w:val="00A03AEE"/>
    <w:rsid w:val="00A03BA3"/>
    <w:rsid w:val="00A03C0B"/>
    <w:rsid w:val="00A03C99"/>
    <w:rsid w:val="00A03D24"/>
    <w:rsid w:val="00A03E22"/>
    <w:rsid w:val="00A03E66"/>
    <w:rsid w:val="00A03ED8"/>
    <w:rsid w:val="00A041D4"/>
    <w:rsid w:val="00A04260"/>
    <w:rsid w:val="00A0431A"/>
    <w:rsid w:val="00A043F2"/>
    <w:rsid w:val="00A04488"/>
    <w:rsid w:val="00A044B5"/>
    <w:rsid w:val="00A044E2"/>
    <w:rsid w:val="00A04612"/>
    <w:rsid w:val="00A047AD"/>
    <w:rsid w:val="00A04AD2"/>
    <w:rsid w:val="00A04C21"/>
    <w:rsid w:val="00A04C7D"/>
    <w:rsid w:val="00A04C9C"/>
    <w:rsid w:val="00A04E4D"/>
    <w:rsid w:val="00A04E66"/>
    <w:rsid w:val="00A04E68"/>
    <w:rsid w:val="00A04F22"/>
    <w:rsid w:val="00A04FF2"/>
    <w:rsid w:val="00A051D3"/>
    <w:rsid w:val="00A05348"/>
    <w:rsid w:val="00A05486"/>
    <w:rsid w:val="00A054DF"/>
    <w:rsid w:val="00A0582F"/>
    <w:rsid w:val="00A05B69"/>
    <w:rsid w:val="00A05C12"/>
    <w:rsid w:val="00A05D46"/>
    <w:rsid w:val="00A05D72"/>
    <w:rsid w:val="00A05D86"/>
    <w:rsid w:val="00A05E85"/>
    <w:rsid w:val="00A05EA6"/>
    <w:rsid w:val="00A05F37"/>
    <w:rsid w:val="00A0600A"/>
    <w:rsid w:val="00A0612F"/>
    <w:rsid w:val="00A06171"/>
    <w:rsid w:val="00A06269"/>
    <w:rsid w:val="00A0627E"/>
    <w:rsid w:val="00A0631B"/>
    <w:rsid w:val="00A06365"/>
    <w:rsid w:val="00A06368"/>
    <w:rsid w:val="00A064C0"/>
    <w:rsid w:val="00A06623"/>
    <w:rsid w:val="00A06704"/>
    <w:rsid w:val="00A06708"/>
    <w:rsid w:val="00A0681F"/>
    <w:rsid w:val="00A0689D"/>
    <w:rsid w:val="00A06985"/>
    <w:rsid w:val="00A06B4C"/>
    <w:rsid w:val="00A06E05"/>
    <w:rsid w:val="00A06FB3"/>
    <w:rsid w:val="00A0717B"/>
    <w:rsid w:val="00A071B1"/>
    <w:rsid w:val="00A071E4"/>
    <w:rsid w:val="00A07266"/>
    <w:rsid w:val="00A0728C"/>
    <w:rsid w:val="00A072AC"/>
    <w:rsid w:val="00A07330"/>
    <w:rsid w:val="00A0735B"/>
    <w:rsid w:val="00A0736E"/>
    <w:rsid w:val="00A0745B"/>
    <w:rsid w:val="00A074E0"/>
    <w:rsid w:val="00A07584"/>
    <w:rsid w:val="00A075CF"/>
    <w:rsid w:val="00A07708"/>
    <w:rsid w:val="00A0778A"/>
    <w:rsid w:val="00A0787E"/>
    <w:rsid w:val="00A078DE"/>
    <w:rsid w:val="00A07A92"/>
    <w:rsid w:val="00A07AA0"/>
    <w:rsid w:val="00A07B09"/>
    <w:rsid w:val="00A07B35"/>
    <w:rsid w:val="00A07B85"/>
    <w:rsid w:val="00A07BC6"/>
    <w:rsid w:val="00A07CAF"/>
    <w:rsid w:val="00A07DBC"/>
    <w:rsid w:val="00A07DC3"/>
    <w:rsid w:val="00A07FE9"/>
    <w:rsid w:val="00A10012"/>
    <w:rsid w:val="00A1005C"/>
    <w:rsid w:val="00A10074"/>
    <w:rsid w:val="00A1027E"/>
    <w:rsid w:val="00A1045B"/>
    <w:rsid w:val="00A10720"/>
    <w:rsid w:val="00A108B3"/>
    <w:rsid w:val="00A1093F"/>
    <w:rsid w:val="00A10942"/>
    <w:rsid w:val="00A109DA"/>
    <w:rsid w:val="00A109DB"/>
    <w:rsid w:val="00A10A99"/>
    <w:rsid w:val="00A10BAF"/>
    <w:rsid w:val="00A10BE8"/>
    <w:rsid w:val="00A10C5C"/>
    <w:rsid w:val="00A10CC4"/>
    <w:rsid w:val="00A10DCA"/>
    <w:rsid w:val="00A10EB2"/>
    <w:rsid w:val="00A10FCB"/>
    <w:rsid w:val="00A110FE"/>
    <w:rsid w:val="00A1117F"/>
    <w:rsid w:val="00A111AB"/>
    <w:rsid w:val="00A11228"/>
    <w:rsid w:val="00A11296"/>
    <w:rsid w:val="00A112CE"/>
    <w:rsid w:val="00A11476"/>
    <w:rsid w:val="00A114C5"/>
    <w:rsid w:val="00A1161C"/>
    <w:rsid w:val="00A116D6"/>
    <w:rsid w:val="00A1172F"/>
    <w:rsid w:val="00A11800"/>
    <w:rsid w:val="00A118C3"/>
    <w:rsid w:val="00A11939"/>
    <w:rsid w:val="00A11993"/>
    <w:rsid w:val="00A11A06"/>
    <w:rsid w:val="00A11A2A"/>
    <w:rsid w:val="00A11EC1"/>
    <w:rsid w:val="00A11F6B"/>
    <w:rsid w:val="00A11F74"/>
    <w:rsid w:val="00A12064"/>
    <w:rsid w:val="00A1208F"/>
    <w:rsid w:val="00A12202"/>
    <w:rsid w:val="00A12260"/>
    <w:rsid w:val="00A123EA"/>
    <w:rsid w:val="00A124AA"/>
    <w:rsid w:val="00A124C0"/>
    <w:rsid w:val="00A124CE"/>
    <w:rsid w:val="00A1273D"/>
    <w:rsid w:val="00A12759"/>
    <w:rsid w:val="00A12822"/>
    <w:rsid w:val="00A12826"/>
    <w:rsid w:val="00A12914"/>
    <w:rsid w:val="00A12929"/>
    <w:rsid w:val="00A12989"/>
    <w:rsid w:val="00A129E7"/>
    <w:rsid w:val="00A12AA4"/>
    <w:rsid w:val="00A12B4F"/>
    <w:rsid w:val="00A12BA7"/>
    <w:rsid w:val="00A12BB4"/>
    <w:rsid w:val="00A12D00"/>
    <w:rsid w:val="00A12D25"/>
    <w:rsid w:val="00A12D4B"/>
    <w:rsid w:val="00A12DAB"/>
    <w:rsid w:val="00A12EBE"/>
    <w:rsid w:val="00A1304A"/>
    <w:rsid w:val="00A13146"/>
    <w:rsid w:val="00A13239"/>
    <w:rsid w:val="00A132AD"/>
    <w:rsid w:val="00A133C8"/>
    <w:rsid w:val="00A13417"/>
    <w:rsid w:val="00A13494"/>
    <w:rsid w:val="00A13522"/>
    <w:rsid w:val="00A13530"/>
    <w:rsid w:val="00A1356D"/>
    <w:rsid w:val="00A13760"/>
    <w:rsid w:val="00A13BE3"/>
    <w:rsid w:val="00A13BF2"/>
    <w:rsid w:val="00A13C6D"/>
    <w:rsid w:val="00A13CE4"/>
    <w:rsid w:val="00A13CF5"/>
    <w:rsid w:val="00A13DE7"/>
    <w:rsid w:val="00A13E91"/>
    <w:rsid w:val="00A13EC9"/>
    <w:rsid w:val="00A13F93"/>
    <w:rsid w:val="00A142AA"/>
    <w:rsid w:val="00A14324"/>
    <w:rsid w:val="00A1439C"/>
    <w:rsid w:val="00A143C0"/>
    <w:rsid w:val="00A14412"/>
    <w:rsid w:val="00A144B4"/>
    <w:rsid w:val="00A14687"/>
    <w:rsid w:val="00A146FA"/>
    <w:rsid w:val="00A147CE"/>
    <w:rsid w:val="00A14885"/>
    <w:rsid w:val="00A14917"/>
    <w:rsid w:val="00A14A05"/>
    <w:rsid w:val="00A14A8A"/>
    <w:rsid w:val="00A14B0A"/>
    <w:rsid w:val="00A14B49"/>
    <w:rsid w:val="00A14B4C"/>
    <w:rsid w:val="00A14B8B"/>
    <w:rsid w:val="00A14BA7"/>
    <w:rsid w:val="00A14BC5"/>
    <w:rsid w:val="00A14CA2"/>
    <w:rsid w:val="00A14D0E"/>
    <w:rsid w:val="00A14D72"/>
    <w:rsid w:val="00A14EDA"/>
    <w:rsid w:val="00A14FAE"/>
    <w:rsid w:val="00A1504D"/>
    <w:rsid w:val="00A15131"/>
    <w:rsid w:val="00A1534C"/>
    <w:rsid w:val="00A15377"/>
    <w:rsid w:val="00A15688"/>
    <w:rsid w:val="00A156F3"/>
    <w:rsid w:val="00A15796"/>
    <w:rsid w:val="00A1581E"/>
    <w:rsid w:val="00A158F3"/>
    <w:rsid w:val="00A15B54"/>
    <w:rsid w:val="00A15B9D"/>
    <w:rsid w:val="00A15D2C"/>
    <w:rsid w:val="00A15DEF"/>
    <w:rsid w:val="00A15E94"/>
    <w:rsid w:val="00A15E95"/>
    <w:rsid w:val="00A15EE2"/>
    <w:rsid w:val="00A15F78"/>
    <w:rsid w:val="00A16008"/>
    <w:rsid w:val="00A160CA"/>
    <w:rsid w:val="00A160F7"/>
    <w:rsid w:val="00A16109"/>
    <w:rsid w:val="00A1611B"/>
    <w:rsid w:val="00A16502"/>
    <w:rsid w:val="00A16558"/>
    <w:rsid w:val="00A16561"/>
    <w:rsid w:val="00A166D6"/>
    <w:rsid w:val="00A1670B"/>
    <w:rsid w:val="00A16757"/>
    <w:rsid w:val="00A168A7"/>
    <w:rsid w:val="00A1699B"/>
    <w:rsid w:val="00A16A80"/>
    <w:rsid w:val="00A16BE8"/>
    <w:rsid w:val="00A16BFD"/>
    <w:rsid w:val="00A16CA3"/>
    <w:rsid w:val="00A16D7A"/>
    <w:rsid w:val="00A16D89"/>
    <w:rsid w:val="00A16F05"/>
    <w:rsid w:val="00A16F49"/>
    <w:rsid w:val="00A170B6"/>
    <w:rsid w:val="00A170FB"/>
    <w:rsid w:val="00A17290"/>
    <w:rsid w:val="00A173CB"/>
    <w:rsid w:val="00A17426"/>
    <w:rsid w:val="00A17436"/>
    <w:rsid w:val="00A1751A"/>
    <w:rsid w:val="00A17590"/>
    <w:rsid w:val="00A176EE"/>
    <w:rsid w:val="00A177FF"/>
    <w:rsid w:val="00A1795B"/>
    <w:rsid w:val="00A17B31"/>
    <w:rsid w:val="00A17C08"/>
    <w:rsid w:val="00A17C41"/>
    <w:rsid w:val="00A17D3B"/>
    <w:rsid w:val="00A17D6D"/>
    <w:rsid w:val="00A17D79"/>
    <w:rsid w:val="00A17D88"/>
    <w:rsid w:val="00A17D9D"/>
    <w:rsid w:val="00A17DC7"/>
    <w:rsid w:val="00A17DE4"/>
    <w:rsid w:val="00A17E43"/>
    <w:rsid w:val="00A17E47"/>
    <w:rsid w:val="00A17F00"/>
    <w:rsid w:val="00A17F2C"/>
    <w:rsid w:val="00A1A3AF"/>
    <w:rsid w:val="00A20025"/>
    <w:rsid w:val="00A200A9"/>
    <w:rsid w:val="00A200B2"/>
    <w:rsid w:val="00A200CC"/>
    <w:rsid w:val="00A200D6"/>
    <w:rsid w:val="00A20181"/>
    <w:rsid w:val="00A2019C"/>
    <w:rsid w:val="00A20317"/>
    <w:rsid w:val="00A20350"/>
    <w:rsid w:val="00A2046B"/>
    <w:rsid w:val="00A205DB"/>
    <w:rsid w:val="00A205E3"/>
    <w:rsid w:val="00A205E8"/>
    <w:rsid w:val="00A2060F"/>
    <w:rsid w:val="00A208A5"/>
    <w:rsid w:val="00A20970"/>
    <w:rsid w:val="00A20A65"/>
    <w:rsid w:val="00A20C1C"/>
    <w:rsid w:val="00A20D3F"/>
    <w:rsid w:val="00A20D9E"/>
    <w:rsid w:val="00A20DCB"/>
    <w:rsid w:val="00A20E11"/>
    <w:rsid w:val="00A20E12"/>
    <w:rsid w:val="00A20E85"/>
    <w:rsid w:val="00A20EA9"/>
    <w:rsid w:val="00A20F13"/>
    <w:rsid w:val="00A20F3A"/>
    <w:rsid w:val="00A21147"/>
    <w:rsid w:val="00A21378"/>
    <w:rsid w:val="00A214B0"/>
    <w:rsid w:val="00A217E9"/>
    <w:rsid w:val="00A217EE"/>
    <w:rsid w:val="00A21909"/>
    <w:rsid w:val="00A21969"/>
    <w:rsid w:val="00A21A24"/>
    <w:rsid w:val="00A21A4F"/>
    <w:rsid w:val="00A21AE2"/>
    <w:rsid w:val="00A21AE4"/>
    <w:rsid w:val="00A21B88"/>
    <w:rsid w:val="00A21B98"/>
    <w:rsid w:val="00A21BD8"/>
    <w:rsid w:val="00A21C6F"/>
    <w:rsid w:val="00A21D8D"/>
    <w:rsid w:val="00A2208A"/>
    <w:rsid w:val="00A2222E"/>
    <w:rsid w:val="00A22322"/>
    <w:rsid w:val="00A223D8"/>
    <w:rsid w:val="00A224A4"/>
    <w:rsid w:val="00A22583"/>
    <w:rsid w:val="00A22663"/>
    <w:rsid w:val="00A226DF"/>
    <w:rsid w:val="00A22713"/>
    <w:rsid w:val="00A228B8"/>
    <w:rsid w:val="00A22913"/>
    <w:rsid w:val="00A22A33"/>
    <w:rsid w:val="00A22EC7"/>
    <w:rsid w:val="00A22F43"/>
    <w:rsid w:val="00A22FCC"/>
    <w:rsid w:val="00A2313A"/>
    <w:rsid w:val="00A231F3"/>
    <w:rsid w:val="00A23382"/>
    <w:rsid w:val="00A23399"/>
    <w:rsid w:val="00A23433"/>
    <w:rsid w:val="00A23450"/>
    <w:rsid w:val="00A235EE"/>
    <w:rsid w:val="00A23665"/>
    <w:rsid w:val="00A236F2"/>
    <w:rsid w:val="00A2379C"/>
    <w:rsid w:val="00A238E9"/>
    <w:rsid w:val="00A23962"/>
    <w:rsid w:val="00A23A20"/>
    <w:rsid w:val="00A23A38"/>
    <w:rsid w:val="00A23A53"/>
    <w:rsid w:val="00A23A72"/>
    <w:rsid w:val="00A23AB7"/>
    <w:rsid w:val="00A23AE3"/>
    <w:rsid w:val="00A23FCB"/>
    <w:rsid w:val="00A24054"/>
    <w:rsid w:val="00A241B0"/>
    <w:rsid w:val="00A2421B"/>
    <w:rsid w:val="00A2433F"/>
    <w:rsid w:val="00A243E3"/>
    <w:rsid w:val="00A24539"/>
    <w:rsid w:val="00A24597"/>
    <w:rsid w:val="00A24619"/>
    <w:rsid w:val="00A246D1"/>
    <w:rsid w:val="00A24715"/>
    <w:rsid w:val="00A2471E"/>
    <w:rsid w:val="00A24793"/>
    <w:rsid w:val="00A2483B"/>
    <w:rsid w:val="00A24902"/>
    <w:rsid w:val="00A2495A"/>
    <w:rsid w:val="00A24B8A"/>
    <w:rsid w:val="00A24BA8"/>
    <w:rsid w:val="00A24C9B"/>
    <w:rsid w:val="00A24F19"/>
    <w:rsid w:val="00A24FF7"/>
    <w:rsid w:val="00A2514F"/>
    <w:rsid w:val="00A251F3"/>
    <w:rsid w:val="00A25282"/>
    <w:rsid w:val="00A252F9"/>
    <w:rsid w:val="00A25341"/>
    <w:rsid w:val="00A25429"/>
    <w:rsid w:val="00A255A5"/>
    <w:rsid w:val="00A255CE"/>
    <w:rsid w:val="00A255EA"/>
    <w:rsid w:val="00A25602"/>
    <w:rsid w:val="00A25699"/>
    <w:rsid w:val="00A258C6"/>
    <w:rsid w:val="00A2592B"/>
    <w:rsid w:val="00A25A0C"/>
    <w:rsid w:val="00A25A31"/>
    <w:rsid w:val="00A25A47"/>
    <w:rsid w:val="00A25AB2"/>
    <w:rsid w:val="00A25AB5"/>
    <w:rsid w:val="00A25ACB"/>
    <w:rsid w:val="00A25C2C"/>
    <w:rsid w:val="00A25C72"/>
    <w:rsid w:val="00A25DAA"/>
    <w:rsid w:val="00A25E29"/>
    <w:rsid w:val="00A25ED4"/>
    <w:rsid w:val="00A25FBE"/>
    <w:rsid w:val="00A260D5"/>
    <w:rsid w:val="00A260F6"/>
    <w:rsid w:val="00A2611C"/>
    <w:rsid w:val="00A2612A"/>
    <w:rsid w:val="00A2617B"/>
    <w:rsid w:val="00A26231"/>
    <w:rsid w:val="00A26261"/>
    <w:rsid w:val="00A26262"/>
    <w:rsid w:val="00A2626A"/>
    <w:rsid w:val="00A2635E"/>
    <w:rsid w:val="00A2639D"/>
    <w:rsid w:val="00A265D3"/>
    <w:rsid w:val="00A26635"/>
    <w:rsid w:val="00A2665A"/>
    <w:rsid w:val="00A26716"/>
    <w:rsid w:val="00A26757"/>
    <w:rsid w:val="00A2682E"/>
    <w:rsid w:val="00A26854"/>
    <w:rsid w:val="00A26893"/>
    <w:rsid w:val="00A269AD"/>
    <w:rsid w:val="00A26A37"/>
    <w:rsid w:val="00A26A51"/>
    <w:rsid w:val="00A26A65"/>
    <w:rsid w:val="00A26BCA"/>
    <w:rsid w:val="00A26C6F"/>
    <w:rsid w:val="00A26C72"/>
    <w:rsid w:val="00A26CFE"/>
    <w:rsid w:val="00A26D13"/>
    <w:rsid w:val="00A26E39"/>
    <w:rsid w:val="00A26F6A"/>
    <w:rsid w:val="00A26FA6"/>
    <w:rsid w:val="00A26FAB"/>
    <w:rsid w:val="00A271A6"/>
    <w:rsid w:val="00A2735D"/>
    <w:rsid w:val="00A273CE"/>
    <w:rsid w:val="00A2744F"/>
    <w:rsid w:val="00A274CC"/>
    <w:rsid w:val="00A274EA"/>
    <w:rsid w:val="00A27550"/>
    <w:rsid w:val="00A27577"/>
    <w:rsid w:val="00A2759D"/>
    <w:rsid w:val="00A278B9"/>
    <w:rsid w:val="00A279EC"/>
    <w:rsid w:val="00A27A84"/>
    <w:rsid w:val="00A27AFD"/>
    <w:rsid w:val="00A27B78"/>
    <w:rsid w:val="00A27BA7"/>
    <w:rsid w:val="00A27C7D"/>
    <w:rsid w:val="00A27DEA"/>
    <w:rsid w:val="00A27EA2"/>
    <w:rsid w:val="00A27F30"/>
    <w:rsid w:val="00A27F51"/>
    <w:rsid w:val="00A27F55"/>
    <w:rsid w:val="00A27FE0"/>
    <w:rsid w:val="00A3006D"/>
    <w:rsid w:val="00A301CC"/>
    <w:rsid w:val="00A3025B"/>
    <w:rsid w:val="00A3045C"/>
    <w:rsid w:val="00A30489"/>
    <w:rsid w:val="00A3055A"/>
    <w:rsid w:val="00A30565"/>
    <w:rsid w:val="00A305A9"/>
    <w:rsid w:val="00A30639"/>
    <w:rsid w:val="00A3067E"/>
    <w:rsid w:val="00A30722"/>
    <w:rsid w:val="00A30784"/>
    <w:rsid w:val="00A30808"/>
    <w:rsid w:val="00A309A2"/>
    <w:rsid w:val="00A309C4"/>
    <w:rsid w:val="00A309E3"/>
    <w:rsid w:val="00A30A26"/>
    <w:rsid w:val="00A30AC1"/>
    <w:rsid w:val="00A30B95"/>
    <w:rsid w:val="00A30CA3"/>
    <w:rsid w:val="00A30DDA"/>
    <w:rsid w:val="00A30E07"/>
    <w:rsid w:val="00A30E0B"/>
    <w:rsid w:val="00A30E53"/>
    <w:rsid w:val="00A30FF4"/>
    <w:rsid w:val="00A31024"/>
    <w:rsid w:val="00A31042"/>
    <w:rsid w:val="00A31050"/>
    <w:rsid w:val="00A3110E"/>
    <w:rsid w:val="00A3113F"/>
    <w:rsid w:val="00A313BA"/>
    <w:rsid w:val="00A3148C"/>
    <w:rsid w:val="00A31511"/>
    <w:rsid w:val="00A315C4"/>
    <w:rsid w:val="00A315FD"/>
    <w:rsid w:val="00A316CF"/>
    <w:rsid w:val="00A317A7"/>
    <w:rsid w:val="00A318AB"/>
    <w:rsid w:val="00A318EC"/>
    <w:rsid w:val="00A31A2A"/>
    <w:rsid w:val="00A31AB2"/>
    <w:rsid w:val="00A31B5E"/>
    <w:rsid w:val="00A31B64"/>
    <w:rsid w:val="00A31B98"/>
    <w:rsid w:val="00A31C04"/>
    <w:rsid w:val="00A31ED3"/>
    <w:rsid w:val="00A31F76"/>
    <w:rsid w:val="00A32073"/>
    <w:rsid w:val="00A32092"/>
    <w:rsid w:val="00A32168"/>
    <w:rsid w:val="00A322E7"/>
    <w:rsid w:val="00A3231C"/>
    <w:rsid w:val="00A32482"/>
    <w:rsid w:val="00A324D3"/>
    <w:rsid w:val="00A325B4"/>
    <w:rsid w:val="00A3263A"/>
    <w:rsid w:val="00A32706"/>
    <w:rsid w:val="00A3270B"/>
    <w:rsid w:val="00A3277E"/>
    <w:rsid w:val="00A327C2"/>
    <w:rsid w:val="00A327CF"/>
    <w:rsid w:val="00A327F4"/>
    <w:rsid w:val="00A32846"/>
    <w:rsid w:val="00A328C8"/>
    <w:rsid w:val="00A32B8D"/>
    <w:rsid w:val="00A32D59"/>
    <w:rsid w:val="00A3300B"/>
    <w:rsid w:val="00A33013"/>
    <w:rsid w:val="00A330D6"/>
    <w:rsid w:val="00A330DC"/>
    <w:rsid w:val="00A330EE"/>
    <w:rsid w:val="00A331F1"/>
    <w:rsid w:val="00A333A4"/>
    <w:rsid w:val="00A33559"/>
    <w:rsid w:val="00A33587"/>
    <w:rsid w:val="00A33608"/>
    <w:rsid w:val="00A3368A"/>
    <w:rsid w:val="00A337DB"/>
    <w:rsid w:val="00A33930"/>
    <w:rsid w:val="00A33936"/>
    <w:rsid w:val="00A33941"/>
    <w:rsid w:val="00A3395A"/>
    <w:rsid w:val="00A33A3C"/>
    <w:rsid w:val="00A33B18"/>
    <w:rsid w:val="00A33CB8"/>
    <w:rsid w:val="00A33D52"/>
    <w:rsid w:val="00A33DE1"/>
    <w:rsid w:val="00A33E77"/>
    <w:rsid w:val="00A33EBB"/>
    <w:rsid w:val="00A3410C"/>
    <w:rsid w:val="00A34321"/>
    <w:rsid w:val="00A343A9"/>
    <w:rsid w:val="00A3444C"/>
    <w:rsid w:val="00A34582"/>
    <w:rsid w:val="00A346E5"/>
    <w:rsid w:val="00A3474F"/>
    <w:rsid w:val="00A3481E"/>
    <w:rsid w:val="00A34963"/>
    <w:rsid w:val="00A34A97"/>
    <w:rsid w:val="00A34BCB"/>
    <w:rsid w:val="00A34CE2"/>
    <w:rsid w:val="00A34D95"/>
    <w:rsid w:val="00A34F33"/>
    <w:rsid w:val="00A35116"/>
    <w:rsid w:val="00A35161"/>
    <w:rsid w:val="00A351C6"/>
    <w:rsid w:val="00A351C7"/>
    <w:rsid w:val="00A35459"/>
    <w:rsid w:val="00A355DE"/>
    <w:rsid w:val="00A35744"/>
    <w:rsid w:val="00A35748"/>
    <w:rsid w:val="00A357B6"/>
    <w:rsid w:val="00A35861"/>
    <w:rsid w:val="00A3586C"/>
    <w:rsid w:val="00A358E8"/>
    <w:rsid w:val="00A3596B"/>
    <w:rsid w:val="00A359E2"/>
    <w:rsid w:val="00A359E5"/>
    <w:rsid w:val="00A35A73"/>
    <w:rsid w:val="00A35A8A"/>
    <w:rsid w:val="00A35B47"/>
    <w:rsid w:val="00A35C65"/>
    <w:rsid w:val="00A35DDA"/>
    <w:rsid w:val="00A35F9F"/>
    <w:rsid w:val="00A35FBB"/>
    <w:rsid w:val="00A36050"/>
    <w:rsid w:val="00A36078"/>
    <w:rsid w:val="00A36144"/>
    <w:rsid w:val="00A361A9"/>
    <w:rsid w:val="00A3620E"/>
    <w:rsid w:val="00A3620F"/>
    <w:rsid w:val="00A36246"/>
    <w:rsid w:val="00A3640A"/>
    <w:rsid w:val="00A3653A"/>
    <w:rsid w:val="00A3661D"/>
    <w:rsid w:val="00A36804"/>
    <w:rsid w:val="00A36913"/>
    <w:rsid w:val="00A36A35"/>
    <w:rsid w:val="00A36AE1"/>
    <w:rsid w:val="00A36AF1"/>
    <w:rsid w:val="00A36CAF"/>
    <w:rsid w:val="00A36EDD"/>
    <w:rsid w:val="00A36EEC"/>
    <w:rsid w:val="00A370FD"/>
    <w:rsid w:val="00A3711F"/>
    <w:rsid w:val="00A3724E"/>
    <w:rsid w:val="00A3727B"/>
    <w:rsid w:val="00A3733C"/>
    <w:rsid w:val="00A37380"/>
    <w:rsid w:val="00A373C2"/>
    <w:rsid w:val="00A373D0"/>
    <w:rsid w:val="00A373D3"/>
    <w:rsid w:val="00A37482"/>
    <w:rsid w:val="00A374FE"/>
    <w:rsid w:val="00A37572"/>
    <w:rsid w:val="00A37590"/>
    <w:rsid w:val="00A3767D"/>
    <w:rsid w:val="00A376C0"/>
    <w:rsid w:val="00A376DA"/>
    <w:rsid w:val="00A37722"/>
    <w:rsid w:val="00A3773C"/>
    <w:rsid w:val="00A377AC"/>
    <w:rsid w:val="00A37873"/>
    <w:rsid w:val="00A37877"/>
    <w:rsid w:val="00A378BE"/>
    <w:rsid w:val="00A37995"/>
    <w:rsid w:val="00A37A63"/>
    <w:rsid w:val="00A37A80"/>
    <w:rsid w:val="00A37A9C"/>
    <w:rsid w:val="00A37AE3"/>
    <w:rsid w:val="00A37CB8"/>
    <w:rsid w:val="00A37D93"/>
    <w:rsid w:val="00A37F23"/>
    <w:rsid w:val="00A37FAD"/>
    <w:rsid w:val="00A400AA"/>
    <w:rsid w:val="00A400FD"/>
    <w:rsid w:val="00A402F2"/>
    <w:rsid w:val="00A4038E"/>
    <w:rsid w:val="00A404A3"/>
    <w:rsid w:val="00A404DA"/>
    <w:rsid w:val="00A40609"/>
    <w:rsid w:val="00A40770"/>
    <w:rsid w:val="00A4080E"/>
    <w:rsid w:val="00A40873"/>
    <w:rsid w:val="00A40917"/>
    <w:rsid w:val="00A40A22"/>
    <w:rsid w:val="00A40AF6"/>
    <w:rsid w:val="00A40BDA"/>
    <w:rsid w:val="00A40C2C"/>
    <w:rsid w:val="00A40C67"/>
    <w:rsid w:val="00A40CED"/>
    <w:rsid w:val="00A40D22"/>
    <w:rsid w:val="00A40D90"/>
    <w:rsid w:val="00A40DA9"/>
    <w:rsid w:val="00A40EA5"/>
    <w:rsid w:val="00A40EB8"/>
    <w:rsid w:val="00A40EF8"/>
    <w:rsid w:val="00A40F40"/>
    <w:rsid w:val="00A41254"/>
    <w:rsid w:val="00A41283"/>
    <w:rsid w:val="00A4130A"/>
    <w:rsid w:val="00A4134F"/>
    <w:rsid w:val="00A413A3"/>
    <w:rsid w:val="00A41467"/>
    <w:rsid w:val="00A414B5"/>
    <w:rsid w:val="00A41690"/>
    <w:rsid w:val="00A416B2"/>
    <w:rsid w:val="00A417F0"/>
    <w:rsid w:val="00A418AA"/>
    <w:rsid w:val="00A41971"/>
    <w:rsid w:val="00A41A63"/>
    <w:rsid w:val="00A41ACA"/>
    <w:rsid w:val="00A41B3E"/>
    <w:rsid w:val="00A41BED"/>
    <w:rsid w:val="00A41C87"/>
    <w:rsid w:val="00A41CC9"/>
    <w:rsid w:val="00A41EB8"/>
    <w:rsid w:val="00A41F1C"/>
    <w:rsid w:val="00A41F40"/>
    <w:rsid w:val="00A42000"/>
    <w:rsid w:val="00A420F2"/>
    <w:rsid w:val="00A4215A"/>
    <w:rsid w:val="00A421FF"/>
    <w:rsid w:val="00A4230E"/>
    <w:rsid w:val="00A4236C"/>
    <w:rsid w:val="00A423D8"/>
    <w:rsid w:val="00A42564"/>
    <w:rsid w:val="00A4257F"/>
    <w:rsid w:val="00A4258F"/>
    <w:rsid w:val="00A425C6"/>
    <w:rsid w:val="00A4261C"/>
    <w:rsid w:val="00A42709"/>
    <w:rsid w:val="00A42764"/>
    <w:rsid w:val="00A427AA"/>
    <w:rsid w:val="00A427CA"/>
    <w:rsid w:val="00A42997"/>
    <w:rsid w:val="00A429AB"/>
    <w:rsid w:val="00A42BD3"/>
    <w:rsid w:val="00A42C67"/>
    <w:rsid w:val="00A42D43"/>
    <w:rsid w:val="00A42DA8"/>
    <w:rsid w:val="00A42DBC"/>
    <w:rsid w:val="00A42E0B"/>
    <w:rsid w:val="00A42ED1"/>
    <w:rsid w:val="00A42FFA"/>
    <w:rsid w:val="00A43063"/>
    <w:rsid w:val="00A4316D"/>
    <w:rsid w:val="00A432B4"/>
    <w:rsid w:val="00A4330B"/>
    <w:rsid w:val="00A433A0"/>
    <w:rsid w:val="00A433E8"/>
    <w:rsid w:val="00A43888"/>
    <w:rsid w:val="00A438F9"/>
    <w:rsid w:val="00A43920"/>
    <w:rsid w:val="00A43B50"/>
    <w:rsid w:val="00A43BC6"/>
    <w:rsid w:val="00A43CA7"/>
    <w:rsid w:val="00A43D49"/>
    <w:rsid w:val="00A43F3B"/>
    <w:rsid w:val="00A43FD6"/>
    <w:rsid w:val="00A441BC"/>
    <w:rsid w:val="00A4429C"/>
    <w:rsid w:val="00A442C4"/>
    <w:rsid w:val="00A44455"/>
    <w:rsid w:val="00A44527"/>
    <w:rsid w:val="00A4477D"/>
    <w:rsid w:val="00A44A64"/>
    <w:rsid w:val="00A44BC8"/>
    <w:rsid w:val="00A44C2D"/>
    <w:rsid w:val="00A44CCE"/>
    <w:rsid w:val="00A44D9F"/>
    <w:rsid w:val="00A44DEA"/>
    <w:rsid w:val="00A44E41"/>
    <w:rsid w:val="00A44E58"/>
    <w:rsid w:val="00A44F9E"/>
    <w:rsid w:val="00A44FF6"/>
    <w:rsid w:val="00A45077"/>
    <w:rsid w:val="00A4507C"/>
    <w:rsid w:val="00A450CF"/>
    <w:rsid w:val="00A4515E"/>
    <w:rsid w:val="00A4516F"/>
    <w:rsid w:val="00A451A7"/>
    <w:rsid w:val="00A4528F"/>
    <w:rsid w:val="00A452C6"/>
    <w:rsid w:val="00A45341"/>
    <w:rsid w:val="00A4543D"/>
    <w:rsid w:val="00A45499"/>
    <w:rsid w:val="00A45658"/>
    <w:rsid w:val="00A4580F"/>
    <w:rsid w:val="00A45841"/>
    <w:rsid w:val="00A45875"/>
    <w:rsid w:val="00A458C8"/>
    <w:rsid w:val="00A45963"/>
    <w:rsid w:val="00A459A4"/>
    <w:rsid w:val="00A45AB4"/>
    <w:rsid w:val="00A45C04"/>
    <w:rsid w:val="00A45D1D"/>
    <w:rsid w:val="00A45DA6"/>
    <w:rsid w:val="00A45EFC"/>
    <w:rsid w:val="00A45FCC"/>
    <w:rsid w:val="00A45FD7"/>
    <w:rsid w:val="00A46024"/>
    <w:rsid w:val="00A4607F"/>
    <w:rsid w:val="00A4612B"/>
    <w:rsid w:val="00A46185"/>
    <w:rsid w:val="00A46234"/>
    <w:rsid w:val="00A462E5"/>
    <w:rsid w:val="00A46356"/>
    <w:rsid w:val="00A463CC"/>
    <w:rsid w:val="00A46517"/>
    <w:rsid w:val="00A465D1"/>
    <w:rsid w:val="00A465F9"/>
    <w:rsid w:val="00A4665B"/>
    <w:rsid w:val="00A467FE"/>
    <w:rsid w:val="00A46818"/>
    <w:rsid w:val="00A469B7"/>
    <w:rsid w:val="00A46A6F"/>
    <w:rsid w:val="00A46AAC"/>
    <w:rsid w:val="00A46AF0"/>
    <w:rsid w:val="00A46D7B"/>
    <w:rsid w:val="00A46EAC"/>
    <w:rsid w:val="00A46F5C"/>
    <w:rsid w:val="00A46FCA"/>
    <w:rsid w:val="00A472B8"/>
    <w:rsid w:val="00A473F5"/>
    <w:rsid w:val="00A4745F"/>
    <w:rsid w:val="00A47502"/>
    <w:rsid w:val="00A476A5"/>
    <w:rsid w:val="00A47823"/>
    <w:rsid w:val="00A47894"/>
    <w:rsid w:val="00A47960"/>
    <w:rsid w:val="00A479E5"/>
    <w:rsid w:val="00A47B2B"/>
    <w:rsid w:val="00A47CDB"/>
    <w:rsid w:val="00A47CF6"/>
    <w:rsid w:val="00A47D5B"/>
    <w:rsid w:val="00A47D65"/>
    <w:rsid w:val="00A47D96"/>
    <w:rsid w:val="00A47E59"/>
    <w:rsid w:val="00A47F18"/>
    <w:rsid w:val="00A5013E"/>
    <w:rsid w:val="00A50166"/>
    <w:rsid w:val="00A5030E"/>
    <w:rsid w:val="00A503BA"/>
    <w:rsid w:val="00A5040C"/>
    <w:rsid w:val="00A5045C"/>
    <w:rsid w:val="00A5049F"/>
    <w:rsid w:val="00A50501"/>
    <w:rsid w:val="00A50626"/>
    <w:rsid w:val="00A506E7"/>
    <w:rsid w:val="00A507F8"/>
    <w:rsid w:val="00A50964"/>
    <w:rsid w:val="00A509AA"/>
    <w:rsid w:val="00A50AFA"/>
    <w:rsid w:val="00A50BC0"/>
    <w:rsid w:val="00A50C94"/>
    <w:rsid w:val="00A50E5C"/>
    <w:rsid w:val="00A50F15"/>
    <w:rsid w:val="00A50FA1"/>
    <w:rsid w:val="00A51054"/>
    <w:rsid w:val="00A510EF"/>
    <w:rsid w:val="00A51155"/>
    <w:rsid w:val="00A51303"/>
    <w:rsid w:val="00A51313"/>
    <w:rsid w:val="00A513A5"/>
    <w:rsid w:val="00A5142F"/>
    <w:rsid w:val="00A51563"/>
    <w:rsid w:val="00A515F4"/>
    <w:rsid w:val="00A51763"/>
    <w:rsid w:val="00A5185C"/>
    <w:rsid w:val="00A51974"/>
    <w:rsid w:val="00A519E7"/>
    <w:rsid w:val="00A51A6C"/>
    <w:rsid w:val="00A51B11"/>
    <w:rsid w:val="00A51BB8"/>
    <w:rsid w:val="00A51C93"/>
    <w:rsid w:val="00A51CDC"/>
    <w:rsid w:val="00A51DD6"/>
    <w:rsid w:val="00A51EE8"/>
    <w:rsid w:val="00A5216C"/>
    <w:rsid w:val="00A52237"/>
    <w:rsid w:val="00A5231C"/>
    <w:rsid w:val="00A52329"/>
    <w:rsid w:val="00A523A6"/>
    <w:rsid w:val="00A523E8"/>
    <w:rsid w:val="00A523F2"/>
    <w:rsid w:val="00A524DC"/>
    <w:rsid w:val="00A525DF"/>
    <w:rsid w:val="00A52640"/>
    <w:rsid w:val="00A52659"/>
    <w:rsid w:val="00A528D6"/>
    <w:rsid w:val="00A528E0"/>
    <w:rsid w:val="00A52953"/>
    <w:rsid w:val="00A52BDC"/>
    <w:rsid w:val="00A52BF3"/>
    <w:rsid w:val="00A52C47"/>
    <w:rsid w:val="00A52D5C"/>
    <w:rsid w:val="00A52D6E"/>
    <w:rsid w:val="00A53010"/>
    <w:rsid w:val="00A5339A"/>
    <w:rsid w:val="00A5342C"/>
    <w:rsid w:val="00A5344C"/>
    <w:rsid w:val="00A53530"/>
    <w:rsid w:val="00A5355B"/>
    <w:rsid w:val="00A5364F"/>
    <w:rsid w:val="00A5369F"/>
    <w:rsid w:val="00A536B3"/>
    <w:rsid w:val="00A5370C"/>
    <w:rsid w:val="00A53790"/>
    <w:rsid w:val="00A537D8"/>
    <w:rsid w:val="00A5380F"/>
    <w:rsid w:val="00A5385A"/>
    <w:rsid w:val="00A5388C"/>
    <w:rsid w:val="00A5389D"/>
    <w:rsid w:val="00A53919"/>
    <w:rsid w:val="00A53946"/>
    <w:rsid w:val="00A539D9"/>
    <w:rsid w:val="00A53B28"/>
    <w:rsid w:val="00A53B99"/>
    <w:rsid w:val="00A53B9D"/>
    <w:rsid w:val="00A53BF2"/>
    <w:rsid w:val="00A53D54"/>
    <w:rsid w:val="00A53E75"/>
    <w:rsid w:val="00A53F0E"/>
    <w:rsid w:val="00A54012"/>
    <w:rsid w:val="00A540DB"/>
    <w:rsid w:val="00A540E4"/>
    <w:rsid w:val="00A543E9"/>
    <w:rsid w:val="00A543FF"/>
    <w:rsid w:val="00A5442A"/>
    <w:rsid w:val="00A5449D"/>
    <w:rsid w:val="00A544E9"/>
    <w:rsid w:val="00A54557"/>
    <w:rsid w:val="00A54648"/>
    <w:rsid w:val="00A546E3"/>
    <w:rsid w:val="00A548A6"/>
    <w:rsid w:val="00A548C3"/>
    <w:rsid w:val="00A549F7"/>
    <w:rsid w:val="00A54B4F"/>
    <w:rsid w:val="00A54B93"/>
    <w:rsid w:val="00A54BD3"/>
    <w:rsid w:val="00A54ECF"/>
    <w:rsid w:val="00A54F05"/>
    <w:rsid w:val="00A54F5D"/>
    <w:rsid w:val="00A55044"/>
    <w:rsid w:val="00A550D3"/>
    <w:rsid w:val="00A551B0"/>
    <w:rsid w:val="00A55231"/>
    <w:rsid w:val="00A55271"/>
    <w:rsid w:val="00A5528E"/>
    <w:rsid w:val="00A55305"/>
    <w:rsid w:val="00A553CE"/>
    <w:rsid w:val="00A554BB"/>
    <w:rsid w:val="00A555FA"/>
    <w:rsid w:val="00A55642"/>
    <w:rsid w:val="00A55666"/>
    <w:rsid w:val="00A556A0"/>
    <w:rsid w:val="00A557E7"/>
    <w:rsid w:val="00A5580E"/>
    <w:rsid w:val="00A55825"/>
    <w:rsid w:val="00A55ADC"/>
    <w:rsid w:val="00A55B86"/>
    <w:rsid w:val="00A55BB5"/>
    <w:rsid w:val="00A55BD0"/>
    <w:rsid w:val="00A55C41"/>
    <w:rsid w:val="00A55CB0"/>
    <w:rsid w:val="00A55CCC"/>
    <w:rsid w:val="00A55DBC"/>
    <w:rsid w:val="00A560C4"/>
    <w:rsid w:val="00A560F4"/>
    <w:rsid w:val="00A560F7"/>
    <w:rsid w:val="00A56141"/>
    <w:rsid w:val="00A56216"/>
    <w:rsid w:val="00A56279"/>
    <w:rsid w:val="00A562AD"/>
    <w:rsid w:val="00A563BF"/>
    <w:rsid w:val="00A5640F"/>
    <w:rsid w:val="00A5643D"/>
    <w:rsid w:val="00A564C4"/>
    <w:rsid w:val="00A564E4"/>
    <w:rsid w:val="00A565EA"/>
    <w:rsid w:val="00A56628"/>
    <w:rsid w:val="00A56721"/>
    <w:rsid w:val="00A567AD"/>
    <w:rsid w:val="00A567B1"/>
    <w:rsid w:val="00A567B3"/>
    <w:rsid w:val="00A56814"/>
    <w:rsid w:val="00A569DB"/>
    <w:rsid w:val="00A56A34"/>
    <w:rsid w:val="00A56A46"/>
    <w:rsid w:val="00A56A67"/>
    <w:rsid w:val="00A56A85"/>
    <w:rsid w:val="00A56AD6"/>
    <w:rsid w:val="00A56BAB"/>
    <w:rsid w:val="00A56BF5"/>
    <w:rsid w:val="00A56C4D"/>
    <w:rsid w:val="00A56D09"/>
    <w:rsid w:val="00A56D53"/>
    <w:rsid w:val="00A56DFC"/>
    <w:rsid w:val="00A56E9D"/>
    <w:rsid w:val="00A56EC2"/>
    <w:rsid w:val="00A56EEF"/>
    <w:rsid w:val="00A56F23"/>
    <w:rsid w:val="00A56F4C"/>
    <w:rsid w:val="00A56F81"/>
    <w:rsid w:val="00A570E5"/>
    <w:rsid w:val="00A57287"/>
    <w:rsid w:val="00A5729B"/>
    <w:rsid w:val="00A5732C"/>
    <w:rsid w:val="00A57431"/>
    <w:rsid w:val="00A57605"/>
    <w:rsid w:val="00A576CC"/>
    <w:rsid w:val="00A5787F"/>
    <w:rsid w:val="00A578DB"/>
    <w:rsid w:val="00A57BDD"/>
    <w:rsid w:val="00A57DEF"/>
    <w:rsid w:val="00A57F99"/>
    <w:rsid w:val="00A6006C"/>
    <w:rsid w:val="00A60143"/>
    <w:rsid w:val="00A60323"/>
    <w:rsid w:val="00A6042F"/>
    <w:rsid w:val="00A6047D"/>
    <w:rsid w:val="00A605AA"/>
    <w:rsid w:val="00A6068E"/>
    <w:rsid w:val="00A606A5"/>
    <w:rsid w:val="00A606DB"/>
    <w:rsid w:val="00A60713"/>
    <w:rsid w:val="00A6077D"/>
    <w:rsid w:val="00A60861"/>
    <w:rsid w:val="00A6097C"/>
    <w:rsid w:val="00A609C6"/>
    <w:rsid w:val="00A60A7C"/>
    <w:rsid w:val="00A60D98"/>
    <w:rsid w:val="00A60DE8"/>
    <w:rsid w:val="00A60E79"/>
    <w:rsid w:val="00A61119"/>
    <w:rsid w:val="00A61127"/>
    <w:rsid w:val="00A612DB"/>
    <w:rsid w:val="00A612F4"/>
    <w:rsid w:val="00A6144B"/>
    <w:rsid w:val="00A615B0"/>
    <w:rsid w:val="00A615D0"/>
    <w:rsid w:val="00A61639"/>
    <w:rsid w:val="00A6175F"/>
    <w:rsid w:val="00A61800"/>
    <w:rsid w:val="00A618B6"/>
    <w:rsid w:val="00A61935"/>
    <w:rsid w:val="00A61A95"/>
    <w:rsid w:val="00A61B01"/>
    <w:rsid w:val="00A61B5A"/>
    <w:rsid w:val="00A61C59"/>
    <w:rsid w:val="00A61C5B"/>
    <w:rsid w:val="00A61E53"/>
    <w:rsid w:val="00A61E5D"/>
    <w:rsid w:val="00A61F5A"/>
    <w:rsid w:val="00A6203F"/>
    <w:rsid w:val="00A62101"/>
    <w:rsid w:val="00A621A0"/>
    <w:rsid w:val="00A621B6"/>
    <w:rsid w:val="00A62240"/>
    <w:rsid w:val="00A62293"/>
    <w:rsid w:val="00A62477"/>
    <w:rsid w:val="00A624F8"/>
    <w:rsid w:val="00A628F7"/>
    <w:rsid w:val="00A62B0A"/>
    <w:rsid w:val="00A62B1D"/>
    <w:rsid w:val="00A62B29"/>
    <w:rsid w:val="00A62BB8"/>
    <w:rsid w:val="00A62C5C"/>
    <w:rsid w:val="00A62CB1"/>
    <w:rsid w:val="00A62CC1"/>
    <w:rsid w:val="00A62D0B"/>
    <w:rsid w:val="00A62D39"/>
    <w:rsid w:val="00A62DC2"/>
    <w:rsid w:val="00A62ED7"/>
    <w:rsid w:val="00A62FCA"/>
    <w:rsid w:val="00A631C5"/>
    <w:rsid w:val="00A63212"/>
    <w:rsid w:val="00A63258"/>
    <w:rsid w:val="00A632B4"/>
    <w:rsid w:val="00A63560"/>
    <w:rsid w:val="00A6362E"/>
    <w:rsid w:val="00A6376B"/>
    <w:rsid w:val="00A637A7"/>
    <w:rsid w:val="00A63A6E"/>
    <w:rsid w:val="00A63AF5"/>
    <w:rsid w:val="00A63B1B"/>
    <w:rsid w:val="00A63C10"/>
    <w:rsid w:val="00A63C5A"/>
    <w:rsid w:val="00A63C99"/>
    <w:rsid w:val="00A63CDD"/>
    <w:rsid w:val="00A63E47"/>
    <w:rsid w:val="00A63EBD"/>
    <w:rsid w:val="00A63FC3"/>
    <w:rsid w:val="00A63FC4"/>
    <w:rsid w:val="00A640AF"/>
    <w:rsid w:val="00A64216"/>
    <w:rsid w:val="00A642A1"/>
    <w:rsid w:val="00A643AA"/>
    <w:rsid w:val="00A644A8"/>
    <w:rsid w:val="00A644DF"/>
    <w:rsid w:val="00A644F6"/>
    <w:rsid w:val="00A64500"/>
    <w:rsid w:val="00A6450D"/>
    <w:rsid w:val="00A645DC"/>
    <w:rsid w:val="00A64621"/>
    <w:rsid w:val="00A64791"/>
    <w:rsid w:val="00A647CF"/>
    <w:rsid w:val="00A64840"/>
    <w:rsid w:val="00A6484E"/>
    <w:rsid w:val="00A64A67"/>
    <w:rsid w:val="00A64AA9"/>
    <w:rsid w:val="00A64BD8"/>
    <w:rsid w:val="00A64CA1"/>
    <w:rsid w:val="00A64D7D"/>
    <w:rsid w:val="00A64E2A"/>
    <w:rsid w:val="00A64EC3"/>
    <w:rsid w:val="00A64F13"/>
    <w:rsid w:val="00A651B7"/>
    <w:rsid w:val="00A65244"/>
    <w:rsid w:val="00A652A7"/>
    <w:rsid w:val="00A652D3"/>
    <w:rsid w:val="00A6534D"/>
    <w:rsid w:val="00A654FE"/>
    <w:rsid w:val="00A6569F"/>
    <w:rsid w:val="00A6575D"/>
    <w:rsid w:val="00A65799"/>
    <w:rsid w:val="00A657FA"/>
    <w:rsid w:val="00A6582C"/>
    <w:rsid w:val="00A65984"/>
    <w:rsid w:val="00A659E1"/>
    <w:rsid w:val="00A65A03"/>
    <w:rsid w:val="00A65A30"/>
    <w:rsid w:val="00A65ADE"/>
    <w:rsid w:val="00A65AF9"/>
    <w:rsid w:val="00A65BA4"/>
    <w:rsid w:val="00A65DBC"/>
    <w:rsid w:val="00A66044"/>
    <w:rsid w:val="00A66140"/>
    <w:rsid w:val="00A6617C"/>
    <w:rsid w:val="00A664A7"/>
    <w:rsid w:val="00A6656B"/>
    <w:rsid w:val="00A66641"/>
    <w:rsid w:val="00A666DE"/>
    <w:rsid w:val="00A666E3"/>
    <w:rsid w:val="00A667BC"/>
    <w:rsid w:val="00A667D0"/>
    <w:rsid w:val="00A668F6"/>
    <w:rsid w:val="00A66953"/>
    <w:rsid w:val="00A66968"/>
    <w:rsid w:val="00A669FD"/>
    <w:rsid w:val="00A66B7A"/>
    <w:rsid w:val="00A66CEF"/>
    <w:rsid w:val="00A66D67"/>
    <w:rsid w:val="00A66D6B"/>
    <w:rsid w:val="00A66E2C"/>
    <w:rsid w:val="00A66E45"/>
    <w:rsid w:val="00A66F6D"/>
    <w:rsid w:val="00A66FF2"/>
    <w:rsid w:val="00A6710A"/>
    <w:rsid w:val="00A67127"/>
    <w:rsid w:val="00A6716C"/>
    <w:rsid w:val="00A671A9"/>
    <w:rsid w:val="00A67495"/>
    <w:rsid w:val="00A675CF"/>
    <w:rsid w:val="00A67603"/>
    <w:rsid w:val="00A6772D"/>
    <w:rsid w:val="00A6772E"/>
    <w:rsid w:val="00A6784F"/>
    <w:rsid w:val="00A67875"/>
    <w:rsid w:val="00A67917"/>
    <w:rsid w:val="00A6793C"/>
    <w:rsid w:val="00A67973"/>
    <w:rsid w:val="00A67A38"/>
    <w:rsid w:val="00A67A8B"/>
    <w:rsid w:val="00A67ACD"/>
    <w:rsid w:val="00A67AF1"/>
    <w:rsid w:val="00A67B03"/>
    <w:rsid w:val="00A67B09"/>
    <w:rsid w:val="00A67B21"/>
    <w:rsid w:val="00A67C3A"/>
    <w:rsid w:val="00A67C51"/>
    <w:rsid w:val="00A67C62"/>
    <w:rsid w:val="00A67F16"/>
    <w:rsid w:val="00A67FD6"/>
    <w:rsid w:val="00A70116"/>
    <w:rsid w:val="00A7017E"/>
    <w:rsid w:val="00A701AA"/>
    <w:rsid w:val="00A703F4"/>
    <w:rsid w:val="00A70404"/>
    <w:rsid w:val="00A70407"/>
    <w:rsid w:val="00A70590"/>
    <w:rsid w:val="00A705A0"/>
    <w:rsid w:val="00A70901"/>
    <w:rsid w:val="00A70937"/>
    <w:rsid w:val="00A7095A"/>
    <w:rsid w:val="00A70980"/>
    <w:rsid w:val="00A70C50"/>
    <w:rsid w:val="00A70F35"/>
    <w:rsid w:val="00A70FE0"/>
    <w:rsid w:val="00A710A2"/>
    <w:rsid w:val="00A71181"/>
    <w:rsid w:val="00A71403"/>
    <w:rsid w:val="00A7142F"/>
    <w:rsid w:val="00A7171B"/>
    <w:rsid w:val="00A71863"/>
    <w:rsid w:val="00A718CF"/>
    <w:rsid w:val="00A718E6"/>
    <w:rsid w:val="00A719A7"/>
    <w:rsid w:val="00A719FD"/>
    <w:rsid w:val="00A71A70"/>
    <w:rsid w:val="00A71AA2"/>
    <w:rsid w:val="00A71BFA"/>
    <w:rsid w:val="00A71C2D"/>
    <w:rsid w:val="00A71CA2"/>
    <w:rsid w:val="00A71CB2"/>
    <w:rsid w:val="00A71DD0"/>
    <w:rsid w:val="00A71F07"/>
    <w:rsid w:val="00A71FDD"/>
    <w:rsid w:val="00A720DB"/>
    <w:rsid w:val="00A721DB"/>
    <w:rsid w:val="00A72403"/>
    <w:rsid w:val="00A724A2"/>
    <w:rsid w:val="00A7252F"/>
    <w:rsid w:val="00A7254A"/>
    <w:rsid w:val="00A72579"/>
    <w:rsid w:val="00A727F1"/>
    <w:rsid w:val="00A728B8"/>
    <w:rsid w:val="00A72909"/>
    <w:rsid w:val="00A729E4"/>
    <w:rsid w:val="00A72ABE"/>
    <w:rsid w:val="00A72B74"/>
    <w:rsid w:val="00A72C07"/>
    <w:rsid w:val="00A72C0A"/>
    <w:rsid w:val="00A72D1C"/>
    <w:rsid w:val="00A72D2C"/>
    <w:rsid w:val="00A72D3C"/>
    <w:rsid w:val="00A72F73"/>
    <w:rsid w:val="00A731D7"/>
    <w:rsid w:val="00A73218"/>
    <w:rsid w:val="00A73267"/>
    <w:rsid w:val="00A733F9"/>
    <w:rsid w:val="00A7343D"/>
    <w:rsid w:val="00A73468"/>
    <w:rsid w:val="00A7349D"/>
    <w:rsid w:val="00A73536"/>
    <w:rsid w:val="00A73565"/>
    <w:rsid w:val="00A735A0"/>
    <w:rsid w:val="00A735B5"/>
    <w:rsid w:val="00A73676"/>
    <w:rsid w:val="00A7368D"/>
    <w:rsid w:val="00A736B3"/>
    <w:rsid w:val="00A73752"/>
    <w:rsid w:val="00A7385B"/>
    <w:rsid w:val="00A738E1"/>
    <w:rsid w:val="00A73905"/>
    <w:rsid w:val="00A73952"/>
    <w:rsid w:val="00A73988"/>
    <w:rsid w:val="00A73A05"/>
    <w:rsid w:val="00A73ABD"/>
    <w:rsid w:val="00A73C08"/>
    <w:rsid w:val="00A73C29"/>
    <w:rsid w:val="00A73C75"/>
    <w:rsid w:val="00A73C77"/>
    <w:rsid w:val="00A73C89"/>
    <w:rsid w:val="00A73C8A"/>
    <w:rsid w:val="00A73D23"/>
    <w:rsid w:val="00A73D9D"/>
    <w:rsid w:val="00A73E68"/>
    <w:rsid w:val="00A73EFA"/>
    <w:rsid w:val="00A74028"/>
    <w:rsid w:val="00A7405C"/>
    <w:rsid w:val="00A7416D"/>
    <w:rsid w:val="00A741DD"/>
    <w:rsid w:val="00A741F3"/>
    <w:rsid w:val="00A7425F"/>
    <w:rsid w:val="00A742EF"/>
    <w:rsid w:val="00A74379"/>
    <w:rsid w:val="00A7459F"/>
    <w:rsid w:val="00A747DD"/>
    <w:rsid w:val="00A74829"/>
    <w:rsid w:val="00A7498C"/>
    <w:rsid w:val="00A74ADD"/>
    <w:rsid w:val="00A74CB9"/>
    <w:rsid w:val="00A74D2C"/>
    <w:rsid w:val="00A74D33"/>
    <w:rsid w:val="00A74E13"/>
    <w:rsid w:val="00A74ED2"/>
    <w:rsid w:val="00A74EEB"/>
    <w:rsid w:val="00A7509D"/>
    <w:rsid w:val="00A751E4"/>
    <w:rsid w:val="00A75294"/>
    <w:rsid w:val="00A7533D"/>
    <w:rsid w:val="00A7534D"/>
    <w:rsid w:val="00A75447"/>
    <w:rsid w:val="00A75455"/>
    <w:rsid w:val="00A75468"/>
    <w:rsid w:val="00A756B0"/>
    <w:rsid w:val="00A75781"/>
    <w:rsid w:val="00A75982"/>
    <w:rsid w:val="00A75986"/>
    <w:rsid w:val="00A75A1B"/>
    <w:rsid w:val="00A75C40"/>
    <w:rsid w:val="00A75CA7"/>
    <w:rsid w:val="00A75CF1"/>
    <w:rsid w:val="00A75E1A"/>
    <w:rsid w:val="00A75FF8"/>
    <w:rsid w:val="00A7618B"/>
    <w:rsid w:val="00A76271"/>
    <w:rsid w:val="00A764F4"/>
    <w:rsid w:val="00A7655C"/>
    <w:rsid w:val="00A76706"/>
    <w:rsid w:val="00A7673A"/>
    <w:rsid w:val="00A76745"/>
    <w:rsid w:val="00A768E0"/>
    <w:rsid w:val="00A769D5"/>
    <w:rsid w:val="00A76A05"/>
    <w:rsid w:val="00A76AB2"/>
    <w:rsid w:val="00A76AE1"/>
    <w:rsid w:val="00A76F20"/>
    <w:rsid w:val="00A76FAE"/>
    <w:rsid w:val="00A7701E"/>
    <w:rsid w:val="00A7702B"/>
    <w:rsid w:val="00A7709D"/>
    <w:rsid w:val="00A770EE"/>
    <w:rsid w:val="00A77290"/>
    <w:rsid w:val="00A772CC"/>
    <w:rsid w:val="00A77380"/>
    <w:rsid w:val="00A7746E"/>
    <w:rsid w:val="00A774A7"/>
    <w:rsid w:val="00A77748"/>
    <w:rsid w:val="00A777C7"/>
    <w:rsid w:val="00A77854"/>
    <w:rsid w:val="00A779BA"/>
    <w:rsid w:val="00A77A13"/>
    <w:rsid w:val="00A77A52"/>
    <w:rsid w:val="00A77A87"/>
    <w:rsid w:val="00A77B37"/>
    <w:rsid w:val="00A77C36"/>
    <w:rsid w:val="00A77D96"/>
    <w:rsid w:val="00A77F28"/>
    <w:rsid w:val="00A77F50"/>
    <w:rsid w:val="00A788C4"/>
    <w:rsid w:val="00A8025F"/>
    <w:rsid w:val="00A80636"/>
    <w:rsid w:val="00A8069C"/>
    <w:rsid w:val="00A80751"/>
    <w:rsid w:val="00A8075A"/>
    <w:rsid w:val="00A8079A"/>
    <w:rsid w:val="00A807B1"/>
    <w:rsid w:val="00A807BA"/>
    <w:rsid w:val="00A8096F"/>
    <w:rsid w:val="00A80A52"/>
    <w:rsid w:val="00A80AAB"/>
    <w:rsid w:val="00A80ADE"/>
    <w:rsid w:val="00A80B94"/>
    <w:rsid w:val="00A80BEC"/>
    <w:rsid w:val="00A80C3C"/>
    <w:rsid w:val="00A80C52"/>
    <w:rsid w:val="00A80C8A"/>
    <w:rsid w:val="00A80CB7"/>
    <w:rsid w:val="00A80D09"/>
    <w:rsid w:val="00A80D41"/>
    <w:rsid w:val="00A80D43"/>
    <w:rsid w:val="00A80FCC"/>
    <w:rsid w:val="00A80FD1"/>
    <w:rsid w:val="00A81026"/>
    <w:rsid w:val="00A81045"/>
    <w:rsid w:val="00A8104C"/>
    <w:rsid w:val="00A81062"/>
    <w:rsid w:val="00A8117B"/>
    <w:rsid w:val="00A811E0"/>
    <w:rsid w:val="00A8134B"/>
    <w:rsid w:val="00A814AC"/>
    <w:rsid w:val="00A815DB"/>
    <w:rsid w:val="00A81717"/>
    <w:rsid w:val="00A81801"/>
    <w:rsid w:val="00A81A04"/>
    <w:rsid w:val="00A81A6D"/>
    <w:rsid w:val="00A81ABD"/>
    <w:rsid w:val="00A81AFF"/>
    <w:rsid w:val="00A81BF4"/>
    <w:rsid w:val="00A81CE3"/>
    <w:rsid w:val="00A81D62"/>
    <w:rsid w:val="00A81E1B"/>
    <w:rsid w:val="00A81E5D"/>
    <w:rsid w:val="00A81E67"/>
    <w:rsid w:val="00A82310"/>
    <w:rsid w:val="00A8239E"/>
    <w:rsid w:val="00A823C8"/>
    <w:rsid w:val="00A823E4"/>
    <w:rsid w:val="00A824D0"/>
    <w:rsid w:val="00A825A2"/>
    <w:rsid w:val="00A8263D"/>
    <w:rsid w:val="00A82704"/>
    <w:rsid w:val="00A82752"/>
    <w:rsid w:val="00A827F9"/>
    <w:rsid w:val="00A82857"/>
    <w:rsid w:val="00A82888"/>
    <w:rsid w:val="00A82B74"/>
    <w:rsid w:val="00A82BE3"/>
    <w:rsid w:val="00A82EA2"/>
    <w:rsid w:val="00A82FB1"/>
    <w:rsid w:val="00A8302B"/>
    <w:rsid w:val="00A831F5"/>
    <w:rsid w:val="00A8331C"/>
    <w:rsid w:val="00A8334A"/>
    <w:rsid w:val="00A834BD"/>
    <w:rsid w:val="00A835A6"/>
    <w:rsid w:val="00A83706"/>
    <w:rsid w:val="00A83775"/>
    <w:rsid w:val="00A837A2"/>
    <w:rsid w:val="00A83992"/>
    <w:rsid w:val="00A83A56"/>
    <w:rsid w:val="00A83BF3"/>
    <w:rsid w:val="00A83C3A"/>
    <w:rsid w:val="00A83D3E"/>
    <w:rsid w:val="00A83D8C"/>
    <w:rsid w:val="00A83E12"/>
    <w:rsid w:val="00A83E2F"/>
    <w:rsid w:val="00A83EF9"/>
    <w:rsid w:val="00A83F6B"/>
    <w:rsid w:val="00A83F8A"/>
    <w:rsid w:val="00A841E5"/>
    <w:rsid w:val="00A844BD"/>
    <w:rsid w:val="00A844F9"/>
    <w:rsid w:val="00A84501"/>
    <w:rsid w:val="00A84550"/>
    <w:rsid w:val="00A84633"/>
    <w:rsid w:val="00A846D3"/>
    <w:rsid w:val="00A84721"/>
    <w:rsid w:val="00A8472A"/>
    <w:rsid w:val="00A84771"/>
    <w:rsid w:val="00A84786"/>
    <w:rsid w:val="00A84870"/>
    <w:rsid w:val="00A848B1"/>
    <w:rsid w:val="00A84B3A"/>
    <w:rsid w:val="00A84BD5"/>
    <w:rsid w:val="00A84DF7"/>
    <w:rsid w:val="00A84E34"/>
    <w:rsid w:val="00A84E5D"/>
    <w:rsid w:val="00A84F4C"/>
    <w:rsid w:val="00A850B6"/>
    <w:rsid w:val="00A85177"/>
    <w:rsid w:val="00A85666"/>
    <w:rsid w:val="00A857F4"/>
    <w:rsid w:val="00A85B28"/>
    <w:rsid w:val="00A85CD3"/>
    <w:rsid w:val="00A85CF2"/>
    <w:rsid w:val="00A85EED"/>
    <w:rsid w:val="00A85F13"/>
    <w:rsid w:val="00A85F48"/>
    <w:rsid w:val="00A85F9E"/>
    <w:rsid w:val="00A8606A"/>
    <w:rsid w:val="00A860AF"/>
    <w:rsid w:val="00A86115"/>
    <w:rsid w:val="00A8613B"/>
    <w:rsid w:val="00A86166"/>
    <w:rsid w:val="00A862C2"/>
    <w:rsid w:val="00A86360"/>
    <w:rsid w:val="00A863A4"/>
    <w:rsid w:val="00A864C8"/>
    <w:rsid w:val="00A864CB"/>
    <w:rsid w:val="00A864D7"/>
    <w:rsid w:val="00A86588"/>
    <w:rsid w:val="00A866E1"/>
    <w:rsid w:val="00A86701"/>
    <w:rsid w:val="00A86801"/>
    <w:rsid w:val="00A8687A"/>
    <w:rsid w:val="00A86920"/>
    <w:rsid w:val="00A86A8F"/>
    <w:rsid w:val="00A86DBF"/>
    <w:rsid w:val="00A86EE9"/>
    <w:rsid w:val="00A87016"/>
    <w:rsid w:val="00A87079"/>
    <w:rsid w:val="00A872E1"/>
    <w:rsid w:val="00A872FB"/>
    <w:rsid w:val="00A87353"/>
    <w:rsid w:val="00A873C0"/>
    <w:rsid w:val="00A873E3"/>
    <w:rsid w:val="00A87402"/>
    <w:rsid w:val="00A87440"/>
    <w:rsid w:val="00A876FB"/>
    <w:rsid w:val="00A87771"/>
    <w:rsid w:val="00A87780"/>
    <w:rsid w:val="00A87801"/>
    <w:rsid w:val="00A87831"/>
    <w:rsid w:val="00A87A50"/>
    <w:rsid w:val="00A87A7C"/>
    <w:rsid w:val="00A87B20"/>
    <w:rsid w:val="00A87E51"/>
    <w:rsid w:val="00A87E60"/>
    <w:rsid w:val="00A87EDF"/>
    <w:rsid w:val="00A90009"/>
    <w:rsid w:val="00A900DE"/>
    <w:rsid w:val="00A900E9"/>
    <w:rsid w:val="00A9026C"/>
    <w:rsid w:val="00A90291"/>
    <w:rsid w:val="00A90338"/>
    <w:rsid w:val="00A90451"/>
    <w:rsid w:val="00A90590"/>
    <w:rsid w:val="00A90723"/>
    <w:rsid w:val="00A9072E"/>
    <w:rsid w:val="00A907E9"/>
    <w:rsid w:val="00A90832"/>
    <w:rsid w:val="00A90978"/>
    <w:rsid w:val="00A90A24"/>
    <w:rsid w:val="00A90A3C"/>
    <w:rsid w:val="00A90EC6"/>
    <w:rsid w:val="00A90FB4"/>
    <w:rsid w:val="00A90FCE"/>
    <w:rsid w:val="00A91089"/>
    <w:rsid w:val="00A912A5"/>
    <w:rsid w:val="00A91448"/>
    <w:rsid w:val="00A91543"/>
    <w:rsid w:val="00A915E2"/>
    <w:rsid w:val="00A916BB"/>
    <w:rsid w:val="00A916D1"/>
    <w:rsid w:val="00A917A9"/>
    <w:rsid w:val="00A9182A"/>
    <w:rsid w:val="00A919B8"/>
    <w:rsid w:val="00A91AB0"/>
    <w:rsid w:val="00A91C43"/>
    <w:rsid w:val="00A91EA6"/>
    <w:rsid w:val="00A91F27"/>
    <w:rsid w:val="00A91F3B"/>
    <w:rsid w:val="00A91F47"/>
    <w:rsid w:val="00A91F85"/>
    <w:rsid w:val="00A91FB9"/>
    <w:rsid w:val="00A920AF"/>
    <w:rsid w:val="00A920BB"/>
    <w:rsid w:val="00A920FA"/>
    <w:rsid w:val="00A92132"/>
    <w:rsid w:val="00A92135"/>
    <w:rsid w:val="00A921C5"/>
    <w:rsid w:val="00A921CA"/>
    <w:rsid w:val="00A92234"/>
    <w:rsid w:val="00A9228F"/>
    <w:rsid w:val="00A92335"/>
    <w:rsid w:val="00A923B9"/>
    <w:rsid w:val="00A924BB"/>
    <w:rsid w:val="00A92520"/>
    <w:rsid w:val="00A9255E"/>
    <w:rsid w:val="00A925CE"/>
    <w:rsid w:val="00A9274D"/>
    <w:rsid w:val="00A92801"/>
    <w:rsid w:val="00A92944"/>
    <w:rsid w:val="00A92B2B"/>
    <w:rsid w:val="00A92B68"/>
    <w:rsid w:val="00A92C29"/>
    <w:rsid w:val="00A92C72"/>
    <w:rsid w:val="00A92CED"/>
    <w:rsid w:val="00A92DE0"/>
    <w:rsid w:val="00A92E01"/>
    <w:rsid w:val="00A92E35"/>
    <w:rsid w:val="00A92F80"/>
    <w:rsid w:val="00A92F97"/>
    <w:rsid w:val="00A93030"/>
    <w:rsid w:val="00A93082"/>
    <w:rsid w:val="00A9371C"/>
    <w:rsid w:val="00A93814"/>
    <w:rsid w:val="00A93832"/>
    <w:rsid w:val="00A938B2"/>
    <w:rsid w:val="00A938F1"/>
    <w:rsid w:val="00A93966"/>
    <w:rsid w:val="00A9396A"/>
    <w:rsid w:val="00A9397C"/>
    <w:rsid w:val="00A93B11"/>
    <w:rsid w:val="00A93CDA"/>
    <w:rsid w:val="00A93EA9"/>
    <w:rsid w:val="00A93FF5"/>
    <w:rsid w:val="00A94100"/>
    <w:rsid w:val="00A941C9"/>
    <w:rsid w:val="00A94278"/>
    <w:rsid w:val="00A94466"/>
    <w:rsid w:val="00A944D6"/>
    <w:rsid w:val="00A945E9"/>
    <w:rsid w:val="00A94802"/>
    <w:rsid w:val="00A949C0"/>
    <w:rsid w:val="00A94A8C"/>
    <w:rsid w:val="00A94BD2"/>
    <w:rsid w:val="00A94C8B"/>
    <w:rsid w:val="00A94CE9"/>
    <w:rsid w:val="00A94D7C"/>
    <w:rsid w:val="00A94EC5"/>
    <w:rsid w:val="00A94F2B"/>
    <w:rsid w:val="00A95117"/>
    <w:rsid w:val="00A95149"/>
    <w:rsid w:val="00A951AF"/>
    <w:rsid w:val="00A951B4"/>
    <w:rsid w:val="00A951C2"/>
    <w:rsid w:val="00A95319"/>
    <w:rsid w:val="00A9534A"/>
    <w:rsid w:val="00A953D4"/>
    <w:rsid w:val="00A95477"/>
    <w:rsid w:val="00A9554C"/>
    <w:rsid w:val="00A957AC"/>
    <w:rsid w:val="00A95891"/>
    <w:rsid w:val="00A95933"/>
    <w:rsid w:val="00A959E9"/>
    <w:rsid w:val="00A95A0F"/>
    <w:rsid w:val="00A95AD0"/>
    <w:rsid w:val="00A95B01"/>
    <w:rsid w:val="00A95BE4"/>
    <w:rsid w:val="00A95C34"/>
    <w:rsid w:val="00A95CFE"/>
    <w:rsid w:val="00A95E5F"/>
    <w:rsid w:val="00A95F6D"/>
    <w:rsid w:val="00A95FBC"/>
    <w:rsid w:val="00A960BF"/>
    <w:rsid w:val="00A9615C"/>
    <w:rsid w:val="00A962DD"/>
    <w:rsid w:val="00A96474"/>
    <w:rsid w:val="00A96480"/>
    <w:rsid w:val="00A9649F"/>
    <w:rsid w:val="00A96604"/>
    <w:rsid w:val="00A9662F"/>
    <w:rsid w:val="00A96667"/>
    <w:rsid w:val="00A9666C"/>
    <w:rsid w:val="00A96835"/>
    <w:rsid w:val="00A96A7A"/>
    <w:rsid w:val="00A96B40"/>
    <w:rsid w:val="00A96B9E"/>
    <w:rsid w:val="00A96BF0"/>
    <w:rsid w:val="00A96C16"/>
    <w:rsid w:val="00A96D77"/>
    <w:rsid w:val="00A96DE3"/>
    <w:rsid w:val="00A96EAF"/>
    <w:rsid w:val="00A96F65"/>
    <w:rsid w:val="00A97066"/>
    <w:rsid w:val="00A97221"/>
    <w:rsid w:val="00A97227"/>
    <w:rsid w:val="00A9749C"/>
    <w:rsid w:val="00A9752A"/>
    <w:rsid w:val="00A976C7"/>
    <w:rsid w:val="00A97786"/>
    <w:rsid w:val="00A978CF"/>
    <w:rsid w:val="00A9793A"/>
    <w:rsid w:val="00A97A26"/>
    <w:rsid w:val="00A97A4D"/>
    <w:rsid w:val="00A97A7B"/>
    <w:rsid w:val="00A97B7F"/>
    <w:rsid w:val="00A97C07"/>
    <w:rsid w:val="00A97CFE"/>
    <w:rsid w:val="00A97E1F"/>
    <w:rsid w:val="00A97E41"/>
    <w:rsid w:val="00A97EC3"/>
    <w:rsid w:val="00A97FF8"/>
    <w:rsid w:val="00AA0069"/>
    <w:rsid w:val="00AA012F"/>
    <w:rsid w:val="00AA015A"/>
    <w:rsid w:val="00AA01C8"/>
    <w:rsid w:val="00AA02AA"/>
    <w:rsid w:val="00AA031C"/>
    <w:rsid w:val="00AA0383"/>
    <w:rsid w:val="00AA03D1"/>
    <w:rsid w:val="00AA044A"/>
    <w:rsid w:val="00AA0523"/>
    <w:rsid w:val="00AA05C7"/>
    <w:rsid w:val="00AA05E0"/>
    <w:rsid w:val="00AA0600"/>
    <w:rsid w:val="00AA07D6"/>
    <w:rsid w:val="00AA0B6B"/>
    <w:rsid w:val="00AA0C6D"/>
    <w:rsid w:val="00AA0D8E"/>
    <w:rsid w:val="00AA0EEA"/>
    <w:rsid w:val="00AA0F8C"/>
    <w:rsid w:val="00AA1020"/>
    <w:rsid w:val="00AA1021"/>
    <w:rsid w:val="00AA10AF"/>
    <w:rsid w:val="00AA118D"/>
    <w:rsid w:val="00AA11E4"/>
    <w:rsid w:val="00AA12DE"/>
    <w:rsid w:val="00AA13D6"/>
    <w:rsid w:val="00AA1448"/>
    <w:rsid w:val="00AA146E"/>
    <w:rsid w:val="00AA148A"/>
    <w:rsid w:val="00AA1607"/>
    <w:rsid w:val="00AA1852"/>
    <w:rsid w:val="00AA1894"/>
    <w:rsid w:val="00AA1973"/>
    <w:rsid w:val="00AA1997"/>
    <w:rsid w:val="00AA1D82"/>
    <w:rsid w:val="00AA1E8E"/>
    <w:rsid w:val="00AA1FAD"/>
    <w:rsid w:val="00AA2007"/>
    <w:rsid w:val="00AA20E3"/>
    <w:rsid w:val="00AA2172"/>
    <w:rsid w:val="00AA21F0"/>
    <w:rsid w:val="00AA236B"/>
    <w:rsid w:val="00AA2478"/>
    <w:rsid w:val="00AA2485"/>
    <w:rsid w:val="00AA24C7"/>
    <w:rsid w:val="00AA2521"/>
    <w:rsid w:val="00AA25F9"/>
    <w:rsid w:val="00AA262F"/>
    <w:rsid w:val="00AA27EB"/>
    <w:rsid w:val="00AA28B1"/>
    <w:rsid w:val="00AA2A1D"/>
    <w:rsid w:val="00AA2D42"/>
    <w:rsid w:val="00AA2D97"/>
    <w:rsid w:val="00AA2E80"/>
    <w:rsid w:val="00AA2EF3"/>
    <w:rsid w:val="00AA2F1A"/>
    <w:rsid w:val="00AA2FED"/>
    <w:rsid w:val="00AA3043"/>
    <w:rsid w:val="00AA30FD"/>
    <w:rsid w:val="00AA3166"/>
    <w:rsid w:val="00AA32DB"/>
    <w:rsid w:val="00AA3319"/>
    <w:rsid w:val="00AA3354"/>
    <w:rsid w:val="00AA33D7"/>
    <w:rsid w:val="00AA349A"/>
    <w:rsid w:val="00AA34C7"/>
    <w:rsid w:val="00AA3518"/>
    <w:rsid w:val="00AA36B9"/>
    <w:rsid w:val="00AA36FE"/>
    <w:rsid w:val="00AA377B"/>
    <w:rsid w:val="00AA38AE"/>
    <w:rsid w:val="00AA38CC"/>
    <w:rsid w:val="00AA390F"/>
    <w:rsid w:val="00AA3AB1"/>
    <w:rsid w:val="00AA3B76"/>
    <w:rsid w:val="00AA3BA8"/>
    <w:rsid w:val="00AA3C86"/>
    <w:rsid w:val="00AA3C8F"/>
    <w:rsid w:val="00AA3EF2"/>
    <w:rsid w:val="00AA3F3A"/>
    <w:rsid w:val="00AA4009"/>
    <w:rsid w:val="00AA4075"/>
    <w:rsid w:val="00AA409C"/>
    <w:rsid w:val="00AA4566"/>
    <w:rsid w:val="00AA4591"/>
    <w:rsid w:val="00AA45D3"/>
    <w:rsid w:val="00AA47A9"/>
    <w:rsid w:val="00AA483F"/>
    <w:rsid w:val="00AA496C"/>
    <w:rsid w:val="00AA4A6F"/>
    <w:rsid w:val="00AA4B98"/>
    <w:rsid w:val="00AA4BB9"/>
    <w:rsid w:val="00AA4BDF"/>
    <w:rsid w:val="00AA4D34"/>
    <w:rsid w:val="00AA4DEF"/>
    <w:rsid w:val="00AA5066"/>
    <w:rsid w:val="00AA51F2"/>
    <w:rsid w:val="00AA52F2"/>
    <w:rsid w:val="00AA5362"/>
    <w:rsid w:val="00AA5434"/>
    <w:rsid w:val="00AA557A"/>
    <w:rsid w:val="00AA55DA"/>
    <w:rsid w:val="00AA55EF"/>
    <w:rsid w:val="00AA55F8"/>
    <w:rsid w:val="00AA56AA"/>
    <w:rsid w:val="00AA56F5"/>
    <w:rsid w:val="00AA57BB"/>
    <w:rsid w:val="00AA57DB"/>
    <w:rsid w:val="00AA5A1A"/>
    <w:rsid w:val="00AA5ACB"/>
    <w:rsid w:val="00AA5ADB"/>
    <w:rsid w:val="00AA5BBD"/>
    <w:rsid w:val="00AA5BDE"/>
    <w:rsid w:val="00AA5BF0"/>
    <w:rsid w:val="00AA5CE7"/>
    <w:rsid w:val="00AA5E14"/>
    <w:rsid w:val="00AA5EF9"/>
    <w:rsid w:val="00AA5F79"/>
    <w:rsid w:val="00AA5FF5"/>
    <w:rsid w:val="00AA6071"/>
    <w:rsid w:val="00AA6122"/>
    <w:rsid w:val="00AA6260"/>
    <w:rsid w:val="00AA6269"/>
    <w:rsid w:val="00AA62EC"/>
    <w:rsid w:val="00AA635F"/>
    <w:rsid w:val="00AA645F"/>
    <w:rsid w:val="00AA6505"/>
    <w:rsid w:val="00AA657D"/>
    <w:rsid w:val="00AA65C7"/>
    <w:rsid w:val="00AA66F5"/>
    <w:rsid w:val="00AA6710"/>
    <w:rsid w:val="00AA6792"/>
    <w:rsid w:val="00AA67E7"/>
    <w:rsid w:val="00AA6875"/>
    <w:rsid w:val="00AA689C"/>
    <w:rsid w:val="00AA68FD"/>
    <w:rsid w:val="00AA6950"/>
    <w:rsid w:val="00AA6BA1"/>
    <w:rsid w:val="00AA6BF8"/>
    <w:rsid w:val="00AA6C60"/>
    <w:rsid w:val="00AA6C8D"/>
    <w:rsid w:val="00AA6D02"/>
    <w:rsid w:val="00AA6DCE"/>
    <w:rsid w:val="00AA6E96"/>
    <w:rsid w:val="00AA6F54"/>
    <w:rsid w:val="00AA7175"/>
    <w:rsid w:val="00AA7506"/>
    <w:rsid w:val="00AA7620"/>
    <w:rsid w:val="00AA769E"/>
    <w:rsid w:val="00AA7753"/>
    <w:rsid w:val="00AA7829"/>
    <w:rsid w:val="00AA7874"/>
    <w:rsid w:val="00AA7A9C"/>
    <w:rsid w:val="00AA7B33"/>
    <w:rsid w:val="00AA7D06"/>
    <w:rsid w:val="00AA7F42"/>
    <w:rsid w:val="00AA7F5D"/>
    <w:rsid w:val="00AA7F63"/>
    <w:rsid w:val="00AB002B"/>
    <w:rsid w:val="00AB00D5"/>
    <w:rsid w:val="00AB015B"/>
    <w:rsid w:val="00AB0172"/>
    <w:rsid w:val="00AB01B1"/>
    <w:rsid w:val="00AB01E9"/>
    <w:rsid w:val="00AB022E"/>
    <w:rsid w:val="00AB0334"/>
    <w:rsid w:val="00AB0366"/>
    <w:rsid w:val="00AB0397"/>
    <w:rsid w:val="00AB040B"/>
    <w:rsid w:val="00AB0611"/>
    <w:rsid w:val="00AB0637"/>
    <w:rsid w:val="00AB069E"/>
    <w:rsid w:val="00AB06AB"/>
    <w:rsid w:val="00AB07C6"/>
    <w:rsid w:val="00AB0846"/>
    <w:rsid w:val="00AB0854"/>
    <w:rsid w:val="00AB0878"/>
    <w:rsid w:val="00AB0909"/>
    <w:rsid w:val="00AB0B2C"/>
    <w:rsid w:val="00AB0C7C"/>
    <w:rsid w:val="00AB0CC0"/>
    <w:rsid w:val="00AB0EF5"/>
    <w:rsid w:val="00AB0F28"/>
    <w:rsid w:val="00AB0F7C"/>
    <w:rsid w:val="00AB0F8C"/>
    <w:rsid w:val="00AB101C"/>
    <w:rsid w:val="00AB126E"/>
    <w:rsid w:val="00AB1305"/>
    <w:rsid w:val="00AB130D"/>
    <w:rsid w:val="00AB1360"/>
    <w:rsid w:val="00AB1426"/>
    <w:rsid w:val="00AB1662"/>
    <w:rsid w:val="00AB169F"/>
    <w:rsid w:val="00AB16EB"/>
    <w:rsid w:val="00AB17ED"/>
    <w:rsid w:val="00AB187D"/>
    <w:rsid w:val="00AB18C3"/>
    <w:rsid w:val="00AB18ED"/>
    <w:rsid w:val="00AB1A51"/>
    <w:rsid w:val="00AB1B45"/>
    <w:rsid w:val="00AB1D19"/>
    <w:rsid w:val="00AB1DC5"/>
    <w:rsid w:val="00AB1E1C"/>
    <w:rsid w:val="00AB1E1D"/>
    <w:rsid w:val="00AB200B"/>
    <w:rsid w:val="00AB210A"/>
    <w:rsid w:val="00AB2141"/>
    <w:rsid w:val="00AB2159"/>
    <w:rsid w:val="00AB237F"/>
    <w:rsid w:val="00AB23C2"/>
    <w:rsid w:val="00AB24C4"/>
    <w:rsid w:val="00AB25B6"/>
    <w:rsid w:val="00AB26E5"/>
    <w:rsid w:val="00AB2737"/>
    <w:rsid w:val="00AB280C"/>
    <w:rsid w:val="00AB281F"/>
    <w:rsid w:val="00AB2912"/>
    <w:rsid w:val="00AB295D"/>
    <w:rsid w:val="00AB2BD3"/>
    <w:rsid w:val="00AB2EB3"/>
    <w:rsid w:val="00AB2F80"/>
    <w:rsid w:val="00AB2F92"/>
    <w:rsid w:val="00AB2FBD"/>
    <w:rsid w:val="00AB30A5"/>
    <w:rsid w:val="00AB313C"/>
    <w:rsid w:val="00AB31B4"/>
    <w:rsid w:val="00AB3269"/>
    <w:rsid w:val="00AB32EF"/>
    <w:rsid w:val="00AB32FD"/>
    <w:rsid w:val="00AB3495"/>
    <w:rsid w:val="00AB3664"/>
    <w:rsid w:val="00AB36E5"/>
    <w:rsid w:val="00AB36EF"/>
    <w:rsid w:val="00AB372A"/>
    <w:rsid w:val="00AB378D"/>
    <w:rsid w:val="00AB3790"/>
    <w:rsid w:val="00AB39F0"/>
    <w:rsid w:val="00AB3A60"/>
    <w:rsid w:val="00AB3A64"/>
    <w:rsid w:val="00AB3AF7"/>
    <w:rsid w:val="00AB3B58"/>
    <w:rsid w:val="00AB3B83"/>
    <w:rsid w:val="00AB3CBA"/>
    <w:rsid w:val="00AB3D47"/>
    <w:rsid w:val="00AB3E31"/>
    <w:rsid w:val="00AB3E72"/>
    <w:rsid w:val="00AB3EF3"/>
    <w:rsid w:val="00AB3F94"/>
    <w:rsid w:val="00AB406F"/>
    <w:rsid w:val="00AB40C3"/>
    <w:rsid w:val="00AB41F8"/>
    <w:rsid w:val="00AB4228"/>
    <w:rsid w:val="00AB4363"/>
    <w:rsid w:val="00AB43E8"/>
    <w:rsid w:val="00AB4538"/>
    <w:rsid w:val="00AB4631"/>
    <w:rsid w:val="00AB4726"/>
    <w:rsid w:val="00AB478B"/>
    <w:rsid w:val="00AB48BE"/>
    <w:rsid w:val="00AB4954"/>
    <w:rsid w:val="00AB4982"/>
    <w:rsid w:val="00AB49CD"/>
    <w:rsid w:val="00AB4A9D"/>
    <w:rsid w:val="00AB4D00"/>
    <w:rsid w:val="00AB5015"/>
    <w:rsid w:val="00AB519C"/>
    <w:rsid w:val="00AB5226"/>
    <w:rsid w:val="00AB5237"/>
    <w:rsid w:val="00AB52A9"/>
    <w:rsid w:val="00AB53ED"/>
    <w:rsid w:val="00AB549F"/>
    <w:rsid w:val="00AB5705"/>
    <w:rsid w:val="00AB57A0"/>
    <w:rsid w:val="00AB57BA"/>
    <w:rsid w:val="00AB57CF"/>
    <w:rsid w:val="00AB5907"/>
    <w:rsid w:val="00AB59D0"/>
    <w:rsid w:val="00AB5A17"/>
    <w:rsid w:val="00AB5A3F"/>
    <w:rsid w:val="00AB5B05"/>
    <w:rsid w:val="00AB5C85"/>
    <w:rsid w:val="00AB5D60"/>
    <w:rsid w:val="00AB5D65"/>
    <w:rsid w:val="00AB5DE9"/>
    <w:rsid w:val="00AB5E55"/>
    <w:rsid w:val="00AB5E70"/>
    <w:rsid w:val="00AB5EE9"/>
    <w:rsid w:val="00AB5F99"/>
    <w:rsid w:val="00AB60CC"/>
    <w:rsid w:val="00AB60ED"/>
    <w:rsid w:val="00AB6122"/>
    <w:rsid w:val="00AB626C"/>
    <w:rsid w:val="00AB628C"/>
    <w:rsid w:val="00AB62B5"/>
    <w:rsid w:val="00AB64A9"/>
    <w:rsid w:val="00AB6875"/>
    <w:rsid w:val="00AB68AC"/>
    <w:rsid w:val="00AB69C9"/>
    <w:rsid w:val="00AB69F9"/>
    <w:rsid w:val="00AB6AAA"/>
    <w:rsid w:val="00AB6ADE"/>
    <w:rsid w:val="00AB6B79"/>
    <w:rsid w:val="00AB6C9B"/>
    <w:rsid w:val="00AB6CAC"/>
    <w:rsid w:val="00AB6CD3"/>
    <w:rsid w:val="00AB6D33"/>
    <w:rsid w:val="00AB6DA7"/>
    <w:rsid w:val="00AB6E8E"/>
    <w:rsid w:val="00AB6F92"/>
    <w:rsid w:val="00AB7191"/>
    <w:rsid w:val="00AB7203"/>
    <w:rsid w:val="00AB723D"/>
    <w:rsid w:val="00AB724B"/>
    <w:rsid w:val="00AB725A"/>
    <w:rsid w:val="00AB72F2"/>
    <w:rsid w:val="00AB7377"/>
    <w:rsid w:val="00AB739F"/>
    <w:rsid w:val="00AB7691"/>
    <w:rsid w:val="00AB7705"/>
    <w:rsid w:val="00AB7834"/>
    <w:rsid w:val="00AB7977"/>
    <w:rsid w:val="00AB7989"/>
    <w:rsid w:val="00AB79A7"/>
    <w:rsid w:val="00AB7A3E"/>
    <w:rsid w:val="00AB7A4F"/>
    <w:rsid w:val="00AB7A98"/>
    <w:rsid w:val="00AB7AB5"/>
    <w:rsid w:val="00AB7B35"/>
    <w:rsid w:val="00AB7BC5"/>
    <w:rsid w:val="00AB7BD3"/>
    <w:rsid w:val="00AB7C56"/>
    <w:rsid w:val="00AB7ED7"/>
    <w:rsid w:val="00AC00C2"/>
    <w:rsid w:val="00AC011B"/>
    <w:rsid w:val="00AC0430"/>
    <w:rsid w:val="00AC04E2"/>
    <w:rsid w:val="00AC0604"/>
    <w:rsid w:val="00AC061D"/>
    <w:rsid w:val="00AC06A0"/>
    <w:rsid w:val="00AC06D4"/>
    <w:rsid w:val="00AC073F"/>
    <w:rsid w:val="00AC079D"/>
    <w:rsid w:val="00AC0870"/>
    <w:rsid w:val="00AC093A"/>
    <w:rsid w:val="00AC099C"/>
    <w:rsid w:val="00AC0A1F"/>
    <w:rsid w:val="00AC0A4B"/>
    <w:rsid w:val="00AC0AB6"/>
    <w:rsid w:val="00AC0BC1"/>
    <w:rsid w:val="00AC0CD1"/>
    <w:rsid w:val="00AC0E50"/>
    <w:rsid w:val="00AC0E92"/>
    <w:rsid w:val="00AC0EE1"/>
    <w:rsid w:val="00AC1015"/>
    <w:rsid w:val="00AC1067"/>
    <w:rsid w:val="00AC10AC"/>
    <w:rsid w:val="00AC116B"/>
    <w:rsid w:val="00AC123E"/>
    <w:rsid w:val="00AC12B3"/>
    <w:rsid w:val="00AC1386"/>
    <w:rsid w:val="00AC13F4"/>
    <w:rsid w:val="00AC1408"/>
    <w:rsid w:val="00AC1580"/>
    <w:rsid w:val="00AC171B"/>
    <w:rsid w:val="00AC1836"/>
    <w:rsid w:val="00AC184A"/>
    <w:rsid w:val="00AC18B7"/>
    <w:rsid w:val="00AC19A1"/>
    <w:rsid w:val="00AC19D8"/>
    <w:rsid w:val="00AC1A29"/>
    <w:rsid w:val="00AC1B06"/>
    <w:rsid w:val="00AC1B80"/>
    <w:rsid w:val="00AC1C01"/>
    <w:rsid w:val="00AC1C5E"/>
    <w:rsid w:val="00AC1C96"/>
    <w:rsid w:val="00AC200F"/>
    <w:rsid w:val="00AC2020"/>
    <w:rsid w:val="00AC2121"/>
    <w:rsid w:val="00AC2162"/>
    <w:rsid w:val="00AC21F6"/>
    <w:rsid w:val="00AC21FE"/>
    <w:rsid w:val="00AC2237"/>
    <w:rsid w:val="00AC2465"/>
    <w:rsid w:val="00AC25AB"/>
    <w:rsid w:val="00AC25CB"/>
    <w:rsid w:val="00AC2664"/>
    <w:rsid w:val="00AC2796"/>
    <w:rsid w:val="00AC27C1"/>
    <w:rsid w:val="00AC27EA"/>
    <w:rsid w:val="00AC2BF5"/>
    <w:rsid w:val="00AC2C23"/>
    <w:rsid w:val="00AC2C68"/>
    <w:rsid w:val="00AC2CFF"/>
    <w:rsid w:val="00AC2D88"/>
    <w:rsid w:val="00AC2DB7"/>
    <w:rsid w:val="00AC2DFC"/>
    <w:rsid w:val="00AC2F40"/>
    <w:rsid w:val="00AC2F6F"/>
    <w:rsid w:val="00AC30F6"/>
    <w:rsid w:val="00AC3122"/>
    <w:rsid w:val="00AC3253"/>
    <w:rsid w:val="00AC3321"/>
    <w:rsid w:val="00AC33A0"/>
    <w:rsid w:val="00AC3429"/>
    <w:rsid w:val="00AC362D"/>
    <w:rsid w:val="00AC36A5"/>
    <w:rsid w:val="00AC374F"/>
    <w:rsid w:val="00AC37D2"/>
    <w:rsid w:val="00AC384F"/>
    <w:rsid w:val="00AC3937"/>
    <w:rsid w:val="00AC39E8"/>
    <w:rsid w:val="00AC3C5C"/>
    <w:rsid w:val="00AC3CE5"/>
    <w:rsid w:val="00AC3DEA"/>
    <w:rsid w:val="00AC3EAF"/>
    <w:rsid w:val="00AC3EBB"/>
    <w:rsid w:val="00AC3FDC"/>
    <w:rsid w:val="00AC401A"/>
    <w:rsid w:val="00AC40E3"/>
    <w:rsid w:val="00AC4188"/>
    <w:rsid w:val="00AC41D6"/>
    <w:rsid w:val="00AC4239"/>
    <w:rsid w:val="00AC427A"/>
    <w:rsid w:val="00AC4322"/>
    <w:rsid w:val="00AC4386"/>
    <w:rsid w:val="00AC43E3"/>
    <w:rsid w:val="00AC444E"/>
    <w:rsid w:val="00AC44A5"/>
    <w:rsid w:val="00AC44FC"/>
    <w:rsid w:val="00AC45DC"/>
    <w:rsid w:val="00AC465D"/>
    <w:rsid w:val="00AC4776"/>
    <w:rsid w:val="00AC481C"/>
    <w:rsid w:val="00AC482E"/>
    <w:rsid w:val="00AC4848"/>
    <w:rsid w:val="00AC488D"/>
    <w:rsid w:val="00AC4964"/>
    <w:rsid w:val="00AC4AE8"/>
    <w:rsid w:val="00AC4B6A"/>
    <w:rsid w:val="00AC4BB1"/>
    <w:rsid w:val="00AC4C5D"/>
    <w:rsid w:val="00AC4D2B"/>
    <w:rsid w:val="00AC4E66"/>
    <w:rsid w:val="00AC4FA6"/>
    <w:rsid w:val="00AC510E"/>
    <w:rsid w:val="00AC5410"/>
    <w:rsid w:val="00AC5436"/>
    <w:rsid w:val="00AC549B"/>
    <w:rsid w:val="00AC55E6"/>
    <w:rsid w:val="00AC5697"/>
    <w:rsid w:val="00AC56E9"/>
    <w:rsid w:val="00AC5733"/>
    <w:rsid w:val="00AC57D6"/>
    <w:rsid w:val="00AC58F3"/>
    <w:rsid w:val="00AC5AE7"/>
    <w:rsid w:val="00AC5C3C"/>
    <w:rsid w:val="00AC5CA0"/>
    <w:rsid w:val="00AC5D6C"/>
    <w:rsid w:val="00AC5E80"/>
    <w:rsid w:val="00AC5FE6"/>
    <w:rsid w:val="00AC606C"/>
    <w:rsid w:val="00AC6092"/>
    <w:rsid w:val="00AC6109"/>
    <w:rsid w:val="00AC63BA"/>
    <w:rsid w:val="00AC6480"/>
    <w:rsid w:val="00AC6532"/>
    <w:rsid w:val="00AC6730"/>
    <w:rsid w:val="00AC682B"/>
    <w:rsid w:val="00AC68BA"/>
    <w:rsid w:val="00AC68CC"/>
    <w:rsid w:val="00AC6903"/>
    <w:rsid w:val="00AC694D"/>
    <w:rsid w:val="00AC6C5F"/>
    <w:rsid w:val="00AC6CFB"/>
    <w:rsid w:val="00AC6E85"/>
    <w:rsid w:val="00AC6EDE"/>
    <w:rsid w:val="00AC7016"/>
    <w:rsid w:val="00AC7020"/>
    <w:rsid w:val="00AC708D"/>
    <w:rsid w:val="00AC70AC"/>
    <w:rsid w:val="00AC70C3"/>
    <w:rsid w:val="00AC7125"/>
    <w:rsid w:val="00AC72BA"/>
    <w:rsid w:val="00AC72E5"/>
    <w:rsid w:val="00AC730E"/>
    <w:rsid w:val="00AC73FC"/>
    <w:rsid w:val="00AC7437"/>
    <w:rsid w:val="00AC7689"/>
    <w:rsid w:val="00AC773D"/>
    <w:rsid w:val="00AC777B"/>
    <w:rsid w:val="00AC77D0"/>
    <w:rsid w:val="00AC78EE"/>
    <w:rsid w:val="00AC7901"/>
    <w:rsid w:val="00AC792C"/>
    <w:rsid w:val="00AC7F7D"/>
    <w:rsid w:val="00AC7FF5"/>
    <w:rsid w:val="00AD0082"/>
    <w:rsid w:val="00AD00AE"/>
    <w:rsid w:val="00AD00F4"/>
    <w:rsid w:val="00AD0119"/>
    <w:rsid w:val="00AD0171"/>
    <w:rsid w:val="00AD0233"/>
    <w:rsid w:val="00AD02B0"/>
    <w:rsid w:val="00AD037D"/>
    <w:rsid w:val="00AD03D2"/>
    <w:rsid w:val="00AD04F2"/>
    <w:rsid w:val="00AD06D2"/>
    <w:rsid w:val="00AD0771"/>
    <w:rsid w:val="00AD0840"/>
    <w:rsid w:val="00AD0A56"/>
    <w:rsid w:val="00AD0AEF"/>
    <w:rsid w:val="00AD0BD3"/>
    <w:rsid w:val="00AD0CEB"/>
    <w:rsid w:val="00AD0D4F"/>
    <w:rsid w:val="00AD0DF4"/>
    <w:rsid w:val="00AD0E8B"/>
    <w:rsid w:val="00AD0F9C"/>
    <w:rsid w:val="00AD0FAF"/>
    <w:rsid w:val="00AD1075"/>
    <w:rsid w:val="00AD11B6"/>
    <w:rsid w:val="00AD11B9"/>
    <w:rsid w:val="00AD12D7"/>
    <w:rsid w:val="00AD13C1"/>
    <w:rsid w:val="00AD13D8"/>
    <w:rsid w:val="00AD1451"/>
    <w:rsid w:val="00AD146A"/>
    <w:rsid w:val="00AD1556"/>
    <w:rsid w:val="00AD16DF"/>
    <w:rsid w:val="00AD1772"/>
    <w:rsid w:val="00AD18FE"/>
    <w:rsid w:val="00AD19A9"/>
    <w:rsid w:val="00AD19D6"/>
    <w:rsid w:val="00AD1AAE"/>
    <w:rsid w:val="00AD1BBD"/>
    <w:rsid w:val="00AD1BF1"/>
    <w:rsid w:val="00AD1D94"/>
    <w:rsid w:val="00AD1F52"/>
    <w:rsid w:val="00AD1F7C"/>
    <w:rsid w:val="00AD1FC8"/>
    <w:rsid w:val="00AD2061"/>
    <w:rsid w:val="00AD2174"/>
    <w:rsid w:val="00AD2314"/>
    <w:rsid w:val="00AD25FF"/>
    <w:rsid w:val="00AD2845"/>
    <w:rsid w:val="00AD285D"/>
    <w:rsid w:val="00AD2873"/>
    <w:rsid w:val="00AD29A5"/>
    <w:rsid w:val="00AD2B20"/>
    <w:rsid w:val="00AD2B9A"/>
    <w:rsid w:val="00AD2D1B"/>
    <w:rsid w:val="00AD2DAD"/>
    <w:rsid w:val="00AD2DB4"/>
    <w:rsid w:val="00AD2DC8"/>
    <w:rsid w:val="00AD2FFF"/>
    <w:rsid w:val="00AD3161"/>
    <w:rsid w:val="00AD3182"/>
    <w:rsid w:val="00AD3300"/>
    <w:rsid w:val="00AD3310"/>
    <w:rsid w:val="00AD3329"/>
    <w:rsid w:val="00AD3355"/>
    <w:rsid w:val="00AD3480"/>
    <w:rsid w:val="00AD3568"/>
    <w:rsid w:val="00AD36CD"/>
    <w:rsid w:val="00AD3703"/>
    <w:rsid w:val="00AD3B1C"/>
    <w:rsid w:val="00AD3C32"/>
    <w:rsid w:val="00AD3C74"/>
    <w:rsid w:val="00AD3C75"/>
    <w:rsid w:val="00AD3DEE"/>
    <w:rsid w:val="00AD3EBC"/>
    <w:rsid w:val="00AD3F4A"/>
    <w:rsid w:val="00AD3FAA"/>
    <w:rsid w:val="00AD4008"/>
    <w:rsid w:val="00AD4074"/>
    <w:rsid w:val="00AD4172"/>
    <w:rsid w:val="00AD425C"/>
    <w:rsid w:val="00AD4268"/>
    <w:rsid w:val="00AD4304"/>
    <w:rsid w:val="00AD4397"/>
    <w:rsid w:val="00AD4477"/>
    <w:rsid w:val="00AD44C9"/>
    <w:rsid w:val="00AD44DC"/>
    <w:rsid w:val="00AD450E"/>
    <w:rsid w:val="00AD459F"/>
    <w:rsid w:val="00AD46E9"/>
    <w:rsid w:val="00AD4865"/>
    <w:rsid w:val="00AD489E"/>
    <w:rsid w:val="00AD48B3"/>
    <w:rsid w:val="00AD49ED"/>
    <w:rsid w:val="00AD4AE5"/>
    <w:rsid w:val="00AD4AEE"/>
    <w:rsid w:val="00AD4C8F"/>
    <w:rsid w:val="00AD4F25"/>
    <w:rsid w:val="00AD4F48"/>
    <w:rsid w:val="00AD4F7E"/>
    <w:rsid w:val="00AD5047"/>
    <w:rsid w:val="00AD507B"/>
    <w:rsid w:val="00AD50D0"/>
    <w:rsid w:val="00AD5120"/>
    <w:rsid w:val="00AD5316"/>
    <w:rsid w:val="00AD5423"/>
    <w:rsid w:val="00AD5523"/>
    <w:rsid w:val="00AD568E"/>
    <w:rsid w:val="00AD56D8"/>
    <w:rsid w:val="00AD56E9"/>
    <w:rsid w:val="00AD5728"/>
    <w:rsid w:val="00AD57CA"/>
    <w:rsid w:val="00AD5922"/>
    <w:rsid w:val="00AD5A27"/>
    <w:rsid w:val="00AD5A3F"/>
    <w:rsid w:val="00AD5A45"/>
    <w:rsid w:val="00AD5ABE"/>
    <w:rsid w:val="00AD5ADE"/>
    <w:rsid w:val="00AD5CC0"/>
    <w:rsid w:val="00AD5F9A"/>
    <w:rsid w:val="00AD61DE"/>
    <w:rsid w:val="00AD61EF"/>
    <w:rsid w:val="00AD64C4"/>
    <w:rsid w:val="00AD6517"/>
    <w:rsid w:val="00AD6678"/>
    <w:rsid w:val="00AD6695"/>
    <w:rsid w:val="00AD66C6"/>
    <w:rsid w:val="00AD66D1"/>
    <w:rsid w:val="00AD66F8"/>
    <w:rsid w:val="00AD6724"/>
    <w:rsid w:val="00AD677C"/>
    <w:rsid w:val="00AD6897"/>
    <w:rsid w:val="00AD6957"/>
    <w:rsid w:val="00AD6981"/>
    <w:rsid w:val="00AD6AB2"/>
    <w:rsid w:val="00AD6ACF"/>
    <w:rsid w:val="00AD6C48"/>
    <w:rsid w:val="00AD6C99"/>
    <w:rsid w:val="00AD6CCF"/>
    <w:rsid w:val="00AD6E13"/>
    <w:rsid w:val="00AD6E4B"/>
    <w:rsid w:val="00AD6E57"/>
    <w:rsid w:val="00AD6F36"/>
    <w:rsid w:val="00AD6F56"/>
    <w:rsid w:val="00AD6FB6"/>
    <w:rsid w:val="00AD70CB"/>
    <w:rsid w:val="00AD70DF"/>
    <w:rsid w:val="00AD719C"/>
    <w:rsid w:val="00AD71B9"/>
    <w:rsid w:val="00AD7237"/>
    <w:rsid w:val="00AD7296"/>
    <w:rsid w:val="00AD73C3"/>
    <w:rsid w:val="00AD73CB"/>
    <w:rsid w:val="00AD7405"/>
    <w:rsid w:val="00AD74BA"/>
    <w:rsid w:val="00AD750C"/>
    <w:rsid w:val="00AD7520"/>
    <w:rsid w:val="00AD753C"/>
    <w:rsid w:val="00AD759A"/>
    <w:rsid w:val="00AD75E4"/>
    <w:rsid w:val="00AD76A0"/>
    <w:rsid w:val="00AD77D7"/>
    <w:rsid w:val="00AD78AA"/>
    <w:rsid w:val="00AD7967"/>
    <w:rsid w:val="00AD7A23"/>
    <w:rsid w:val="00AD7A46"/>
    <w:rsid w:val="00AD7A56"/>
    <w:rsid w:val="00AD7ACD"/>
    <w:rsid w:val="00AD7C08"/>
    <w:rsid w:val="00AD7C8F"/>
    <w:rsid w:val="00AD7D99"/>
    <w:rsid w:val="00AD7E6A"/>
    <w:rsid w:val="00AD7EFC"/>
    <w:rsid w:val="00AE0044"/>
    <w:rsid w:val="00AE00DD"/>
    <w:rsid w:val="00AE00EF"/>
    <w:rsid w:val="00AE018C"/>
    <w:rsid w:val="00AE0434"/>
    <w:rsid w:val="00AE09CC"/>
    <w:rsid w:val="00AE0A3B"/>
    <w:rsid w:val="00AE0AB1"/>
    <w:rsid w:val="00AE0B23"/>
    <w:rsid w:val="00AE0C41"/>
    <w:rsid w:val="00AE0CC4"/>
    <w:rsid w:val="00AE0D01"/>
    <w:rsid w:val="00AE0D7D"/>
    <w:rsid w:val="00AE0E37"/>
    <w:rsid w:val="00AE0F24"/>
    <w:rsid w:val="00AE1027"/>
    <w:rsid w:val="00AE1068"/>
    <w:rsid w:val="00AE11A7"/>
    <w:rsid w:val="00AE1216"/>
    <w:rsid w:val="00AE13A9"/>
    <w:rsid w:val="00AE1470"/>
    <w:rsid w:val="00AE1519"/>
    <w:rsid w:val="00AE1759"/>
    <w:rsid w:val="00AE18D7"/>
    <w:rsid w:val="00AE19A7"/>
    <w:rsid w:val="00AE19C0"/>
    <w:rsid w:val="00AE19DF"/>
    <w:rsid w:val="00AE19FB"/>
    <w:rsid w:val="00AE1AC5"/>
    <w:rsid w:val="00AE1BE7"/>
    <w:rsid w:val="00AE1D35"/>
    <w:rsid w:val="00AE1DA7"/>
    <w:rsid w:val="00AE1E93"/>
    <w:rsid w:val="00AE1EB8"/>
    <w:rsid w:val="00AE1EC1"/>
    <w:rsid w:val="00AE1EC4"/>
    <w:rsid w:val="00AE1FBB"/>
    <w:rsid w:val="00AE20A6"/>
    <w:rsid w:val="00AE2139"/>
    <w:rsid w:val="00AE222A"/>
    <w:rsid w:val="00AE22B1"/>
    <w:rsid w:val="00AE22B3"/>
    <w:rsid w:val="00AE2312"/>
    <w:rsid w:val="00AE2464"/>
    <w:rsid w:val="00AE24CF"/>
    <w:rsid w:val="00AE2502"/>
    <w:rsid w:val="00AE26D6"/>
    <w:rsid w:val="00AE276E"/>
    <w:rsid w:val="00AE27D5"/>
    <w:rsid w:val="00AE283B"/>
    <w:rsid w:val="00AE2A5A"/>
    <w:rsid w:val="00AE2B4B"/>
    <w:rsid w:val="00AE2BAF"/>
    <w:rsid w:val="00AE2C18"/>
    <w:rsid w:val="00AE2CA8"/>
    <w:rsid w:val="00AE2D61"/>
    <w:rsid w:val="00AE2DE3"/>
    <w:rsid w:val="00AE2F80"/>
    <w:rsid w:val="00AE313E"/>
    <w:rsid w:val="00AE32D1"/>
    <w:rsid w:val="00AE32E6"/>
    <w:rsid w:val="00AE332E"/>
    <w:rsid w:val="00AE3536"/>
    <w:rsid w:val="00AE3615"/>
    <w:rsid w:val="00AE370F"/>
    <w:rsid w:val="00AE3816"/>
    <w:rsid w:val="00AE39C1"/>
    <w:rsid w:val="00AE3AF6"/>
    <w:rsid w:val="00AE3D94"/>
    <w:rsid w:val="00AE3E6C"/>
    <w:rsid w:val="00AE3EAE"/>
    <w:rsid w:val="00AE3FC8"/>
    <w:rsid w:val="00AE404F"/>
    <w:rsid w:val="00AE41FB"/>
    <w:rsid w:val="00AE4207"/>
    <w:rsid w:val="00AE432D"/>
    <w:rsid w:val="00AE44A2"/>
    <w:rsid w:val="00AE44BF"/>
    <w:rsid w:val="00AE450F"/>
    <w:rsid w:val="00AE454F"/>
    <w:rsid w:val="00AE4606"/>
    <w:rsid w:val="00AE4628"/>
    <w:rsid w:val="00AE465E"/>
    <w:rsid w:val="00AE47A9"/>
    <w:rsid w:val="00AE48E7"/>
    <w:rsid w:val="00AE4927"/>
    <w:rsid w:val="00AE4A2B"/>
    <w:rsid w:val="00AE4B0A"/>
    <w:rsid w:val="00AE4B76"/>
    <w:rsid w:val="00AE4B7B"/>
    <w:rsid w:val="00AE4B85"/>
    <w:rsid w:val="00AE4BD7"/>
    <w:rsid w:val="00AE4C8B"/>
    <w:rsid w:val="00AE4D59"/>
    <w:rsid w:val="00AE4D8C"/>
    <w:rsid w:val="00AE4DA4"/>
    <w:rsid w:val="00AE4F1A"/>
    <w:rsid w:val="00AE4FE8"/>
    <w:rsid w:val="00AE505E"/>
    <w:rsid w:val="00AE5083"/>
    <w:rsid w:val="00AE51DC"/>
    <w:rsid w:val="00AE51ED"/>
    <w:rsid w:val="00AE547E"/>
    <w:rsid w:val="00AE5537"/>
    <w:rsid w:val="00AE5648"/>
    <w:rsid w:val="00AE5692"/>
    <w:rsid w:val="00AE570E"/>
    <w:rsid w:val="00AE5769"/>
    <w:rsid w:val="00AE57C6"/>
    <w:rsid w:val="00AE5848"/>
    <w:rsid w:val="00AE58C6"/>
    <w:rsid w:val="00AE597A"/>
    <w:rsid w:val="00AE5B8B"/>
    <w:rsid w:val="00AE5D38"/>
    <w:rsid w:val="00AE5F68"/>
    <w:rsid w:val="00AE6092"/>
    <w:rsid w:val="00AE60CC"/>
    <w:rsid w:val="00AE620D"/>
    <w:rsid w:val="00AE6326"/>
    <w:rsid w:val="00AE641F"/>
    <w:rsid w:val="00AE6435"/>
    <w:rsid w:val="00AE644C"/>
    <w:rsid w:val="00AE64A0"/>
    <w:rsid w:val="00AE65A4"/>
    <w:rsid w:val="00AE65CD"/>
    <w:rsid w:val="00AE685C"/>
    <w:rsid w:val="00AE68AE"/>
    <w:rsid w:val="00AE68B1"/>
    <w:rsid w:val="00AE691E"/>
    <w:rsid w:val="00AE69B2"/>
    <w:rsid w:val="00AE6A42"/>
    <w:rsid w:val="00AE6C25"/>
    <w:rsid w:val="00AE6C3E"/>
    <w:rsid w:val="00AE6C9C"/>
    <w:rsid w:val="00AE6F9F"/>
    <w:rsid w:val="00AE708F"/>
    <w:rsid w:val="00AE715E"/>
    <w:rsid w:val="00AE718A"/>
    <w:rsid w:val="00AE71E0"/>
    <w:rsid w:val="00AE7243"/>
    <w:rsid w:val="00AE72EA"/>
    <w:rsid w:val="00AE7323"/>
    <w:rsid w:val="00AE73FE"/>
    <w:rsid w:val="00AE742F"/>
    <w:rsid w:val="00AE7571"/>
    <w:rsid w:val="00AE7587"/>
    <w:rsid w:val="00AE75FB"/>
    <w:rsid w:val="00AE7738"/>
    <w:rsid w:val="00AE77D1"/>
    <w:rsid w:val="00AE7835"/>
    <w:rsid w:val="00AE78E2"/>
    <w:rsid w:val="00AE796C"/>
    <w:rsid w:val="00AE7A68"/>
    <w:rsid w:val="00AE7A6E"/>
    <w:rsid w:val="00AE7A77"/>
    <w:rsid w:val="00AE7B16"/>
    <w:rsid w:val="00AE7C7C"/>
    <w:rsid w:val="00AE7D4B"/>
    <w:rsid w:val="00AE7E80"/>
    <w:rsid w:val="00AE7F26"/>
    <w:rsid w:val="00AE7F4A"/>
    <w:rsid w:val="00AE7FAD"/>
    <w:rsid w:val="00AE7FF6"/>
    <w:rsid w:val="00AF0070"/>
    <w:rsid w:val="00AF0214"/>
    <w:rsid w:val="00AF0375"/>
    <w:rsid w:val="00AF0402"/>
    <w:rsid w:val="00AF056A"/>
    <w:rsid w:val="00AF05F1"/>
    <w:rsid w:val="00AF067E"/>
    <w:rsid w:val="00AF071A"/>
    <w:rsid w:val="00AF0A39"/>
    <w:rsid w:val="00AF0BBA"/>
    <w:rsid w:val="00AF0C75"/>
    <w:rsid w:val="00AF10A2"/>
    <w:rsid w:val="00AF1151"/>
    <w:rsid w:val="00AF1164"/>
    <w:rsid w:val="00AF1173"/>
    <w:rsid w:val="00AF117C"/>
    <w:rsid w:val="00AF11E6"/>
    <w:rsid w:val="00AF1234"/>
    <w:rsid w:val="00AF1366"/>
    <w:rsid w:val="00AF136C"/>
    <w:rsid w:val="00AF1376"/>
    <w:rsid w:val="00AF145A"/>
    <w:rsid w:val="00AF1514"/>
    <w:rsid w:val="00AF1696"/>
    <w:rsid w:val="00AF1789"/>
    <w:rsid w:val="00AF17F9"/>
    <w:rsid w:val="00AF18BA"/>
    <w:rsid w:val="00AF19BD"/>
    <w:rsid w:val="00AF1A5F"/>
    <w:rsid w:val="00AF1AD2"/>
    <w:rsid w:val="00AF1D1E"/>
    <w:rsid w:val="00AF1D82"/>
    <w:rsid w:val="00AF1E5C"/>
    <w:rsid w:val="00AF1EC7"/>
    <w:rsid w:val="00AF1F58"/>
    <w:rsid w:val="00AF2005"/>
    <w:rsid w:val="00AF2061"/>
    <w:rsid w:val="00AF21C7"/>
    <w:rsid w:val="00AF21F9"/>
    <w:rsid w:val="00AF22A5"/>
    <w:rsid w:val="00AF24E7"/>
    <w:rsid w:val="00AF25AF"/>
    <w:rsid w:val="00AF269B"/>
    <w:rsid w:val="00AF26AC"/>
    <w:rsid w:val="00AF2770"/>
    <w:rsid w:val="00AF27B8"/>
    <w:rsid w:val="00AF2866"/>
    <w:rsid w:val="00AF287C"/>
    <w:rsid w:val="00AF28DD"/>
    <w:rsid w:val="00AF2907"/>
    <w:rsid w:val="00AF29E5"/>
    <w:rsid w:val="00AF2AFD"/>
    <w:rsid w:val="00AF2B77"/>
    <w:rsid w:val="00AF2CB3"/>
    <w:rsid w:val="00AF3026"/>
    <w:rsid w:val="00AF310F"/>
    <w:rsid w:val="00AF3134"/>
    <w:rsid w:val="00AF31B9"/>
    <w:rsid w:val="00AF322D"/>
    <w:rsid w:val="00AF32A0"/>
    <w:rsid w:val="00AF33C1"/>
    <w:rsid w:val="00AF34E8"/>
    <w:rsid w:val="00AF3566"/>
    <w:rsid w:val="00AF37CC"/>
    <w:rsid w:val="00AF3982"/>
    <w:rsid w:val="00AF3987"/>
    <w:rsid w:val="00AF3A3C"/>
    <w:rsid w:val="00AF3A4C"/>
    <w:rsid w:val="00AF3AC2"/>
    <w:rsid w:val="00AF3B24"/>
    <w:rsid w:val="00AF3BB1"/>
    <w:rsid w:val="00AF3C03"/>
    <w:rsid w:val="00AF3C3F"/>
    <w:rsid w:val="00AF3F17"/>
    <w:rsid w:val="00AF4175"/>
    <w:rsid w:val="00AF41F2"/>
    <w:rsid w:val="00AF42A9"/>
    <w:rsid w:val="00AF4320"/>
    <w:rsid w:val="00AF43C2"/>
    <w:rsid w:val="00AF44C4"/>
    <w:rsid w:val="00AF47B9"/>
    <w:rsid w:val="00AF483A"/>
    <w:rsid w:val="00AF4845"/>
    <w:rsid w:val="00AF49FD"/>
    <w:rsid w:val="00AF4C42"/>
    <w:rsid w:val="00AF4C7F"/>
    <w:rsid w:val="00AF4CE5"/>
    <w:rsid w:val="00AF4DF4"/>
    <w:rsid w:val="00AF4EE9"/>
    <w:rsid w:val="00AF4EEE"/>
    <w:rsid w:val="00AF511C"/>
    <w:rsid w:val="00AF5178"/>
    <w:rsid w:val="00AF5352"/>
    <w:rsid w:val="00AF5436"/>
    <w:rsid w:val="00AF54C7"/>
    <w:rsid w:val="00AF54E2"/>
    <w:rsid w:val="00AF565C"/>
    <w:rsid w:val="00AF56B5"/>
    <w:rsid w:val="00AF5781"/>
    <w:rsid w:val="00AF580D"/>
    <w:rsid w:val="00AF5878"/>
    <w:rsid w:val="00AF588F"/>
    <w:rsid w:val="00AF5AE6"/>
    <w:rsid w:val="00AF5B80"/>
    <w:rsid w:val="00AF5B8C"/>
    <w:rsid w:val="00AF5CBB"/>
    <w:rsid w:val="00AF5E66"/>
    <w:rsid w:val="00AF5EB5"/>
    <w:rsid w:val="00AF5ECA"/>
    <w:rsid w:val="00AF5F1E"/>
    <w:rsid w:val="00AF6153"/>
    <w:rsid w:val="00AF6207"/>
    <w:rsid w:val="00AF6269"/>
    <w:rsid w:val="00AF630C"/>
    <w:rsid w:val="00AF6478"/>
    <w:rsid w:val="00AF65B6"/>
    <w:rsid w:val="00AF67B9"/>
    <w:rsid w:val="00AF6913"/>
    <w:rsid w:val="00AF694C"/>
    <w:rsid w:val="00AF6A35"/>
    <w:rsid w:val="00AF6AD1"/>
    <w:rsid w:val="00AF6B27"/>
    <w:rsid w:val="00AF6BA8"/>
    <w:rsid w:val="00AF6BC2"/>
    <w:rsid w:val="00AF6C02"/>
    <w:rsid w:val="00AF6C2B"/>
    <w:rsid w:val="00AF6D0D"/>
    <w:rsid w:val="00AF6D56"/>
    <w:rsid w:val="00AF6E14"/>
    <w:rsid w:val="00AF7019"/>
    <w:rsid w:val="00AF70B8"/>
    <w:rsid w:val="00AF7163"/>
    <w:rsid w:val="00AF7277"/>
    <w:rsid w:val="00AF727B"/>
    <w:rsid w:val="00AF72C9"/>
    <w:rsid w:val="00AF731C"/>
    <w:rsid w:val="00AF732A"/>
    <w:rsid w:val="00AF734B"/>
    <w:rsid w:val="00AF73A0"/>
    <w:rsid w:val="00AF73A7"/>
    <w:rsid w:val="00AF74E2"/>
    <w:rsid w:val="00AF7573"/>
    <w:rsid w:val="00AF7759"/>
    <w:rsid w:val="00AF7836"/>
    <w:rsid w:val="00AF7A65"/>
    <w:rsid w:val="00AF7AC6"/>
    <w:rsid w:val="00AF7D24"/>
    <w:rsid w:val="00B00079"/>
    <w:rsid w:val="00B0012A"/>
    <w:rsid w:val="00B0016C"/>
    <w:rsid w:val="00B0018D"/>
    <w:rsid w:val="00B0022F"/>
    <w:rsid w:val="00B002E2"/>
    <w:rsid w:val="00B0034F"/>
    <w:rsid w:val="00B003A4"/>
    <w:rsid w:val="00B0046B"/>
    <w:rsid w:val="00B004E9"/>
    <w:rsid w:val="00B0060C"/>
    <w:rsid w:val="00B006EF"/>
    <w:rsid w:val="00B0074E"/>
    <w:rsid w:val="00B0080F"/>
    <w:rsid w:val="00B0092C"/>
    <w:rsid w:val="00B0099D"/>
    <w:rsid w:val="00B00BAB"/>
    <w:rsid w:val="00B00C20"/>
    <w:rsid w:val="00B0112D"/>
    <w:rsid w:val="00B01197"/>
    <w:rsid w:val="00B011E6"/>
    <w:rsid w:val="00B01259"/>
    <w:rsid w:val="00B0127C"/>
    <w:rsid w:val="00B013B3"/>
    <w:rsid w:val="00B013EF"/>
    <w:rsid w:val="00B01430"/>
    <w:rsid w:val="00B01585"/>
    <w:rsid w:val="00B0159D"/>
    <w:rsid w:val="00B015B7"/>
    <w:rsid w:val="00B0169E"/>
    <w:rsid w:val="00B017E5"/>
    <w:rsid w:val="00B01858"/>
    <w:rsid w:val="00B0199F"/>
    <w:rsid w:val="00B01A5D"/>
    <w:rsid w:val="00B01A60"/>
    <w:rsid w:val="00B01A7B"/>
    <w:rsid w:val="00B01B27"/>
    <w:rsid w:val="00B01BA5"/>
    <w:rsid w:val="00B01BE8"/>
    <w:rsid w:val="00B01CA5"/>
    <w:rsid w:val="00B01D16"/>
    <w:rsid w:val="00B01EB8"/>
    <w:rsid w:val="00B01ECC"/>
    <w:rsid w:val="00B01F1D"/>
    <w:rsid w:val="00B01F2E"/>
    <w:rsid w:val="00B01FF9"/>
    <w:rsid w:val="00B0201F"/>
    <w:rsid w:val="00B02036"/>
    <w:rsid w:val="00B02061"/>
    <w:rsid w:val="00B020CA"/>
    <w:rsid w:val="00B0213A"/>
    <w:rsid w:val="00B0232C"/>
    <w:rsid w:val="00B0256C"/>
    <w:rsid w:val="00B026A3"/>
    <w:rsid w:val="00B026B0"/>
    <w:rsid w:val="00B0282A"/>
    <w:rsid w:val="00B0283E"/>
    <w:rsid w:val="00B02918"/>
    <w:rsid w:val="00B02A33"/>
    <w:rsid w:val="00B02A5F"/>
    <w:rsid w:val="00B02BC2"/>
    <w:rsid w:val="00B02BCC"/>
    <w:rsid w:val="00B02BEB"/>
    <w:rsid w:val="00B02C26"/>
    <w:rsid w:val="00B02E88"/>
    <w:rsid w:val="00B02EBC"/>
    <w:rsid w:val="00B02EFA"/>
    <w:rsid w:val="00B02F60"/>
    <w:rsid w:val="00B03043"/>
    <w:rsid w:val="00B030B7"/>
    <w:rsid w:val="00B030C5"/>
    <w:rsid w:val="00B030E6"/>
    <w:rsid w:val="00B031FB"/>
    <w:rsid w:val="00B034D6"/>
    <w:rsid w:val="00B035DE"/>
    <w:rsid w:val="00B03663"/>
    <w:rsid w:val="00B03676"/>
    <w:rsid w:val="00B03687"/>
    <w:rsid w:val="00B037E4"/>
    <w:rsid w:val="00B03850"/>
    <w:rsid w:val="00B038D6"/>
    <w:rsid w:val="00B0390F"/>
    <w:rsid w:val="00B03957"/>
    <w:rsid w:val="00B03973"/>
    <w:rsid w:val="00B03D9F"/>
    <w:rsid w:val="00B03E98"/>
    <w:rsid w:val="00B03FA2"/>
    <w:rsid w:val="00B03FC7"/>
    <w:rsid w:val="00B0406A"/>
    <w:rsid w:val="00B04116"/>
    <w:rsid w:val="00B04176"/>
    <w:rsid w:val="00B0417F"/>
    <w:rsid w:val="00B041A2"/>
    <w:rsid w:val="00B041FD"/>
    <w:rsid w:val="00B04207"/>
    <w:rsid w:val="00B04279"/>
    <w:rsid w:val="00B0438F"/>
    <w:rsid w:val="00B04405"/>
    <w:rsid w:val="00B045B0"/>
    <w:rsid w:val="00B04779"/>
    <w:rsid w:val="00B047D8"/>
    <w:rsid w:val="00B047E3"/>
    <w:rsid w:val="00B04834"/>
    <w:rsid w:val="00B04854"/>
    <w:rsid w:val="00B048AC"/>
    <w:rsid w:val="00B048E6"/>
    <w:rsid w:val="00B04909"/>
    <w:rsid w:val="00B04919"/>
    <w:rsid w:val="00B0496C"/>
    <w:rsid w:val="00B04A62"/>
    <w:rsid w:val="00B04AC1"/>
    <w:rsid w:val="00B04AD4"/>
    <w:rsid w:val="00B04AF2"/>
    <w:rsid w:val="00B04CCE"/>
    <w:rsid w:val="00B04CDD"/>
    <w:rsid w:val="00B04D84"/>
    <w:rsid w:val="00B04DE1"/>
    <w:rsid w:val="00B04E6D"/>
    <w:rsid w:val="00B05089"/>
    <w:rsid w:val="00B050D4"/>
    <w:rsid w:val="00B051BF"/>
    <w:rsid w:val="00B052F2"/>
    <w:rsid w:val="00B05333"/>
    <w:rsid w:val="00B0533C"/>
    <w:rsid w:val="00B05396"/>
    <w:rsid w:val="00B053EB"/>
    <w:rsid w:val="00B054E6"/>
    <w:rsid w:val="00B054F9"/>
    <w:rsid w:val="00B057AF"/>
    <w:rsid w:val="00B0593C"/>
    <w:rsid w:val="00B0598C"/>
    <w:rsid w:val="00B05B25"/>
    <w:rsid w:val="00B05BB0"/>
    <w:rsid w:val="00B05E0D"/>
    <w:rsid w:val="00B05E91"/>
    <w:rsid w:val="00B05EAF"/>
    <w:rsid w:val="00B05EB2"/>
    <w:rsid w:val="00B05F69"/>
    <w:rsid w:val="00B05FFC"/>
    <w:rsid w:val="00B060CA"/>
    <w:rsid w:val="00B06204"/>
    <w:rsid w:val="00B062D8"/>
    <w:rsid w:val="00B06492"/>
    <w:rsid w:val="00B064DB"/>
    <w:rsid w:val="00B0660D"/>
    <w:rsid w:val="00B0682D"/>
    <w:rsid w:val="00B06843"/>
    <w:rsid w:val="00B06888"/>
    <w:rsid w:val="00B0693A"/>
    <w:rsid w:val="00B0699D"/>
    <w:rsid w:val="00B069D7"/>
    <w:rsid w:val="00B06B11"/>
    <w:rsid w:val="00B06B56"/>
    <w:rsid w:val="00B06C6E"/>
    <w:rsid w:val="00B06DA2"/>
    <w:rsid w:val="00B06E70"/>
    <w:rsid w:val="00B06E79"/>
    <w:rsid w:val="00B07009"/>
    <w:rsid w:val="00B070AC"/>
    <w:rsid w:val="00B07128"/>
    <w:rsid w:val="00B07172"/>
    <w:rsid w:val="00B0727F"/>
    <w:rsid w:val="00B072D2"/>
    <w:rsid w:val="00B07306"/>
    <w:rsid w:val="00B0732F"/>
    <w:rsid w:val="00B07646"/>
    <w:rsid w:val="00B0766C"/>
    <w:rsid w:val="00B077A6"/>
    <w:rsid w:val="00B077F1"/>
    <w:rsid w:val="00B07825"/>
    <w:rsid w:val="00B079F5"/>
    <w:rsid w:val="00B07AF9"/>
    <w:rsid w:val="00B07B5F"/>
    <w:rsid w:val="00B07BE2"/>
    <w:rsid w:val="00B07C73"/>
    <w:rsid w:val="00B07CA6"/>
    <w:rsid w:val="00B07D4A"/>
    <w:rsid w:val="00B07DA7"/>
    <w:rsid w:val="00B07DB9"/>
    <w:rsid w:val="00B07EB6"/>
    <w:rsid w:val="00B07EBC"/>
    <w:rsid w:val="00B07F9D"/>
    <w:rsid w:val="00B07FE1"/>
    <w:rsid w:val="00B10050"/>
    <w:rsid w:val="00B1006F"/>
    <w:rsid w:val="00B100E8"/>
    <w:rsid w:val="00B1017C"/>
    <w:rsid w:val="00B101E3"/>
    <w:rsid w:val="00B101EB"/>
    <w:rsid w:val="00B10268"/>
    <w:rsid w:val="00B102CC"/>
    <w:rsid w:val="00B1039B"/>
    <w:rsid w:val="00B104A6"/>
    <w:rsid w:val="00B104D0"/>
    <w:rsid w:val="00B10521"/>
    <w:rsid w:val="00B105C7"/>
    <w:rsid w:val="00B107E0"/>
    <w:rsid w:val="00B10836"/>
    <w:rsid w:val="00B10880"/>
    <w:rsid w:val="00B1091E"/>
    <w:rsid w:val="00B10BAD"/>
    <w:rsid w:val="00B10CF7"/>
    <w:rsid w:val="00B10DD8"/>
    <w:rsid w:val="00B10E5D"/>
    <w:rsid w:val="00B11053"/>
    <w:rsid w:val="00B11129"/>
    <w:rsid w:val="00B1127C"/>
    <w:rsid w:val="00B11432"/>
    <w:rsid w:val="00B114F5"/>
    <w:rsid w:val="00B115D1"/>
    <w:rsid w:val="00B115EA"/>
    <w:rsid w:val="00B117E3"/>
    <w:rsid w:val="00B117FB"/>
    <w:rsid w:val="00B11932"/>
    <w:rsid w:val="00B11B5B"/>
    <w:rsid w:val="00B11BA6"/>
    <w:rsid w:val="00B11D9D"/>
    <w:rsid w:val="00B11EFF"/>
    <w:rsid w:val="00B11F0A"/>
    <w:rsid w:val="00B11F83"/>
    <w:rsid w:val="00B12087"/>
    <w:rsid w:val="00B120FB"/>
    <w:rsid w:val="00B12288"/>
    <w:rsid w:val="00B12330"/>
    <w:rsid w:val="00B123E7"/>
    <w:rsid w:val="00B123F0"/>
    <w:rsid w:val="00B12411"/>
    <w:rsid w:val="00B12563"/>
    <w:rsid w:val="00B125BD"/>
    <w:rsid w:val="00B12620"/>
    <w:rsid w:val="00B126C8"/>
    <w:rsid w:val="00B12714"/>
    <w:rsid w:val="00B1276C"/>
    <w:rsid w:val="00B127F9"/>
    <w:rsid w:val="00B12851"/>
    <w:rsid w:val="00B128D5"/>
    <w:rsid w:val="00B12990"/>
    <w:rsid w:val="00B129D9"/>
    <w:rsid w:val="00B12B5E"/>
    <w:rsid w:val="00B12C38"/>
    <w:rsid w:val="00B12C60"/>
    <w:rsid w:val="00B12CB9"/>
    <w:rsid w:val="00B12D40"/>
    <w:rsid w:val="00B12D8D"/>
    <w:rsid w:val="00B12DA2"/>
    <w:rsid w:val="00B12ED2"/>
    <w:rsid w:val="00B12F9A"/>
    <w:rsid w:val="00B12F9F"/>
    <w:rsid w:val="00B13102"/>
    <w:rsid w:val="00B13115"/>
    <w:rsid w:val="00B1329E"/>
    <w:rsid w:val="00B1331A"/>
    <w:rsid w:val="00B1350E"/>
    <w:rsid w:val="00B1354E"/>
    <w:rsid w:val="00B136E4"/>
    <w:rsid w:val="00B13887"/>
    <w:rsid w:val="00B138CE"/>
    <w:rsid w:val="00B1390D"/>
    <w:rsid w:val="00B139FE"/>
    <w:rsid w:val="00B13A8F"/>
    <w:rsid w:val="00B13BC4"/>
    <w:rsid w:val="00B13BF2"/>
    <w:rsid w:val="00B13CA9"/>
    <w:rsid w:val="00B13D48"/>
    <w:rsid w:val="00B13D60"/>
    <w:rsid w:val="00B13DF7"/>
    <w:rsid w:val="00B13E6F"/>
    <w:rsid w:val="00B13EDA"/>
    <w:rsid w:val="00B14544"/>
    <w:rsid w:val="00B146DE"/>
    <w:rsid w:val="00B14793"/>
    <w:rsid w:val="00B147CF"/>
    <w:rsid w:val="00B14825"/>
    <w:rsid w:val="00B14829"/>
    <w:rsid w:val="00B148D5"/>
    <w:rsid w:val="00B14937"/>
    <w:rsid w:val="00B14B2D"/>
    <w:rsid w:val="00B14C5C"/>
    <w:rsid w:val="00B14F02"/>
    <w:rsid w:val="00B150BE"/>
    <w:rsid w:val="00B15152"/>
    <w:rsid w:val="00B1525C"/>
    <w:rsid w:val="00B15269"/>
    <w:rsid w:val="00B1538C"/>
    <w:rsid w:val="00B154A6"/>
    <w:rsid w:val="00B15710"/>
    <w:rsid w:val="00B15712"/>
    <w:rsid w:val="00B15876"/>
    <w:rsid w:val="00B158C3"/>
    <w:rsid w:val="00B15901"/>
    <w:rsid w:val="00B1594D"/>
    <w:rsid w:val="00B15A2E"/>
    <w:rsid w:val="00B15B30"/>
    <w:rsid w:val="00B15B37"/>
    <w:rsid w:val="00B15BB7"/>
    <w:rsid w:val="00B15C44"/>
    <w:rsid w:val="00B15C5F"/>
    <w:rsid w:val="00B15C75"/>
    <w:rsid w:val="00B15C77"/>
    <w:rsid w:val="00B15C90"/>
    <w:rsid w:val="00B15E3E"/>
    <w:rsid w:val="00B15E70"/>
    <w:rsid w:val="00B16060"/>
    <w:rsid w:val="00B1608B"/>
    <w:rsid w:val="00B163A0"/>
    <w:rsid w:val="00B164A4"/>
    <w:rsid w:val="00B1662E"/>
    <w:rsid w:val="00B1663B"/>
    <w:rsid w:val="00B16677"/>
    <w:rsid w:val="00B1668B"/>
    <w:rsid w:val="00B166DF"/>
    <w:rsid w:val="00B16712"/>
    <w:rsid w:val="00B16774"/>
    <w:rsid w:val="00B1677F"/>
    <w:rsid w:val="00B16902"/>
    <w:rsid w:val="00B16B1A"/>
    <w:rsid w:val="00B16B20"/>
    <w:rsid w:val="00B16BC3"/>
    <w:rsid w:val="00B16C28"/>
    <w:rsid w:val="00B16CD3"/>
    <w:rsid w:val="00B16CF2"/>
    <w:rsid w:val="00B17142"/>
    <w:rsid w:val="00B17262"/>
    <w:rsid w:val="00B17286"/>
    <w:rsid w:val="00B172C1"/>
    <w:rsid w:val="00B17343"/>
    <w:rsid w:val="00B1739B"/>
    <w:rsid w:val="00B17447"/>
    <w:rsid w:val="00B1749D"/>
    <w:rsid w:val="00B174F8"/>
    <w:rsid w:val="00B17500"/>
    <w:rsid w:val="00B17586"/>
    <w:rsid w:val="00B175C6"/>
    <w:rsid w:val="00B1765F"/>
    <w:rsid w:val="00B176A8"/>
    <w:rsid w:val="00B176B7"/>
    <w:rsid w:val="00B176FB"/>
    <w:rsid w:val="00B17739"/>
    <w:rsid w:val="00B178AB"/>
    <w:rsid w:val="00B17B31"/>
    <w:rsid w:val="00B17B6F"/>
    <w:rsid w:val="00B17D30"/>
    <w:rsid w:val="00B17D43"/>
    <w:rsid w:val="00B17D4A"/>
    <w:rsid w:val="00B17DE7"/>
    <w:rsid w:val="00B17E9A"/>
    <w:rsid w:val="00B17EC3"/>
    <w:rsid w:val="00B17F2E"/>
    <w:rsid w:val="00B17F59"/>
    <w:rsid w:val="00B202BC"/>
    <w:rsid w:val="00B2030E"/>
    <w:rsid w:val="00B2055C"/>
    <w:rsid w:val="00B205C0"/>
    <w:rsid w:val="00B20666"/>
    <w:rsid w:val="00B209E0"/>
    <w:rsid w:val="00B20B24"/>
    <w:rsid w:val="00B20B54"/>
    <w:rsid w:val="00B20B99"/>
    <w:rsid w:val="00B20BAF"/>
    <w:rsid w:val="00B20BC7"/>
    <w:rsid w:val="00B20C35"/>
    <w:rsid w:val="00B20DDD"/>
    <w:rsid w:val="00B20F51"/>
    <w:rsid w:val="00B20F5F"/>
    <w:rsid w:val="00B20F65"/>
    <w:rsid w:val="00B2100C"/>
    <w:rsid w:val="00B210AF"/>
    <w:rsid w:val="00B21153"/>
    <w:rsid w:val="00B211D5"/>
    <w:rsid w:val="00B21206"/>
    <w:rsid w:val="00B2121B"/>
    <w:rsid w:val="00B2133A"/>
    <w:rsid w:val="00B2147D"/>
    <w:rsid w:val="00B214BB"/>
    <w:rsid w:val="00B21653"/>
    <w:rsid w:val="00B21818"/>
    <w:rsid w:val="00B21895"/>
    <w:rsid w:val="00B218A8"/>
    <w:rsid w:val="00B21C69"/>
    <w:rsid w:val="00B21C8F"/>
    <w:rsid w:val="00B21CF5"/>
    <w:rsid w:val="00B21D84"/>
    <w:rsid w:val="00B21F73"/>
    <w:rsid w:val="00B22012"/>
    <w:rsid w:val="00B220ED"/>
    <w:rsid w:val="00B22141"/>
    <w:rsid w:val="00B22174"/>
    <w:rsid w:val="00B221F9"/>
    <w:rsid w:val="00B222F6"/>
    <w:rsid w:val="00B2233E"/>
    <w:rsid w:val="00B223B5"/>
    <w:rsid w:val="00B224C0"/>
    <w:rsid w:val="00B2259C"/>
    <w:rsid w:val="00B226E3"/>
    <w:rsid w:val="00B227F5"/>
    <w:rsid w:val="00B227F7"/>
    <w:rsid w:val="00B22835"/>
    <w:rsid w:val="00B22857"/>
    <w:rsid w:val="00B22870"/>
    <w:rsid w:val="00B2298F"/>
    <w:rsid w:val="00B22A43"/>
    <w:rsid w:val="00B22CC9"/>
    <w:rsid w:val="00B22CED"/>
    <w:rsid w:val="00B22E25"/>
    <w:rsid w:val="00B22E99"/>
    <w:rsid w:val="00B2307C"/>
    <w:rsid w:val="00B23133"/>
    <w:rsid w:val="00B23312"/>
    <w:rsid w:val="00B23390"/>
    <w:rsid w:val="00B23427"/>
    <w:rsid w:val="00B234E0"/>
    <w:rsid w:val="00B2362A"/>
    <w:rsid w:val="00B2368A"/>
    <w:rsid w:val="00B2377B"/>
    <w:rsid w:val="00B2378D"/>
    <w:rsid w:val="00B23914"/>
    <w:rsid w:val="00B23A62"/>
    <w:rsid w:val="00B23B31"/>
    <w:rsid w:val="00B23B3B"/>
    <w:rsid w:val="00B23C86"/>
    <w:rsid w:val="00B23CA0"/>
    <w:rsid w:val="00B23E15"/>
    <w:rsid w:val="00B23F68"/>
    <w:rsid w:val="00B23F6D"/>
    <w:rsid w:val="00B23F75"/>
    <w:rsid w:val="00B24122"/>
    <w:rsid w:val="00B24196"/>
    <w:rsid w:val="00B24311"/>
    <w:rsid w:val="00B24370"/>
    <w:rsid w:val="00B24508"/>
    <w:rsid w:val="00B2454F"/>
    <w:rsid w:val="00B246DF"/>
    <w:rsid w:val="00B24775"/>
    <w:rsid w:val="00B24780"/>
    <w:rsid w:val="00B24868"/>
    <w:rsid w:val="00B248D8"/>
    <w:rsid w:val="00B248FA"/>
    <w:rsid w:val="00B249D6"/>
    <w:rsid w:val="00B24BEC"/>
    <w:rsid w:val="00B24CCA"/>
    <w:rsid w:val="00B24E31"/>
    <w:rsid w:val="00B24E7B"/>
    <w:rsid w:val="00B24E83"/>
    <w:rsid w:val="00B24F00"/>
    <w:rsid w:val="00B24FFB"/>
    <w:rsid w:val="00B2509C"/>
    <w:rsid w:val="00B2517B"/>
    <w:rsid w:val="00B251B4"/>
    <w:rsid w:val="00B251EC"/>
    <w:rsid w:val="00B253CB"/>
    <w:rsid w:val="00B25409"/>
    <w:rsid w:val="00B254BC"/>
    <w:rsid w:val="00B2561F"/>
    <w:rsid w:val="00B256B4"/>
    <w:rsid w:val="00B25741"/>
    <w:rsid w:val="00B257D8"/>
    <w:rsid w:val="00B258B1"/>
    <w:rsid w:val="00B259D2"/>
    <w:rsid w:val="00B259D5"/>
    <w:rsid w:val="00B259FA"/>
    <w:rsid w:val="00B25AEA"/>
    <w:rsid w:val="00B25B10"/>
    <w:rsid w:val="00B25BBE"/>
    <w:rsid w:val="00B25C07"/>
    <w:rsid w:val="00B25D3C"/>
    <w:rsid w:val="00B25FE3"/>
    <w:rsid w:val="00B261D4"/>
    <w:rsid w:val="00B2621D"/>
    <w:rsid w:val="00B2625E"/>
    <w:rsid w:val="00B262F8"/>
    <w:rsid w:val="00B26314"/>
    <w:rsid w:val="00B26382"/>
    <w:rsid w:val="00B263EE"/>
    <w:rsid w:val="00B263FE"/>
    <w:rsid w:val="00B265EF"/>
    <w:rsid w:val="00B266A1"/>
    <w:rsid w:val="00B26742"/>
    <w:rsid w:val="00B2676A"/>
    <w:rsid w:val="00B2677D"/>
    <w:rsid w:val="00B26A3B"/>
    <w:rsid w:val="00B26BA9"/>
    <w:rsid w:val="00B26C84"/>
    <w:rsid w:val="00B26DC4"/>
    <w:rsid w:val="00B26E3E"/>
    <w:rsid w:val="00B26ED2"/>
    <w:rsid w:val="00B26F06"/>
    <w:rsid w:val="00B26F32"/>
    <w:rsid w:val="00B26F9A"/>
    <w:rsid w:val="00B27098"/>
    <w:rsid w:val="00B272E9"/>
    <w:rsid w:val="00B273AE"/>
    <w:rsid w:val="00B274B6"/>
    <w:rsid w:val="00B275C5"/>
    <w:rsid w:val="00B2762A"/>
    <w:rsid w:val="00B2776B"/>
    <w:rsid w:val="00B27785"/>
    <w:rsid w:val="00B278ED"/>
    <w:rsid w:val="00B27B1E"/>
    <w:rsid w:val="00B27B6F"/>
    <w:rsid w:val="00B27D1F"/>
    <w:rsid w:val="00B27D61"/>
    <w:rsid w:val="00B27DEF"/>
    <w:rsid w:val="00B27F5B"/>
    <w:rsid w:val="00B30015"/>
    <w:rsid w:val="00B3002D"/>
    <w:rsid w:val="00B30038"/>
    <w:rsid w:val="00B300A5"/>
    <w:rsid w:val="00B300B1"/>
    <w:rsid w:val="00B300D2"/>
    <w:rsid w:val="00B300EE"/>
    <w:rsid w:val="00B30162"/>
    <w:rsid w:val="00B3017E"/>
    <w:rsid w:val="00B3020A"/>
    <w:rsid w:val="00B3026C"/>
    <w:rsid w:val="00B302AD"/>
    <w:rsid w:val="00B303FD"/>
    <w:rsid w:val="00B305E0"/>
    <w:rsid w:val="00B30666"/>
    <w:rsid w:val="00B30703"/>
    <w:rsid w:val="00B30726"/>
    <w:rsid w:val="00B30990"/>
    <w:rsid w:val="00B30A02"/>
    <w:rsid w:val="00B30A5E"/>
    <w:rsid w:val="00B30AA7"/>
    <w:rsid w:val="00B30AE9"/>
    <w:rsid w:val="00B30B57"/>
    <w:rsid w:val="00B30BD7"/>
    <w:rsid w:val="00B30CDA"/>
    <w:rsid w:val="00B30DF6"/>
    <w:rsid w:val="00B30E25"/>
    <w:rsid w:val="00B30E7C"/>
    <w:rsid w:val="00B30E85"/>
    <w:rsid w:val="00B30EA5"/>
    <w:rsid w:val="00B30F64"/>
    <w:rsid w:val="00B3119C"/>
    <w:rsid w:val="00B311B2"/>
    <w:rsid w:val="00B31249"/>
    <w:rsid w:val="00B312D6"/>
    <w:rsid w:val="00B3137A"/>
    <w:rsid w:val="00B314CC"/>
    <w:rsid w:val="00B314D2"/>
    <w:rsid w:val="00B31563"/>
    <w:rsid w:val="00B3156D"/>
    <w:rsid w:val="00B316D8"/>
    <w:rsid w:val="00B317BD"/>
    <w:rsid w:val="00B31907"/>
    <w:rsid w:val="00B31960"/>
    <w:rsid w:val="00B31AD3"/>
    <w:rsid w:val="00B31B42"/>
    <w:rsid w:val="00B31B51"/>
    <w:rsid w:val="00B31BCC"/>
    <w:rsid w:val="00B31C68"/>
    <w:rsid w:val="00B31CDD"/>
    <w:rsid w:val="00B31D3C"/>
    <w:rsid w:val="00B31D57"/>
    <w:rsid w:val="00B31DB4"/>
    <w:rsid w:val="00B31DC6"/>
    <w:rsid w:val="00B31F63"/>
    <w:rsid w:val="00B31F83"/>
    <w:rsid w:val="00B321A4"/>
    <w:rsid w:val="00B321C8"/>
    <w:rsid w:val="00B3232F"/>
    <w:rsid w:val="00B32345"/>
    <w:rsid w:val="00B323BC"/>
    <w:rsid w:val="00B32407"/>
    <w:rsid w:val="00B32456"/>
    <w:rsid w:val="00B32547"/>
    <w:rsid w:val="00B3257B"/>
    <w:rsid w:val="00B326DA"/>
    <w:rsid w:val="00B3275B"/>
    <w:rsid w:val="00B327A8"/>
    <w:rsid w:val="00B32AD7"/>
    <w:rsid w:val="00B32BC2"/>
    <w:rsid w:val="00B32D56"/>
    <w:rsid w:val="00B32D81"/>
    <w:rsid w:val="00B32E24"/>
    <w:rsid w:val="00B33099"/>
    <w:rsid w:val="00B330CA"/>
    <w:rsid w:val="00B33143"/>
    <w:rsid w:val="00B33192"/>
    <w:rsid w:val="00B331ED"/>
    <w:rsid w:val="00B3343E"/>
    <w:rsid w:val="00B33459"/>
    <w:rsid w:val="00B33522"/>
    <w:rsid w:val="00B336E9"/>
    <w:rsid w:val="00B336F5"/>
    <w:rsid w:val="00B33789"/>
    <w:rsid w:val="00B3385F"/>
    <w:rsid w:val="00B3386B"/>
    <w:rsid w:val="00B33A4F"/>
    <w:rsid w:val="00B33A87"/>
    <w:rsid w:val="00B33ABC"/>
    <w:rsid w:val="00B33B60"/>
    <w:rsid w:val="00B33C8D"/>
    <w:rsid w:val="00B33E48"/>
    <w:rsid w:val="00B33EF8"/>
    <w:rsid w:val="00B3400D"/>
    <w:rsid w:val="00B34100"/>
    <w:rsid w:val="00B3439B"/>
    <w:rsid w:val="00B344C1"/>
    <w:rsid w:val="00B347A0"/>
    <w:rsid w:val="00B348AA"/>
    <w:rsid w:val="00B349E4"/>
    <w:rsid w:val="00B34A18"/>
    <w:rsid w:val="00B34B54"/>
    <w:rsid w:val="00B34D62"/>
    <w:rsid w:val="00B34F01"/>
    <w:rsid w:val="00B34F8B"/>
    <w:rsid w:val="00B34FC4"/>
    <w:rsid w:val="00B34FF6"/>
    <w:rsid w:val="00B35273"/>
    <w:rsid w:val="00B35316"/>
    <w:rsid w:val="00B3543A"/>
    <w:rsid w:val="00B3545C"/>
    <w:rsid w:val="00B35541"/>
    <w:rsid w:val="00B355BF"/>
    <w:rsid w:val="00B35705"/>
    <w:rsid w:val="00B35723"/>
    <w:rsid w:val="00B3596A"/>
    <w:rsid w:val="00B35A13"/>
    <w:rsid w:val="00B35A24"/>
    <w:rsid w:val="00B35A2E"/>
    <w:rsid w:val="00B35A3F"/>
    <w:rsid w:val="00B35A6F"/>
    <w:rsid w:val="00B35AFE"/>
    <w:rsid w:val="00B35BE0"/>
    <w:rsid w:val="00B35CB7"/>
    <w:rsid w:val="00B35D25"/>
    <w:rsid w:val="00B35D7E"/>
    <w:rsid w:val="00B35ECC"/>
    <w:rsid w:val="00B35FE7"/>
    <w:rsid w:val="00B3603C"/>
    <w:rsid w:val="00B360D1"/>
    <w:rsid w:val="00B36250"/>
    <w:rsid w:val="00B36258"/>
    <w:rsid w:val="00B36361"/>
    <w:rsid w:val="00B363DC"/>
    <w:rsid w:val="00B364F5"/>
    <w:rsid w:val="00B36546"/>
    <w:rsid w:val="00B367B5"/>
    <w:rsid w:val="00B369F7"/>
    <w:rsid w:val="00B36A62"/>
    <w:rsid w:val="00B36B18"/>
    <w:rsid w:val="00B36C71"/>
    <w:rsid w:val="00B36CD7"/>
    <w:rsid w:val="00B36CEA"/>
    <w:rsid w:val="00B36D9E"/>
    <w:rsid w:val="00B36DFF"/>
    <w:rsid w:val="00B36FD2"/>
    <w:rsid w:val="00B3719B"/>
    <w:rsid w:val="00B37234"/>
    <w:rsid w:val="00B37263"/>
    <w:rsid w:val="00B37267"/>
    <w:rsid w:val="00B372F9"/>
    <w:rsid w:val="00B3731F"/>
    <w:rsid w:val="00B3732E"/>
    <w:rsid w:val="00B37377"/>
    <w:rsid w:val="00B373B2"/>
    <w:rsid w:val="00B373D8"/>
    <w:rsid w:val="00B37466"/>
    <w:rsid w:val="00B3749D"/>
    <w:rsid w:val="00B37504"/>
    <w:rsid w:val="00B37817"/>
    <w:rsid w:val="00B37895"/>
    <w:rsid w:val="00B379DB"/>
    <w:rsid w:val="00B37A7E"/>
    <w:rsid w:val="00B37B1F"/>
    <w:rsid w:val="00B37B69"/>
    <w:rsid w:val="00B37BA5"/>
    <w:rsid w:val="00B37BD1"/>
    <w:rsid w:val="00B37BD8"/>
    <w:rsid w:val="00B37D0C"/>
    <w:rsid w:val="00B37D19"/>
    <w:rsid w:val="00B40058"/>
    <w:rsid w:val="00B40085"/>
    <w:rsid w:val="00B400B5"/>
    <w:rsid w:val="00B400D5"/>
    <w:rsid w:val="00B40149"/>
    <w:rsid w:val="00B40297"/>
    <w:rsid w:val="00B40310"/>
    <w:rsid w:val="00B403B4"/>
    <w:rsid w:val="00B403C5"/>
    <w:rsid w:val="00B40402"/>
    <w:rsid w:val="00B40410"/>
    <w:rsid w:val="00B404D4"/>
    <w:rsid w:val="00B40687"/>
    <w:rsid w:val="00B40744"/>
    <w:rsid w:val="00B40955"/>
    <w:rsid w:val="00B40978"/>
    <w:rsid w:val="00B40A01"/>
    <w:rsid w:val="00B40AC8"/>
    <w:rsid w:val="00B40ADB"/>
    <w:rsid w:val="00B40AFE"/>
    <w:rsid w:val="00B40BBD"/>
    <w:rsid w:val="00B40BFB"/>
    <w:rsid w:val="00B40C80"/>
    <w:rsid w:val="00B40D50"/>
    <w:rsid w:val="00B40D54"/>
    <w:rsid w:val="00B40E18"/>
    <w:rsid w:val="00B40EF0"/>
    <w:rsid w:val="00B40F26"/>
    <w:rsid w:val="00B40F46"/>
    <w:rsid w:val="00B40F7B"/>
    <w:rsid w:val="00B40FB0"/>
    <w:rsid w:val="00B40FE2"/>
    <w:rsid w:val="00B41013"/>
    <w:rsid w:val="00B4120E"/>
    <w:rsid w:val="00B41356"/>
    <w:rsid w:val="00B41377"/>
    <w:rsid w:val="00B4140F"/>
    <w:rsid w:val="00B414BA"/>
    <w:rsid w:val="00B41572"/>
    <w:rsid w:val="00B41573"/>
    <w:rsid w:val="00B4174B"/>
    <w:rsid w:val="00B418F3"/>
    <w:rsid w:val="00B41A8D"/>
    <w:rsid w:val="00B41A9E"/>
    <w:rsid w:val="00B41C25"/>
    <w:rsid w:val="00B41C72"/>
    <w:rsid w:val="00B41CAF"/>
    <w:rsid w:val="00B41E46"/>
    <w:rsid w:val="00B41F0F"/>
    <w:rsid w:val="00B420F8"/>
    <w:rsid w:val="00B421D0"/>
    <w:rsid w:val="00B422B5"/>
    <w:rsid w:val="00B4237D"/>
    <w:rsid w:val="00B42450"/>
    <w:rsid w:val="00B424CD"/>
    <w:rsid w:val="00B42543"/>
    <w:rsid w:val="00B4281B"/>
    <w:rsid w:val="00B42955"/>
    <w:rsid w:val="00B42ABD"/>
    <w:rsid w:val="00B42B0C"/>
    <w:rsid w:val="00B42B25"/>
    <w:rsid w:val="00B42B29"/>
    <w:rsid w:val="00B42B31"/>
    <w:rsid w:val="00B42C8B"/>
    <w:rsid w:val="00B42CAD"/>
    <w:rsid w:val="00B42CD7"/>
    <w:rsid w:val="00B42E6E"/>
    <w:rsid w:val="00B42EF3"/>
    <w:rsid w:val="00B42FA4"/>
    <w:rsid w:val="00B43088"/>
    <w:rsid w:val="00B43093"/>
    <w:rsid w:val="00B4310B"/>
    <w:rsid w:val="00B43111"/>
    <w:rsid w:val="00B43192"/>
    <w:rsid w:val="00B431D0"/>
    <w:rsid w:val="00B432ED"/>
    <w:rsid w:val="00B433F4"/>
    <w:rsid w:val="00B43534"/>
    <w:rsid w:val="00B435A3"/>
    <w:rsid w:val="00B43631"/>
    <w:rsid w:val="00B43654"/>
    <w:rsid w:val="00B438C4"/>
    <w:rsid w:val="00B4392F"/>
    <w:rsid w:val="00B43A00"/>
    <w:rsid w:val="00B43BEA"/>
    <w:rsid w:val="00B43C80"/>
    <w:rsid w:val="00B43CEF"/>
    <w:rsid w:val="00B43EF6"/>
    <w:rsid w:val="00B43F4D"/>
    <w:rsid w:val="00B43F87"/>
    <w:rsid w:val="00B43FAE"/>
    <w:rsid w:val="00B43FDF"/>
    <w:rsid w:val="00B44226"/>
    <w:rsid w:val="00B442EF"/>
    <w:rsid w:val="00B44432"/>
    <w:rsid w:val="00B4446A"/>
    <w:rsid w:val="00B4450C"/>
    <w:rsid w:val="00B44563"/>
    <w:rsid w:val="00B44627"/>
    <w:rsid w:val="00B44655"/>
    <w:rsid w:val="00B447B5"/>
    <w:rsid w:val="00B4482D"/>
    <w:rsid w:val="00B4487C"/>
    <w:rsid w:val="00B44956"/>
    <w:rsid w:val="00B44987"/>
    <w:rsid w:val="00B449F5"/>
    <w:rsid w:val="00B44A83"/>
    <w:rsid w:val="00B44E1F"/>
    <w:rsid w:val="00B44E43"/>
    <w:rsid w:val="00B44E4B"/>
    <w:rsid w:val="00B44EDF"/>
    <w:rsid w:val="00B44F0F"/>
    <w:rsid w:val="00B44F6E"/>
    <w:rsid w:val="00B44F9F"/>
    <w:rsid w:val="00B44FD3"/>
    <w:rsid w:val="00B451AF"/>
    <w:rsid w:val="00B451CA"/>
    <w:rsid w:val="00B45290"/>
    <w:rsid w:val="00B453AB"/>
    <w:rsid w:val="00B45661"/>
    <w:rsid w:val="00B457BA"/>
    <w:rsid w:val="00B458D3"/>
    <w:rsid w:val="00B45A5C"/>
    <w:rsid w:val="00B45AE3"/>
    <w:rsid w:val="00B45BAC"/>
    <w:rsid w:val="00B45BD8"/>
    <w:rsid w:val="00B45CD5"/>
    <w:rsid w:val="00B45EC9"/>
    <w:rsid w:val="00B45FD0"/>
    <w:rsid w:val="00B4600F"/>
    <w:rsid w:val="00B46104"/>
    <w:rsid w:val="00B46108"/>
    <w:rsid w:val="00B4610A"/>
    <w:rsid w:val="00B46196"/>
    <w:rsid w:val="00B461C8"/>
    <w:rsid w:val="00B46284"/>
    <w:rsid w:val="00B46335"/>
    <w:rsid w:val="00B46365"/>
    <w:rsid w:val="00B46372"/>
    <w:rsid w:val="00B464CF"/>
    <w:rsid w:val="00B4657F"/>
    <w:rsid w:val="00B465F8"/>
    <w:rsid w:val="00B466FF"/>
    <w:rsid w:val="00B46BEC"/>
    <w:rsid w:val="00B46C1C"/>
    <w:rsid w:val="00B46D41"/>
    <w:rsid w:val="00B46E07"/>
    <w:rsid w:val="00B46F22"/>
    <w:rsid w:val="00B47014"/>
    <w:rsid w:val="00B47173"/>
    <w:rsid w:val="00B471FF"/>
    <w:rsid w:val="00B4772E"/>
    <w:rsid w:val="00B47739"/>
    <w:rsid w:val="00B4783E"/>
    <w:rsid w:val="00B47939"/>
    <w:rsid w:val="00B47957"/>
    <w:rsid w:val="00B47AB7"/>
    <w:rsid w:val="00B47D23"/>
    <w:rsid w:val="00B47D29"/>
    <w:rsid w:val="00B47E9A"/>
    <w:rsid w:val="00B47F06"/>
    <w:rsid w:val="00B47F3D"/>
    <w:rsid w:val="00B47F59"/>
    <w:rsid w:val="00B50020"/>
    <w:rsid w:val="00B500DA"/>
    <w:rsid w:val="00B50103"/>
    <w:rsid w:val="00B501F5"/>
    <w:rsid w:val="00B50200"/>
    <w:rsid w:val="00B502F0"/>
    <w:rsid w:val="00B5030F"/>
    <w:rsid w:val="00B50469"/>
    <w:rsid w:val="00B504C4"/>
    <w:rsid w:val="00B50520"/>
    <w:rsid w:val="00B50593"/>
    <w:rsid w:val="00B507AE"/>
    <w:rsid w:val="00B50804"/>
    <w:rsid w:val="00B50938"/>
    <w:rsid w:val="00B509A5"/>
    <w:rsid w:val="00B50B8A"/>
    <w:rsid w:val="00B50BD4"/>
    <w:rsid w:val="00B50C53"/>
    <w:rsid w:val="00B50FF8"/>
    <w:rsid w:val="00B50FFF"/>
    <w:rsid w:val="00B5135C"/>
    <w:rsid w:val="00B514A8"/>
    <w:rsid w:val="00B515C8"/>
    <w:rsid w:val="00B51775"/>
    <w:rsid w:val="00B51812"/>
    <w:rsid w:val="00B518EF"/>
    <w:rsid w:val="00B51963"/>
    <w:rsid w:val="00B5196C"/>
    <w:rsid w:val="00B51AD1"/>
    <w:rsid w:val="00B51C9C"/>
    <w:rsid w:val="00B51CFC"/>
    <w:rsid w:val="00B51E3C"/>
    <w:rsid w:val="00B51E69"/>
    <w:rsid w:val="00B51F3D"/>
    <w:rsid w:val="00B51FDA"/>
    <w:rsid w:val="00B5207C"/>
    <w:rsid w:val="00B520AB"/>
    <w:rsid w:val="00B521E8"/>
    <w:rsid w:val="00B521EC"/>
    <w:rsid w:val="00B5222C"/>
    <w:rsid w:val="00B52392"/>
    <w:rsid w:val="00B524C1"/>
    <w:rsid w:val="00B524FC"/>
    <w:rsid w:val="00B5253F"/>
    <w:rsid w:val="00B52625"/>
    <w:rsid w:val="00B52628"/>
    <w:rsid w:val="00B52773"/>
    <w:rsid w:val="00B527A5"/>
    <w:rsid w:val="00B5290D"/>
    <w:rsid w:val="00B52991"/>
    <w:rsid w:val="00B52B57"/>
    <w:rsid w:val="00B52C02"/>
    <w:rsid w:val="00B52D15"/>
    <w:rsid w:val="00B52DF5"/>
    <w:rsid w:val="00B52F7F"/>
    <w:rsid w:val="00B530BC"/>
    <w:rsid w:val="00B530D0"/>
    <w:rsid w:val="00B5328A"/>
    <w:rsid w:val="00B532CA"/>
    <w:rsid w:val="00B5338B"/>
    <w:rsid w:val="00B533CC"/>
    <w:rsid w:val="00B53430"/>
    <w:rsid w:val="00B5345B"/>
    <w:rsid w:val="00B53475"/>
    <w:rsid w:val="00B534F6"/>
    <w:rsid w:val="00B5385A"/>
    <w:rsid w:val="00B5397F"/>
    <w:rsid w:val="00B53CFF"/>
    <w:rsid w:val="00B53D01"/>
    <w:rsid w:val="00B53E30"/>
    <w:rsid w:val="00B53EAA"/>
    <w:rsid w:val="00B53EE6"/>
    <w:rsid w:val="00B53F54"/>
    <w:rsid w:val="00B54028"/>
    <w:rsid w:val="00B5412E"/>
    <w:rsid w:val="00B542CC"/>
    <w:rsid w:val="00B5450C"/>
    <w:rsid w:val="00B5474C"/>
    <w:rsid w:val="00B5488B"/>
    <w:rsid w:val="00B548D3"/>
    <w:rsid w:val="00B54928"/>
    <w:rsid w:val="00B5494F"/>
    <w:rsid w:val="00B54B9C"/>
    <w:rsid w:val="00B54D27"/>
    <w:rsid w:val="00B54D99"/>
    <w:rsid w:val="00B54E72"/>
    <w:rsid w:val="00B54F34"/>
    <w:rsid w:val="00B5501A"/>
    <w:rsid w:val="00B550F9"/>
    <w:rsid w:val="00B55112"/>
    <w:rsid w:val="00B5539A"/>
    <w:rsid w:val="00B5547E"/>
    <w:rsid w:val="00B55494"/>
    <w:rsid w:val="00B556B4"/>
    <w:rsid w:val="00B55705"/>
    <w:rsid w:val="00B55B15"/>
    <w:rsid w:val="00B55BA2"/>
    <w:rsid w:val="00B55C51"/>
    <w:rsid w:val="00B55D42"/>
    <w:rsid w:val="00B55DBC"/>
    <w:rsid w:val="00B55DED"/>
    <w:rsid w:val="00B55E2B"/>
    <w:rsid w:val="00B55E40"/>
    <w:rsid w:val="00B55FE7"/>
    <w:rsid w:val="00B5609E"/>
    <w:rsid w:val="00B56164"/>
    <w:rsid w:val="00B561EF"/>
    <w:rsid w:val="00B562CF"/>
    <w:rsid w:val="00B56404"/>
    <w:rsid w:val="00B564D5"/>
    <w:rsid w:val="00B56515"/>
    <w:rsid w:val="00B5653B"/>
    <w:rsid w:val="00B565AD"/>
    <w:rsid w:val="00B56657"/>
    <w:rsid w:val="00B567DB"/>
    <w:rsid w:val="00B56863"/>
    <w:rsid w:val="00B569C3"/>
    <w:rsid w:val="00B569EE"/>
    <w:rsid w:val="00B569F5"/>
    <w:rsid w:val="00B56B74"/>
    <w:rsid w:val="00B56CC1"/>
    <w:rsid w:val="00B56D32"/>
    <w:rsid w:val="00B56E2D"/>
    <w:rsid w:val="00B56EAD"/>
    <w:rsid w:val="00B56F36"/>
    <w:rsid w:val="00B57010"/>
    <w:rsid w:val="00B57014"/>
    <w:rsid w:val="00B57212"/>
    <w:rsid w:val="00B57242"/>
    <w:rsid w:val="00B57255"/>
    <w:rsid w:val="00B572A1"/>
    <w:rsid w:val="00B57337"/>
    <w:rsid w:val="00B5736A"/>
    <w:rsid w:val="00B57541"/>
    <w:rsid w:val="00B576A8"/>
    <w:rsid w:val="00B57758"/>
    <w:rsid w:val="00B577BC"/>
    <w:rsid w:val="00B57976"/>
    <w:rsid w:val="00B579BA"/>
    <w:rsid w:val="00B579E0"/>
    <w:rsid w:val="00B57A1D"/>
    <w:rsid w:val="00B57C5C"/>
    <w:rsid w:val="00B57E3A"/>
    <w:rsid w:val="00B57F4A"/>
    <w:rsid w:val="00B57F8E"/>
    <w:rsid w:val="00B60067"/>
    <w:rsid w:val="00B600E6"/>
    <w:rsid w:val="00B60133"/>
    <w:rsid w:val="00B60146"/>
    <w:rsid w:val="00B601FC"/>
    <w:rsid w:val="00B6022A"/>
    <w:rsid w:val="00B6024F"/>
    <w:rsid w:val="00B60278"/>
    <w:rsid w:val="00B602A6"/>
    <w:rsid w:val="00B60560"/>
    <w:rsid w:val="00B605BB"/>
    <w:rsid w:val="00B606A1"/>
    <w:rsid w:val="00B60728"/>
    <w:rsid w:val="00B60796"/>
    <w:rsid w:val="00B607FF"/>
    <w:rsid w:val="00B60810"/>
    <w:rsid w:val="00B60922"/>
    <w:rsid w:val="00B609E3"/>
    <w:rsid w:val="00B60A02"/>
    <w:rsid w:val="00B60A4C"/>
    <w:rsid w:val="00B60B06"/>
    <w:rsid w:val="00B60B12"/>
    <w:rsid w:val="00B60B13"/>
    <w:rsid w:val="00B60B73"/>
    <w:rsid w:val="00B60C4B"/>
    <w:rsid w:val="00B60D45"/>
    <w:rsid w:val="00B60F0F"/>
    <w:rsid w:val="00B60F25"/>
    <w:rsid w:val="00B6101B"/>
    <w:rsid w:val="00B61110"/>
    <w:rsid w:val="00B611F5"/>
    <w:rsid w:val="00B61294"/>
    <w:rsid w:val="00B61357"/>
    <w:rsid w:val="00B614C1"/>
    <w:rsid w:val="00B61662"/>
    <w:rsid w:val="00B61699"/>
    <w:rsid w:val="00B6181F"/>
    <w:rsid w:val="00B61993"/>
    <w:rsid w:val="00B619CE"/>
    <w:rsid w:val="00B61A46"/>
    <w:rsid w:val="00B61BB1"/>
    <w:rsid w:val="00B61C22"/>
    <w:rsid w:val="00B61E5D"/>
    <w:rsid w:val="00B61E9E"/>
    <w:rsid w:val="00B61EAF"/>
    <w:rsid w:val="00B61FBB"/>
    <w:rsid w:val="00B62127"/>
    <w:rsid w:val="00B62425"/>
    <w:rsid w:val="00B624C9"/>
    <w:rsid w:val="00B624CF"/>
    <w:rsid w:val="00B62554"/>
    <w:rsid w:val="00B6266A"/>
    <w:rsid w:val="00B626A9"/>
    <w:rsid w:val="00B6285A"/>
    <w:rsid w:val="00B62A17"/>
    <w:rsid w:val="00B62A5C"/>
    <w:rsid w:val="00B62AE1"/>
    <w:rsid w:val="00B62B04"/>
    <w:rsid w:val="00B62BB1"/>
    <w:rsid w:val="00B62C2D"/>
    <w:rsid w:val="00B62C5B"/>
    <w:rsid w:val="00B62CDC"/>
    <w:rsid w:val="00B62D0D"/>
    <w:rsid w:val="00B62E1D"/>
    <w:rsid w:val="00B63276"/>
    <w:rsid w:val="00B6329A"/>
    <w:rsid w:val="00B63439"/>
    <w:rsid w:val="00B6349E"/>
    <w:rsid w:val="00B634D1"/>
    <w:rsid w:val="00B63564"/>
    <w:rsid w:val="00B635F4"/>
    <w:rsid w:val="00B63672"/>
    <w:rsid w:val="00B636BD"/>
    <w:rsid w:val="00B637EF"/>
    <w:rsid w:val="00B63854"/>
    <w:rsid w:val="00B63981"/>
    <w:rsid w:val="00B63A44"/>
    <w:rsid w:val="00B63A47"/>
    <w:rsid w:val="00B63B3E"/>
    <w:rsid w:val="00B63B5A"/>
    <w:rsid w:val="00B63C7D"/>
    <w:rsid w:val="00B63D93"/>
    <w:rsid w:val="00B63F8D"/>
    <w:rsid w:val="00B63FB3"/>
    <w:rsid w:val="00B63FD1"/>
    <w:rsid w:val="00B64063"/>
    <w:rsid w:val="00B6418F"/>
    <w:rsid w:val="00B641BB"/>
    <w:rsid w:val="00B64236"/>
    <w:rsid w:val="00B6423B"/>
    <w:rsid w:val="00B64245"/>
    <w:rsid w:val="00B64317"/>
    <w:rsid w:val="00B64705"/>
    <w:rsid w:val="00B64C16"/>
    <w:rsid w:val="00B64D57"/>
    <w:rsid w:val="00B64E61"/>
    <w:rsid w:val="00B6516A"/>
    <w:rsid w:val="00B6532A"/>
    <w:rsid w:val="00B654F9"/>
    <w:rsid w:val="00B655A1"/>
    <w:rsid w:val="00B6572D"/>
    <w:rsid w:val="00B6577E"/>
    <w:rsid w:val="00B659E5"/>
    <w:rsid w:val="00B65E19"/>
    <w:rsid w:val="00B65F03"/>
    <w:rsid w:val="00B65F72"/>
    <w:rsid w:val="00B66086"/>
    <w:rsid w:val="00B6624C"/>
    <w:rsid w:val="00B66269"/>
    <w:rsid w:val="00B66495"/>
    <w:rsid w:val="00B66526"/>
    <w:rsid w:val="00B6667C"/>
    <w:rsid w:val="00B666D3"/>
    <w:rsid w:val="00B66714"/>
    <w:rsid w:val="00B66727"/>
    <w:rsid w:val="00B66737"/>
    <w:rsid w:val="00B66826"/>
    <w:rsid w:val="00B66864"/>
    <w:rsid w:val="00B66A0F"/>
    <w:rsid w:val="00B66C1F"/>
    <w:rsid w:val="00B66D18"/>
    <w:rsid w:val="00B66D8C"/>
    <w:rsid w:val="00B66DE9"/>
    <w:rsid w:val="00B66E13"/>
    <w:rsid w:val="00B66F3A"/>
    <w:rsid w:val="00B6700E"/>
    <w:rsid w:val="00B6728B"/>
    <w:rsid w:val="00B672F5"/>
    <w:rsid w:val="00B673DC"/>
    <w:rsid w:val="00B6745D"/>
    <w:rsid w:val="00B6765A"/>
    <w:rsid w:val="00B67819"/>
    <w:rsid w:val="00B678BD"/>
    <w:rsid w:val="00B67921"/>
    <w:rsid w:val="00B679FC"/>
    <w:rsid w:val="00B67A4C"/>
    <w:rsid w:val="00B67BCD"/>
    <w:rsid w:val="00B67BE7"/>
    <w:rsid w:val="00B67D91"/>
    <w:rsid w:val="00B67E76"/>
    <w:rsid w:val="00B67EA2"/>
    <w:rsid w:val="00B67EB6"/>
    <w:rsid w:val="00B67F38"/>
    <w:rsid w:val="00B67FE3"/>
    <w:rsid w:val="00B70111"/>
    <w:rsid w:val="00B702A4"/>
    <w:rsid w:val="00B702EF"/>
    <w:rsid w:val="00B70301"/>
    <w:rsid w:val="00B7035E"/>
    <w:rsid w:val="00B70368"/>
    <w:rsid w:val="00B70376"/>
    <w:rsid w:val="00B70408"/>
    <w:rsid w:val="00B7040A"/>
    <w:rsid w:val="00B705EA"/>
    <w:rsid w:val="00B7098F"/>
    <w:rsid w:val="00B70ACC"/>
    <w:rsid w:val="00B70B5B"/>
    <w:rsid w:val="00B70CAF"/>
    <w:rsid w:val="00B70D2B"/>
    <w:rsid w:val="00B70DA2"/>
    <w:rsid w:val="00B70E07"/>
    <w:rsid w:val="00B70EA9"/>
    <w:rsid w:val="00B70FBE"/>
    <w:rsid w:val="00B70FF7"/>
    <w:rsid w:val="00B710B0"/>
    <w:rsid w:val="00B71250"/>
    <w:rsid w:val="00B71282"/>
    <w:rsid w:val="00B712EB"/>
    <w:rsid w:val="00B714B1"/>
    <w:rsid w:val="00B714DD"/>
    <w:rsid w:val="00B71595"/>
    <w:rsid w:val="00B7160A"/>
    <w:rsid w:val="00B71628"/>
    <w:rsid w:val="00B716AE"/>
    <w:rsid w:val="00B71784"/>
    <w:rsid w:val="00B71C39"/>
    <w:rsid w:val="00B71C48"/>
    <w:rsid w:val="00B71C4B"/>
    <w:rsid w:val="00B71F0A"/>
    <w:rsid w:val="00B71FBC"/>
    <w:rsid w:val="00B72034"/>
    <w:rsid w:val="00B72160"/>
    <w:rsid w:val="00B721C4"/>
    <w:rsid w:val="00B723ED"/>
    <w:rsid w:val="00B72421"/>
    <w:rsid w:val="00B7244D"/>
    <w:rsid w:val="00B726EF"/>
    <w:rsid w:val="00B7275E"/>
    <w:rsid w:val="00B72789"/>
    <w:rsid w:val="00B727EF"/>
    <w:rsid w:val="00B72909"/>
    <w:rsid w:val="00B7298C"/>
    <w:rsid w:val="00B72AFC"/>
    <w:rsid w:val="00B72B4B"/>
    <w:rsid w:val="00B72C43"/>
    <w:rsid w:val="00B72C4A"/>
    <w:rsid w:val="00B72C5E"/>
    <w:rsid w:val="00B72ECD"/>
    <w:rsid w:val="00B72EDF"/>
    <w:rsid w:val="00B72F53"/>
    <w:rsid w:val="00B72F94"/>
    <w:rsid w:val="00B73338"/>
    <w:rsid w:val="00B73561"/>
    <w:rsid w:val="00B735F5"/>
    <w:rsid w:val="00B73746"/>
    <w:rsid w:val="00B7391F"/>
    <w:rsid w:val="00B73A95"/>
    <w:rsid w:val="00B73C87"/>
    <w:rsid w:val="00B73D6C"/>
    <w:rsid w:val="00B73E4F"/>
    <w:rsid w:val="00B73F5E"/>
    <w:rsid w:val="00B73F8A"/>
    <w:rsid w:val="00B74088"/>
    <w:rsid w:val="00B741EE"/>
    <w:rsid w:val="00B743FE"/>
    <w:rsid w:val="00B7444C"/>
    <w:rsid w:val="00B74469"/>
    <w:rsid w:val="00B745F5"/>
    <w:rsid w:val="00B7471C"/>
    <w:rsid w:val="00B747A7"/>
    <w:rsid w:val="00B747DC"/>
    <w:rsid w:val="00B747EA"/>
    <w:rsid w:val="00B747EB"/>
    <w:rsid w:val="00B747F3"/>
    <w:rsid w:val="00B74829"/>
    <w:rsid w:val="00B74989"/>
    <w:rsid w:val="00B74AD6"/>
    <w:rsid w:val="00B74C3F"/>
    <w:rsid w:val="00B74CA2"/>
    <w:rsid w:val="00B74D70"/>
    <w:rsid w:val="00B74F0F"/>
    <w:rsid w:val="00B74FCC"/>
    <w:rsid w:val="00B75059"/>
    <w:rsid w:val="00B751DE"/>
    <w:rsid w:val="00B75205"/>
    <w:rsid w:val="00B752EA"/>
    <w:rsid w:val="00B752EB"/>
    <w:rsid w:val="00B7530C"/>
    <w:rsid w:val="00B7547B"/>
    <w:rsid w:val="00B755A1"/>
    <w:rsid w:val="00B755F8"/>
    <w:rsid w:val="00B759B3"/>
    <w:rsid w:val="00B759CE"/>
    <w:rsid w:val="00B75A8F"/>
    <w:rsid w:val="00B75B88"/>
    <w:rsid w:val="00B75E76"/>
    <w:rsid w:val="00B75FBA"/>
    <w:rsid w:val="00B760AC"/>
    <w:rsid w:val="00B760C3"/>
    <w:rsid w:val="00B76195"/>
    <w:rsid w:val="00B762AC"/>
    <w:rsid w:val="00B7639D"/>
    <w:rsid w:val="00B763CD"/>
    <w:rsid w:val="00B7644D"/>
    <w:rsid w:val="00B76525"/>
    <w:rsid w:val="00B76601"/>
    <w:rsid w:val="00B76819"/>
    <w:rsid w:val="00B768EE"/>
    <w:rsid w:val="00B76919"/>
    <w:rsid w:val="00B7692E"/>
    <w:rsid w:val="00B7696F"/>
    <w:rsid w:val="00B76A77"/>
    <w:rsid w:val="00B76A8D"/>
    <w:rsid w:val="00B76AB0"/>
    <w:rsid w:val="00B76AE3"/>
    <w:rsid w:val="00B76C5C"/>
    <w:rsid w:val="00B76C9A"/>
    <w:rsid w:val="00B76CAB"/>
    <w:rsid w:val="00B76D93"/>
    <w:rsid w:val="00B76E9E"/>
    <w:rsid w:val="00B76F5E"/>
    <w:rsid w:val="00B7701B"/>
    <w:rsid w:val="00B77092"/>
    <w:rsid w:val="00B7721B"/>
    <w:rsid w:val="00B77390"/>
    <w:rsid w:val="00B77396"/>
    <w:rsid w:val="00B773CF"/>
    <w:rsid w:val="00B773FD"/>
    <w:rsid w:val="00B774B2"/>
    <w:rsid w:val="00B7757B"/>
    <w:rsid w:val="00B77699"/>
    <w:rsid w:val="00B776DF"/>
    <w:rsid w:val="00B776E8"/>
    <w:rsid w:val="00B77779"/>
    <w:rsid w:val="00B77885"/>
    <w:rsid w:val="00B77933"/>
    <w:rsid w:val="00B77AF4"/>
    <w:rsid w:val="00B77B03"/>
    <w:rsid w:val="00B77B46"/>
    <w:rsid w:val="00B77B4C"/>
    <w:rsid w:val="00B77C0E"/>
    <w:rsid w:val="00B77EB5"/>
    <w:rsid w:val="00B77F3C"/>
    <w:rsid w:val="00B77FCC"/>
    <w:rsid w:val="00B77FD0"/>
    <w:rsid w:val="00B80125"/>
    <w:rsid w:val="00B801A7"/>
    <w:rsid w:val="00B801BF"/>
    <w:rsid w:val="00B802C1"/>
    <w:rsid w:val="00B802E5"/>
    <w:rsid w:val="00B80323"/>
    <w:rsid w:val="00B8033F"/>
    <w:rsid w:val="00B803A1"/>
    <w:rsid w:val="00B803A5"/>
    <w:rsid w:val="00B803F6"/>
    <w:rsid w:val="00B8040D"/>
    <w:rsid w:val="00B80680"/>
    <w:rsid w:val="00B80801"/>
    <w:rsid w:val="00B80898"/>
    <w:rsid w:val="00B809A6"/>
    <w:rsid w:val="00B809D8"/>
    <w:rsid w:val="00B809FE"/>
    <w:rsid w:val="00B80B79"/>
    <w:rsid w:val="00B80BA0"/>
    <w:rsid w:val="00B80C16"/>
    <w:rsid w:val="00B80C1B"/>
    <w:rsid w:val="00B80CB0"/>
    <w:rsid w:val="00B80CC7"/>
    <w:rsid w:val="00B80CE0"/>
    <w:rsid w:val="00B80D3A"/>
    <w:rsid w:val="00B80D53"/>
    <w:rsid w:val="00B80E1F"/>
    <w:rsid w:val="00B80E74"/>
    <w:rsid w:val="00B81050"/>
    <w:rsid w:val="00B8115E"/>
    <w:rsid w:val="00B811B8"/>
    <w:rsid w:val="00B81245"/>
    <w:rsid w:val="00B8124A"/>
    <w:rsid w:val="00B8126A"/>
    <w:rsid w:val="00B81324"/>
    <w:rsid w:val="00B813CB"/>
    <w:rsid w:val="00B813F8"/>
    <w:rsid w:val="00B814D6"/>
    <w:rsid w:val="00B81579"/>
    <w:rsid w:val="00B815ED"/>
    <w:rsid w:val="00B81652"/>
    <w:rsid w:val="00B8167C"/>
    <w:rsid w:val="00B81757"/>
    <w:rsid w:val="00B817A3"/>
    <w:rsid w:val="00B817AB"/>
    <w:rsid w:val="00B81803"/>
    <w:rsid w:val="00B818A0"/>
    <w:rsid w:val="00B81937"/>
    <w:rsid w:val="00B81A0B"/>
    <w:rsid w:val="00B81ABF"/>
    <w:rsid w:val="00B81B52"/>
    <w:rsid w:val="00B81CEB"/>
    <w:rsid w:val="00B81D86"/>
    <w:rsid w:val="00B822DB"/>
    <w:rsid w:val="00B8233B"/>
    <w:rsid w:val="00B82389"/>
    <w:rsid w:val="00B823A3"/>
    <w:rsid w:val="00B823F1"/>
    <w:rsid w:val="00B8253B"/>
    <w:rsid w:val="00B82676"/>
    <w:rsid w:val="00B82691"/>
    <w:rsid w:val="00B8269F"/>
    <w:rsid w:val="00B827F6"/>
    <w:rsid w:val="00B828D2"/>
    <w:rsid w:val="00B829B5"/>
    <w:rsid w:val="00B82AF4"/>
    <w:rsid w:val="00B82B79"/>
    <w:rsid w:val="00B82D56"/>
    <w:rsid w:val="00B82DBF"/>
    <w:rsid w:val="00B82DF1"/>
    <w:rsid w:val="00B82FA1"/>
    <w:rsid w:val="00B8305A"/>
    <w:rsid w:val="00B83168"/>
    <w:rsid w:val="00B8326F"/>
    <w:rsid w:val="00B83341"/>
    <w:rsid w:val="00B8336D"/>
    <w:rsid w:val="00B8342C"/>
    <w:rsid w:val="00B83455"/>
    <w:rsid w:val="00B835C1"/>
    <w:rsid w:val="00B835D6"/>
    <w:rsid w:val="00B835D8"/>
    <w:rsid w:val="00B835FF"/>
    <w:rsid w:val="00B8360C"/>
    <w:rsid w:val="00B836C0"/>
    <w:rsid w:val="00B83772"/>
    <w:rsid w:val="00B83802"/>
    <w:rsid w:val="00B838EE"/>
    <w:rsid w:val="00B83927"/>
    <w:rsid w:val="00B83A1B"/>
    <w:rsid w:val="00B83A9B"/>
    <w:rsid w:val="00B83B4E"/>
    <w:rsid w:val="00B83BD8"/>
    <w:rsid w:val="00B83C40"/>
    <w:rsid w:val="00B83DD3"/>
    <w:rsid w:val="00B83EFA"/>
    <w:rsid w:val="00B83F12"/>
    <w:rsid w:val="00B83F5D"/>
    <w:rsid w:val="00B83F84"/>
    <w:rsid w:val="00B83FA7"/>
    <w:rsid w:val="00B840DF"/>
    <w:rsid w:val="00B84122"/>
    <w:rsid w:val="00B841CC"/>
    <w:rsid w:val="00B843FA"/>
    <w:rsid w:val="00B84525"/>
    <w:rsid w:val="00B84530"/>
    <w:rsid w:val="00B8458B"/>
    <w:rsid w:val="00B845B1"/>
    <w:rsid w:val="00B845B8"/>
    <w:rsid w:val="00B84816"/>
    <w:rsid w:val="00B8485A"/>
    <w:rsid w:val="00B84955"/>
    <w:rsid w:val="00B8495A"/>
    <w:rsid w:val="00B849B1"/>
    <w:rsid w:val="00B84A1D"/>
    <w:rsid w:val="00B84C16"/>
    <w:rsid w:val="00B84C1D"/>
    <w:rsid w:val="00B84DC1"/>
    <w:rsid w:val="00B84E61"/>
    <w:rsid w:val="00B84F72"/>
    <w:rsid w:val="00B84F92"/>
    <w:rsid w:val="00B8506B"/>
    <w:rsid w:val="00B85172"/>
    <w:rsid w:val="00B852B8"/>
    <w:rsid w:val="00B85309"/>
    <w:rsid w:val="00B85330"/>
    <w:rsid w:val="00B854D5"/>
    <w:rsid w:val="00B855C5"/>
    <w:rsid w:val="00B855FB"/>
    <w:rsid w:val="00B856D8"/>
    <w:rsid w:val="00B8573A"/>
    <w:rsid w:val="00B85A29"/>
    <w:rsid w:val="00B85A63"/>
    <w:rsid w:val="00B85AAF"/>
    <w:rsid w:val="00B85D9F"/>
    <w:rsid w:val="00B85E00"/>
    <w:rsid w:val="00B85E5A"/>
    <w:rsid w:val="00B85ECD"/>
    <w:rsid w:val="00B85EF8"/>
    <w:rsid w:val="00B86064"/>
    <w:rsid w:val="00B86178"/>
    <w:rsid w:val="00B8618D"/>
    <w:rsid w:val="00B862E1"/>
    <w:rsid w:val="00B86598"/>
    <w:rsid w:val="00B865D9"/>
    <w:rsid w:val="00B86623"/>
    <w:rsid w:val="00B866F8"/>
    <w:rsid w:val="00B867E7"/>
    <w:rsid w:val="00B8686E"/>
    <w:rsid w:val="00B86AA6"/>
    <w:rsid w:val="00B86BAA"/>
    <w:rsid w:val="00B86DC7"/>
    <w:rsid w:val="00B86EEC"/>
    <w:rsid w:val="00B870B9"/>
    <w:rsid w:val="00B87136"/>
    <w:rsid w:val="00B87447"/>
    <w:rsid w:val="00B876B4"/>
    <w:rsid w:val="00B878C5"/>
    <w:rsid w:val="00B87995"/>
    <w:rsid w:val="00B87A09"/>
    <w:rsid w:val="00B87FF7"/>
    <w:rsid w:val="00B90037"/>
    <w:rsid w:val="00B90126"/>
    <w:rsid w:val="00B90194"/>
    <w:rsid w:val="00B901AF"/>
    <w:rsid w:val="00B901B6"/>
    <w:rsid w:val="00B901BA"/>
    <w:rsid w:val="00B90283"/>
    <w:rsid w:val="00B90301"/>
    <w:rsid w:val="00B90324"/>
    <w:rsid w:val="00B9044A"/>
    <w:rsid w:val="00B90521"/>
    <w:rsid w:val="00B905E1"/>
    <w:rsid w:val="00B90618"/>
    <w:rsid w:val="00B907F5"/>
    <w:rsid w:val="00B9082E"/>
    <w:rsid w:val="00B908B4"/>
    <w:rsid w:val="00B90926"/>
    <w:rsid w:val="00B90941"/>
    <w:rsid w:val="00B90956"/>
    <w:rsid w:val="00B909F4"/>
    <w:rsid w:val="00B90D50"/>
    <w:rsid w:val="00B90D58"/>
    <w:rsid w:val="00B90E28"/>
    <w:rsid w:val="00B90E2B"/>
    <w:rsid w:val="00B90F95"/>
    <w:rsid w:val="00B90FCA"/>
    <w:rsid w:val="00B90FD9"/>
    <w:rsid w:val="00B91083"/>
    <w:rsid w:val="00B910DE"/>
    <w:rsid w:val="00B911BB"/>
    <w:rsid w:val="00B91245"/>
    <w:rsid w:val="00B91310"/>
    <w:rsid w:val="00B9139D"/>
    <w:rsid w:val="00B913C7"/>
    <w:rsid w:val="00B91469"/>
    <w:rsid w:val="00B914B6"/>
    <w:rsid w:val="00B915EB"/>
    <w:rsid w:val="00B91631"/>
    <w:rsid w:val="00B91688"/>
    <w:rsid w:val="00B916F4"/>
    <w:rsid w:val="00B9176E"/>
    <w:rsid w:val="00B9190B"/>
    <w:rsid w:val="00B919C1"/>
    <w:rsid w:val="00B91A82"/>
    <w:rsid w:val="00B91C33"/>
    <w:rsid w:val="00B91C44"/>
    <w:rsid w:val="00B91C51"/>
    <w:rsid w:val="00B91CFB"/>
    <w:rsid w:val="00B91CFF"/>
    <w:rsid w:val="00B91E27"/>
    <w:rsid w:val="00B91E5E"/>
    <w:rsid w:val="00B91E62"/>
    <w:rsid w:val="00B91F07"/>
    <w:rsid w:val="00B91F2A"/>
    <w:rsid w:val="00B91F90"/>
    <w:rsid w:val="00B91FDB"/>
    <w:rsid w:val="00B9202F"/>
    <w:rsid w:val="00B9208D"/>
    <w:rsid w:val="00B920E6"/>
    <w:rsid w:val="00B92168"/>
    <w:rsid w:val="00B92308"/>
    <w:rsid w:val="00B92375"/>
    <w:rsid w:val="00B923B3"/>
    <w:rsid w:val="00B92400"/>
    <w:rsid w:val="00B92451"/>
    <w:rsid w:val="00B924B3"/>
    <w:rsid w:val="00B924BC"/>
    <w:rsid w:val="00B924D9"/>
    <w:rsid w:val="00B926A4"/>
    <w:rsid w:val="00B926A7"/>
    <w:rsid w:val="00B9281A"/>
    <w:rsid w:val="00B92AE3"/>
    <w:rsid w:val="00B92C04"/>
    <w:rsid w:val="00B92C1F"/>
    <w:rsid w:val="00B92D03"/>
    <w:rsid w:val="00B92DAA"/>
    <w:rsid w:val="00B92EB3"/>
    <w:rsid w:val="00B92EBB"/>
    <w:rsid w:val="00B92F26"/>
    <w:rsid w:val="00B92F8F"/>
    <w:rsid w:val="00B93043"/>
    <w:rsid w:val="00B93055"/>
    <w:rsid w:val="00B93300"/>
    <w:rsid w:val="00B933C8"/>
    <w:rsid w:val="00B9344A"/>
    <w:rsid w:val="00B93494"/>
    <w:rsid w:val="00B9355D"/>
    <w:rsid w:val="00B93625"/>
    <w:rsid w:val="00B9372F"/>
    <w:rsid w:val="00B93786"/>
    <w:rsid w:val="00B937CD"/>
    <w:rsid w:val="00B93917"/>
    <w:rsid w:val="00B93A7F"/>
    <w:rsid w:val="00B93A9E"/>
    <w:rsid w:val="00B93B41"/>
    <w:rsid w:val="00B93C02"/>
    <w:rsid w:val="00B93C79"/>
    <w:rsid w:val="00B93F54"/>
    <w:rsid w:val="00B94043"/>
    <w:rsid w:val="00B9409F"/>
    <w:rsid w:val="00B940E2"/>
    <w:rsid w:val="00B94184"/>
    <w:rsid w:val="00B9421A"/>
    <w:rsid w:val="00B94323"/>
    <w:rsid w:val="00B94388"/>
    <w:rsid w:val="00B94404"/>
    <w:rsid w:val="00B944B8"/>
    <w:rsid w:val="00B94663"/>
    <w:rsid w:val="00B94B0D"/>
    <w:rsid w:val="00B94B6B"/>
    <w:rsid w:val="00B94C66"/>
    <w:rsid w:val="00B94CA2"/>
    <w:rsid w:val="00B94F89"/>
    <w:rsid w:val="00B94F96"/>
    <w:rsid w:val="00B94FE9"/>
    <w:rsid w:val="00B95112"/>
    <w:rsid w:val="00B95147"/>
    <w:rsid w:val="00B9535D"/>
    <w:rsid w:val="00B95485"/>
    <w:rsid w:val="00B954E4"/>
    <w:rsid w:val="00B95556"/>
    <w:rsid w:val="00B9560E"/>
    <w:rsid w:val="00B95708"/>
    <w:rsid w:val="00B9571E"/>
    <w:rsid w:val="00B9577C"/>
    <w:rsid w:val="00B9579E"/>
    <w:rsid w:val="00B959AA"/>
    <w:rsid w:val="00B959BB"/>
    <w:rsid w:val="00B95B27"/>
    <w:rsid w:val="00B95BD9"/>
    <w:rsid w:val="00B95D0D"/>
    <w:rsid w:val="00B95D17"/>
    <w:rsid w:val="00B95D8F"/>
    <w:rsid w:val="00B95E53"/>
    <w:rsid w:val="00B95EDF"/>
    <w:rsid w:val="00B95F6F"/>
    <w:rsid w:val="00B9604A"/>
    <w:rsid w:val="00B960D2"/>
    <w:rsid w:val="00B96146"/>
    <w:rsid w:val="00B961DA"/>
    <w:rsid w:val="00B9621F"/>
    <w:rsid w:val="00B962A0"/>
    <w:rsid w:val="00B962E7"/>
    <w:rsid w:val="00B963F2"/>
    <w:rsid w:val="00B96495"/>
    <w:rsid w:val="00B9650A"/>
    <w:rsid w:val="00B965A2"/>
    <w:rsid w:val="00B9670F"/>
    <w:rsid w:val="00B96828"/>
    <w:rsid w:val="00B96835"/>
    <w:rsid w:val="00B96962"/>
    <w:rsid w:val="00B969DA"/>
    <w:rsid w:val="00B96A45"/>
    <w:rsid w:val="00B96A61"/>
    <w:rsid w:val="00B96ADF"/>
    <w:rsid w:val="00B96B7C"/>
    <w:rsid w:val="00B96C87"/>
    <w:rsid w:val="00B96CE7"/>
    <w:rsid w:val="00B96D7C"/>
    <w:rsid w:val="00B96DDD"/>
    <w:rsid w:val="00B96F00"/>
    <w:rsid w:val="00B96FA4"/>
    <w:rsid w:val="00B97111"/>
    <w:rsid w:val="00B97317"/>
    <w:rsid w:val="00B9732B"/>
    <w:rsid w:val="00B9736B"/>
    <w:rsid w:val="00B974ED"/>
    <w:rsid w:val="00B97532"/>
    <w:rsid w:val="00B9757C"/>
    <w:rsid w:val="00B97669"/>
    <w:rsid w:val="00B9775B"/>
    <w:rsid w:val="00B9776E"/>
    <w:rsid w:val="00B977E1"/>
    <w:rsid w:val="00B97922"/>
    <w:rsid w:val="00B97925"/>
    <w:rsid w:val="00B9793D"/>
    <w:rsid w:val="00B97982"/>
    <w:rsid w:val="00B979D2"/>
    <w:rsid w:val="00B97AD4"/>
    <w:rsid w:val="00B97AF6"/>
    <w:rsid w:val="00B97AFD"/>
    <w:rsid w:val="00B97B0F"/>
    <w:rsid w:val="00B97B94"/>
    <w:rsid w:val="00B97BA6"/>
    <w:rsid w:val="00B97D1F"/>
    <w:rsid w:val="00B97F6A"/>
    <w:rsid w:val="00B97F9E"/>
    <w:rsid w:val="00B97FC6"/>
    <w:rsid w:val="00BA011D"/>
    <w:rsid w:val="00BA013B"/>
    <w:rsid w:val="00BA0260"/>
    <w:rsid w:val="00BA0459"/>
    <w:rsid w:val="00BA05EE"/>
    <w:rsid w:val="00BA0780"/>
    <w:rsid w:val="00BA079B"/>
    <w:rsid w:val="00BA07DB"/>
    <w:rsid w:val="00BA08A5"/>
    <w:rsid w:val="00BA0CB5"/>
    <w:rsid w:val="00BA0D5C"/>
    <w:rsid w:val="00BA0DBF"/>
    <w:rsid w:val="00BA0E8A"/>
    <w:rsid w:val="00BA0EAA"/>
    <w:rsid w:val="00BA0F94"/>
    <w:rsid w:val="00BA10DE"/>
    <w:rsid w:val="00BA113F"/>
    <w:rsid w:val="00BA11B2"/>
    <w:rsid w:val="00BA1434"/>
    <w:rsid w:val="00BA1435"/>
    <w:rsid w:val="00BA14FF"/>
    <w:rsid w:val="00BA151D"/>
    <w:rsid w:val="00BA155B"/>
    <w:rsid w:val="00BA15B8"/>
    <w:rsid w:val="00BA164C"/>
    <w:rsid w:val="00BA16C8"/>
    <w:rsid w:val="00BA16CF"/>
    <w:rsid w:val="00BA1724"/>
    <w:rsid w:val="00BA1726"/>
    <w:rsid w:val="00BA1728"/>
    <w:rsid w:val="00BA179F"/>
    <w:rsid w:val="00BA192B"/>
    <w:rsid w:val="00BA1C11"/>
    <w:rsid w:val="00BA1CCC"/>
    <w:rsid w:val="00BA1DC9"/>
    <w:rsid w:val="00BA1DD1"/>
    <w:rsid w:val="00BA1DFB"/>
    <w:rsid w:val="00BA1EA3"/>
    <w:rsid w:val="00BA1EBF"/>
    <w:rsid w:val="00BA1F30"/>
    <w:rsid w:val="00BA2015"/>
    <w:rsid w:val="00BA2176"/>
    <w:rsid w:val="00BA24A8"/>
    <w:rsid w:val="00BA260F"/>
    <w:rsid w:val="00BA263E"/>
    <w:rsid w:val="00BA2B28"/>
    <w:rsid w:val="00BA2B2A"/>
    <w:rsid w:val="00BA2DDF"/>
    <w:rsid w:val="00BA2E64"/>
    <w:rsid w:val="00BA31B6"/>
    <w:rsid w:val="00BA3290"/>
    <w:rsid w:val="00BA33BD"/>
    <w:rsid w:val="00BA35CA"/>
    <w:rsid w:val="00BA35FB"/>
    <w:rsid w:val="00BA3993"/>
    <w:rsid w:val="00BA39D9"/>
    <w:rsid w:val="00BA3D1F"/>
    <w:rsid w:val="00BA3D7F"/>
    <w:rsid w:val="00BA3D8D"/>
    <w:rsid w:val="00BA3DFE"/>
    <w:rsid w:val="00BA3ED8"/>
    <w:rsid w:val="00BA3F2D"/>
    <w:rsid w:val="00BA3F35"/>
    <w:rsid w:val="00BA3F38"/>
    <w:rsid w:val="00BA3F5C"/>
    <w:rsid w:val="00BA40D2"/>
    <w:rsid w:val="00BA43E6"/>
    <w:rsid w:val="00BA457E"/>
    <w:rsid w:val="00BA46C3"/>
    <w:rsid w:val="00BA4725"/>
    <w:rsid w:val="00BA472F"/>
    <w:rsid w:val="00BA476B"/>
    <w:rsid w:val="00BA478C"/>
    <w:rsid w:val="00BA47B8"/>
    <w:rsid w:val="00BA47DA"/>
    <w:rsid w:val="00BA48AE"/>
    <w:rsid w:val="00BA4992"/>
    <w:rsid w:val="00BA49C7"/>
    <w:rsid w:val="00BA4A25"/>
    <w:rsid w:val="00BA4A64"/>
    <w:rsid w:val="00BA4D75"/>
    <w:rsid w:val="00BA4F33"/>
    <w:rsid w:val="00BA4F84"/>
    <w:rsid w:val="00BA4FA3"/>
    <w:rsid w:val="00BA50CF"/>
    <w:rsid w:val="00BA5166"/>
    <w:rsid w:val="00BA5196"/>
    <w:rsid w:val="00BA51F0"/>
    <w:rsid w:val="00BA5200"/>
    <w:rsid w:val="00BA5226"/>
    <w:rsid w:val="00BA5241"/>
    <w:rsid w:val="00BA528C"/>
    <w:rsid w:val="00BA5309"/>
    <w:rsid w:val="00BA537C"/>
    <w:rsid w:val="00BA53FC"/>
    <w:rsid w:val="00BA551F"/>
    <w:rsid w:val="00BA562E"/>
    <w:rsid w:val="00BA563C"/>
    <w:rsid w:val="00BA56CD"/>
    <w:rsid w:val="00BA56EC"/>
    <w:rsid w:val="00BA576C"/>
    <w:rsid w:val="00BA577B"/>
    <w:rsid w:val="00BA5887"/>
    <w:rsid w:val="00BA59EC"/>
    <w:rsid w:val="00BA5C4F"/>
    <w:rsid w:val="00BA5D4B"/>
    <w:rsid w:val="00BA5D5C"/>
    <w:rsid w:val="00BA5F4B"/>
    <w:rsid w:val="00BA5F8B"/>
    <w:rsid w:val="00BA612B"/>
    <w:rsid w:val="00BA625F"/>
    <w:rsid w:val="00BA6332"/>
    <w:rsid w:val="00BA6386"/>
    <w:rsid w:val="00BA64BD"/>
    <w:rsid w:val="00BA65A6"/>
    <w:rsid w:val="00BA65D6"/>
    <w:rsid w:val="00BA66F0"/>
    <w:rsid w:val="00BA680A"/>
    <w:rsid w:val="00BA6A86"/>
    <w:rsid w:val="00BA6AF3"/>
    <w:rsid w:val="00BA6B72"/>
    <w:rsid w:val="00BA6F8C"/>
    <w:rsid w:val="00BA6FE9"/>
    <w:rsid w:val="00BA7008"/>
    <w:rsid w:val="00BA70B3"/>
    <w:rsid w:val="00BA70C0"/>
    <w:rsid w:val="00BA7212"/>
    <w:rsid w:val="00BA732A"/>
    <w:rsid w:val="00BA745D"/>
    <w:rsid w:val="00BA747F"/>
    <w:rsid w:val="00BA74E0"/>
    <w:rsid w:val="00BA7545"/>
    <w:rsid w:val="00BA760C"/>
    <w:rsid w:val="00BA763E"/>
    <w:rsid w:val="00BA795E"/>
    <w:rsid w:val="00BA7AB9"/>
    <w:rsid w:val="00BA7DC7"/>
    <w:rsid w:val="00BA7DCE"/>
    <w:rsid w:val="00BA7E17"/>
    <w:rsid w:val="00BA7E44"/>
    <w:rsid w:val="00BA7EB7"/>
    <w:rsid w:val="00BA7F3F"/>
    <w:rsid w:val="00BB002D"/>
    <w:rsid w:val="00BB0067"/>
    <w:rsid w:val="00BB00B1"/>
    <w:rsid w:val="00BB017B"/>
    <w:rsid w:val="00BB0260"/>
    <w:rsid w:val="00BB03D8"/>
    <w:rsid w:val="00BB047D"/>
    <w:rsid w:val="00BB0615"/>
    <w:rsid w:val="00BB0757"/>
    <w:rsid w:val="00BB0974"/>
    <w:rsid w:val="00BB0A4D"/>
    <w:rsid w:val="00BB0A9A"/>
    <w:rsid w:val="00BB0ADF"/>
    <w:rsid w:val="00BB0AF8"/>
    <w:rsid w:val="00BB0C23"/>
    <w:rsid w:val="00BB0EBE"/>
    <w:rsid w:val="00BB0F3E"/>
    <w:rsid w:val="00BB10AB"/>
    <w:rsid w:val="00BB1149"/>
    <w:rsid w:val="00BB115E"/>
    <w:rsid w:val="00BB12CD"/>
    <w:rsid w:val="00BB141D"/>
    <w:rsid w:val="00BB1478"/>
    <w:rsid w:val="00BB155B"/>
    <w:rsid w:val="00BB15F5"/>
    <w:rsid w:val="00BB1605"/>
    <w:rsid w:val="00BB16B8"/>
    <w:rsid w:val="00BB16C6"/>
    <w:rsid w:val="00BB1838"/>
    <w:rsid w:val="00BB1A3A"/>
    <w:rsid w:val="00BB1A90"/>
    <w:rsid w:val="00BB1B76"/>
    <w:rsid w:val="00BB1BA6"/>
    <w:rsid w:val="00BB20B6"/>
    <w:rsid w:val="00BB217A"/>
    <w:rsid w:val="00BB2269"/>
    <w:rsid w:val="00BB2321"/>
    <w:rsid w:val="00BB2371"/>
    <w:rsid w:val="00BB23C5"/>
    <w:rsid w:val="00BB23E8"/>
    <w:rsid w:val="00BB24A3"/>
    <w:rsid w:val="00BB265E"/>
    <w:rsid w:val="00BB26B9"/>
    <w:rsid w:val="00BB27B2"/>
    <w:rsid w:val="00BB27B4"/>
    <w:rsid w:val="00BB27C9"/>
    <w:rsid w:val="00BB29E0"/>
    <w:rsid w:val="00BB2AAD"/>
    <w:rsid w:val="00BB2ACF"/>
    <w:rsid w:val="00BB2B15"/>
    <w:rsid w:val="00BB2B38"/>
    <w:rsid w:val="00BB2ED3"/>
    <w:rsid w:val="00BB2F0A"/>
    <w:rsid w:val="00BB2F33"/>
    <w:rsid w:val="00BB3040"/>
    <w:rsid w:val="00BB30B4"/>
    <w:rsid w:val="00BB310F"/>
    <w:rsid w:val="00BB33D5"/>
    <w:rsid w:val="00BB34D1"/>
    <w:rsid w:val="00BB34F1"/>
    <w:rsid w:val="00BB3564"/>
    <w:rsid w:val="00BB35BF"/>
    <w:rsid w:val="00BB36B7"/>
    <w:rsid w:val="00BB381A"/>
    <w:rsid w:val="00BB3870"/>
    <w:rsid w:val="00BB3891"/>
    <w:rsid w:val="00BB393E"/>
    <w:rsid w:val="00BB3C5A"/>
    <w:rsid w:val="00BB3D09"/>
    <w:rsid w:val="00BB3DD7"/>
    <w:rsid w:val="00BB3DF2"/>
    <w:rsid w:val="00BB3FAC"/>
    <w:rsid w:val="00BB4152"/>
    <w:rsid w:val="00BB416D"/>
    <w:rsid w:val="00BB41AE"/>
    <w:rsid w:val="00BB41D6"/>
    <w:rsid w:val="00BB41E5"/>
    <w:rsid w:val="00BB43C1"/>
    <w:rsid w:val="00BB4566"/>
    <w:rsid w:val="00BB4697"/>
    <w:rsid w:val="00BB46A8"/>
    <w:rsid w:val="00BB46C2"/>
    <w:rsid w:val="00BB46E9"/>
    <w:rsid w:val="00BB4753"/>
    <w:rsid w:val="00BB487E"/>
    <w:rsid w:val="00BB4A5D"/>
    <w:rsid w:val="00BB4AD9"/>
    <w:rsid w:val="00BB4B4D"/>
    <w:rsid w:val="00BB4BD6"/>
    <w:rsid w:val="00BB4BF1"/>
    <w:rsid w:val="00BB4C0C"/>
    <w:rsid w:val="00BB4C30"/>
    <w:rsid w:val="00BB4C5F"/>
    <w:rsid w:val="00BB4D9F"/>
    <w:rsid w:val="00BB4EDD"/>
    <w:rsid w:val="00BB50AA"/>
    <w:rsid w:val="00BB511A"/>
    <w:rsid w:val="00BB512C"/>
    <w:rsid w:val="00BB54BA"/>
    <w:rsid w:val="00BB54CC"/>
    <w:rsid w:val="00BB5509"/>
    <w:rsid w:val="00BB5604"/>
    <w:rsid w:val="00BB5630"/>
    <w:rsid w:val="00BB5649"/>
    <w:rsid w:val="00BB579C"/>
    <w:rsid w:val="00BB58F0"/>
    <w:rsid w:val="00BB5921"/>
    <w:rsid w:val="00BB5A0D"/>
    <w:rsid w:val="00BB5B5E"/>
    <w:rsid w:val="00BB5C68"/>
    <w:rsid w:val="00BB5C9A"/>
    <w:rsid w:val="00BB5D8D"/>
    <w:rsid w:val="00BB5DEF"/>
    <w:rsid w:val="00BB5E1C"/>
    <w:rsid w:val="00BB5E27"/>
    <w:rsid w:val="00BB5E91"/>
    <w:rsid w:val="00BB60D5"/>
    <w:rsid w:val="00BB6139"/>
    <w:rsid w:val="00BB6149"/>
    <w:rsid w:val="00BB6280"/>
    <w:rsid w:val="00BB629F"/>
    <w:rsid w:val="00BB642F"/>
    <w:rsid w:val="00BB645B"/>
    <w:rsid w:val="00BB6478"/>
    <w:rsid w:val="00BB64C7"/>
    <w:rsid w:val="00BB6517"/>
    <w:rsid w:val="00BB6564"/>
    <w:rsid w:val="00BB660B"/>
    <w:rsid w:val="00BB669D"/>
    <w:rsid w:val="00BB67FE"/>
    <w:rsid w:val="00BB68B7"/>
    <w:rsid w:val="00BB6976"/>
    <w:rsid w:val="00BB6990"/>
    <w:rsid w:val="00BB6A32"/>
    <w:rsid w:val="00BB6A92"/>
    <w:rsid w:val="00BB6DA3"/>
    <w:rsid w:val="00BB6EDC"/>
    <w:rsid w:val="00BB6F2B"/>
    <w:rsid w:val="00BB6FEA"/>
    <w:rsid w:val="00BB704D"/>
    <w:rsid w:val="00BB719D"/>
    <w:rsid w:val="00BB7394"/>
    <w:rsid w:val="00BB73F3"/>
    <w:rsid w:val="00BB7499"/>
    <w:rsid w:val="00BB7600"/>
    <w:rsid w:val="00BB7708"/>
    <w:rsid w:val="00BB781A"/>
    <w:rsid w:val="00BB78C6"/>
    <w:rsid w:val="00BB7901"/>
    <w:rsid w:val="00BB79CB"/>
    <w:rsid w:val="00BB7AC4"/>
    <w:rsid w:val="00BB7B42"/>
    <w:rsid w:val="00BB7B88"/>
    <w:rsid w:val="00BB7D50"/>
    <w:rsid w:val="00BB7DE5"/>
    <w:rsid w:val="00BB7F15"/>
    <w:rsid w:val="00BB7F2F"/>
    <w:rsid w:val="00BB7F5A"/>
    <w:rsid w:val="00BB7FA8"/>
    <w:rsid w:val="00BC0036"/>
    <w:rsid w:val="00BC0051"/>
    <w:rsid w:val="00BC0362"/>
    <w:rsid w:val="00BC03A0"/>
    <w:rsid w:val="00BC0418"/>
    <w:rsid w:val="00BC0487"/>
    <w:rsid w:val="00BC054C"/>
    <w:rsid w:val="00BC059E"/>
    <w:rsid w:val="00BC06F7"/>
    <w:rsid w:val="00BC078D"/>
    <w:rsid w:val="00BC086D"/>
    <w:rsid w:val="00BC098B"/>
    <w:rsid w:val="00BC0A28"/>
    <w:rsid w:val="00BC0BC4"/>
    <w:rsid w:val="00BC0D66"/>
    <w:rsid w:val="00BC0E19"/>
    <w:rsid w:val="00BC0E80"/>
    <w:rsid w:val="00BC0EE3"/>
    <w:rsid w:val="00BC0FD3"/>
    <w:rsid w:val="00BC10ED"/>
    <w:rsid w:val="00BC1113"/>
    <w:rsid w:val="00BC11D2"/>
    <w:rsid w:val="00BC1305"/>
    <w:rsid w:val="00BC1332"/>
    <w:rsid w:val="00BC1477"/>
    <w:rsid w:val="00BC1497"/>
    <w:rsid w:val="00BC14D9"/>
    <w:rsid w:val="00BC152D"/>
    <w:rsid w:val="00BC15B4"/>
    <w:rsid w:val="00BC1628"/>
    <w:rsid w:val="00BC17F2"/>
    <w:rsid w:val="00BC190E"/>
    <w:rsid w:val="00BC1A2F"/>
    <w:rsid w:val="00BC1A6E"/>
    <w:rsid w:val="00BC1CD8"/>
    <w:rsid w:val="00BC1D0A"/>
    <w:rsid w:val="00BC1D3C"/>
    <w:rsid w:val="00BC1DBE"/>
    <w:rsid w:val="00BC1DDA"/>
    <w:rsid w:val="00BC1E07"/>
    <w:rsid w:val="00BC2089"/>
    <w:rsid w:val="00BC2110"/>
    <w:rsid w:val="00BC21B0"/>
    <w:rsid w:val="00BC2233"/>
    <w:rsid w:val="00BC229F"/>
    <w:rsid w:val="00BC2471"/>
    <w:rsid w:val="00BC2735"/>
    <w:rsid w:val="00BC2A0F"/>
    <w:rsid w:val="00BC2A39"/>
    <w:rsid w:val="00BC2A91"/>
    <w:rsid w:val="00BC2BA8"/>
    <w:rsid w:val="00BC2C38"/>
    <w:rsid w:val="00BC2EA1"/>
    <w:rsid w:val="00BC2F06"/>
    <w:rsid w:val="00BC30FA"/>
    <w:rsid w:val="00BC31DA"/>
    <w:rsid w:val="00BC32A2"/>
    <w:rsid w:val="00BC32F7"/>
    <w:rsid w:val="00BC3393"/>
    <w:rsid w:val="00BC3464"/>
    <w:rsid w:val="00BC34C1"/>
    <w:rsid w:val="00BC362D"/>
    <w:rsid w:val="00BC380D"/>
    <w:rsid w:val="00BC3850"/>
    <w:rsid w:val="00BC38C0"/>
    <w:rsid w:val="00BC38C8"/>
    <w:rsid w:val="00BC3BB7"/>
    <w:rsid w:val="00BC3DD6"/>
    <w:rsid w:val="00BC3E9E"/>
    <w:rsid w:val="00BC3EE1"/>
    <w:rsid w:val="00BC3EE2"/>
    <w:rsid w:val="00BC3FDE"/>
    <w:rsid w:val="00BC412E"/>
    <w:rsid w:val="00BC4135"/>
    <w:rsid w:val="00BC4174"/>
    <w:rsid w:val="00BC4192"/>
    <w:rsid w:val="00BC41BB"/>
    <w:rsid w:val="00BC4256"/>
    <w:rsid w:val="00BC43C3"/>
    <w:rsid w:val="00BC4804"/>
    <w:rsid w:val="00BC485D"/>
    <w:rsid w:val="00BC4965"/>
    <w:rsid w:val="00BC49EE"/>
    <w:rsid w:val="00BC4B22"/>
    <w:rsid w:val="00BC4D78"/>
    <w:rsid w:val="00BC4D9A"/>
    <w:rsid w:val="00BC4E57"/>
    <w:rsid w:val="00BC4F83"/>
    <w:rsid w:val="00BC527B"/>
    <w:rsid w:val="00BC533A"/>
    <w:rsid w:val="00BC538C"/>
    <w:rsid w:val="00BC53A3"/>
    <w:rsid w:val="00BC53C3"/>
    <w:rsid w:val="00BC53F7"/>
    <w:rsid w:val="00BC541A"/>
    <w:rsid w:val="00BC5462"/>
    <w:rsid w:val="00BC546D"/>
    <w:rsid w:val="00BC5631"/>
    <w:rsid w:val="00BC5901"/>
    <w:rsid w:val="00BC5A06"/>
    <w:rsid w:val="00BC5A11"/>
    <w:rsid w:val="00BC5B0F"/>
    <w:rsid w:val="00BC5CB4"/>
    <w:rsid w:val="00BC5DA5"/>
    <w:rsid w:val="00BC5E34"/>
    <w:rsid w:val="00BC5EE8"/>
    <w:rsid w:val="00BC5F71"/>
    <w:rsid w:val="00BC5F9C"/>
    <w:rsid w:val="00BC5FCC"/>
    <w:rsid w:val="00BC609B"/>
    <w:rsid w:val="00BC60D3"/>
    <w:rsid w:val="00BC61C2"/>
    <w:rsid w:val="00BC6211"/>
    <w:rsid w:val="00BC6362"/>
    <w:rsid w:val="00BC63A3"/>
    <w:rsid w:val="00BC646B"/>
    <w:rsid w:val="00BC6570"/>
    <w:rsid w:val="00BC6605"/>
    <w:rsid w:val="00BC6919"/>
    <w:rsid w:val="00BC69D4"/>
    <w:rsid w:val="00BC69F2"/>
    <w:rsid w:val="00BC6A6B"/>
    <w:rsid w:val="00BC6C57"/>
    <w:rsid w:val="00BC6C93"/>
    <w:rsid w:val="00BC6E92"/>
    <w:rsid w:val="00BC6EF2"/>
    <w:rsid w:val="00BC6F62"/>
    <w:rsid w:val="00BC6F78"/>
    <w:rsid w:val="00BC7076"/>
    <w:rsid w:val="00BC70F4"/>
    <w:rsid w:val="00BC7251"/>
    <w:rsid w:val="00BC72C9"/>
    <w:rsid w:val="00BC737B"/>
    <w:rsid w:val="00BC7389"/>
    <w:rsid w:val="00BC7433"/>
    <w:rsid w:val="00BC7573"/>
    <w:rsid w:val="00BC763D"/>
    <w:rsid w:val="00BC77D0"/>
    <w:rsid w:val="00BC7A12"/>
    <w:rsid w:val="00BC7BE1"/>
    <w:rsid w:val="00BC7C0E"/>
    <w:rsid w:val="00BC7D24"/>
    <w:rsid w:val="00BC7E7C"/>
    <w:rsid w:val="00BC7E82"/>
    <w:rsid w:val="00BC7EDA"/>
    <w:rsid w:val="00BC7EFA"/>
    <w:rsid w:val="00BD000B"/>
    <w:rsid w:val="00BD01B6"/>
    <w:rsid w:val="00BD0232"/>
    <w:rsid w:val="00BD02E0"/>
    <w:rsid w:val="00BD0400"/>
    <w:rsid w:val="00BD0410"/>
    <w:rsid w:val="00BD063E"/>
    <w:rsid w:val="00BD064A"/>
    <w:rsid w:val="00BD06B9"/>
    <w:rsid w:val="00BD0757"/>
    <w:rsid w:val="00BD0869"/>
    <w:rsid w:val="00BD0C74"/>
    <w:rsid w:val="00BD0D15"/>
    <w:rsid w:val="00BD10D9"/>
    <w:rsid w:val="00BD1197"/>
    <w:rsid w:val="00BD12E7"/>
    <w:rsid w:val="00BD1300"/>
    <w:rsid w:val="00BD1407"/>
    <w:rsid w:val="00BD1521"/>
    <w:rsid w:val="00BD1691"/>
    <w:rsid w:val="00BD17FC"/>
    <w:rsid w:val="00BD19F1"/>
    <w:rsid w:val="00BD1A4C"/>
    <w:rsid w:val="00BD1B77"/>
    <w:rsid w:val="00BD1BA7"/>
    <w:rsid w:val="00BD1BB2"/>
    <w:rsid w:val="00BD1D0B"/>
    <w:rsid w:val="00BD1F0F"/>
    <w:rsid w:val="00BD1F5C"/>
    <w:rsid w:val="00BD2054"/>
    <w:rsid w:val="00BD20FE"/>
    <w:rsid w:val="00BD2135"/>
    <w:rsid w:val="00BD226E"/>
    <w:rsid w:val="00BD22AB"/>
    <w:rsid w:val="00BD24CD"/>
    <w:rsid w:val="00BD24F4"/>
    <w:rsid w:val="00BD2543"/>
    <w:rsid w:val="00BD256C"/>
    <w:rsid w:val="00BD25BD"/>
    <w:rsid w:val="00BD267C"/>
    <w:rsid w:val="00BD279F"/>
    <w:rsid w:val="00BD2A33"/>
    <w:rsid w:val="00BD2A73"/>
    <w:rsid w:val="00BD2BCA"/>
    <w:rsid w:val="00BD2BCC"/>
    <w:rsid w:val="00BD2BCF"/>
    <w:rsid w:val="00BD2E28"/>
    <w:rsid w:val="00BD2E80"/>
    <w:rsid w:val="00BD2F84"/>
    <w:rsid w:val="00BD2F91"/>
    <w:rsid w:val="00BD2FEE"/>
    <w:rsid w:val="00BD3117"/>
    <w:rsid w:val="00BD3174"/>
    <w:rsid w:val="00BD324C"/>
    <w:rsid w:val="00BD32CF"/>
    <w:rsid w:val="00BD3393"/>
    <w:rsid w:val="00BD33D8"/>
    <w:rsid w:val="00BD3485"/>
    <w:rsid w:val="00BD35DF"/>
    <w:rsid w:val="00BD3620"/>
    <w:rsid w:val="00BD362A"/>
    <w:rsid w:val="00BD3685"/>
    <w:rsid w:val="00BD369E"/>
    <w:rsid w:val="00BD37CC"/>
    <w:rsid w:val="00BD37F1"/>
    <w:rsid w:val="00BD3933"/>
    <w:rsid w:val="00BD39B9"/>
    <w:rsid w:val="00BD39E5"/>
    <w:rsid w:val="00BD3CF1"/>
    <w:rsid w:val="00BD3D0B"/>
    <w:rsid w:val="00BD3D5A"/>
    <w:rsid w:val="00BD3E5F"/>
    <w:rsid w:val="00BD3F0A"/>
    <w:rsid w:val="00BD3FBD"/>
    <w:rsid w:val="00BD3FBE"/>
    <w:rsid w:val="00BD40D9"/>
    <w:rsid w:val="00BD4121"/>
    <w:rsid w:val="00BD4140"/>
    <w:rsid w:val="00BD41AF"/>
    <w:rsid w:val="00BD41BE"/>
    <w:rsid w:val="00BD42D0"/>
    <w:rsid w:val="00BD4310"/>
    <w:rsid w:val="00BD443C"/>
    <w:rsid w:val="00BD4584"/>
    <w:rsid w:val="00BD4657"/>
    <w:rsid w:val="00BD46F9"/>
    <w:rsid w:val="00BD46FC"/>
    <w:rsid w:val="00BD4788"/>
    <w:rsid w:val="00BD47EF"/>
    <w:rsid w:val="00BD47FF"/>
    <w:rsid w:val="00BD4AB8"/>
    <w:rsid w:val="00BD4AE2"/>
    <w:rsid w:val="00BD4B07"/>
    <w:rsid w:val="00BD4B3C"/>
    <w:rsid w:val="00BD4CC6"/>
    <w:rsid w:val="00BD4DBA"/>
    <w:rsid w:val="00BD4E91"/>
    <w:rsid w:val="00BD4EE4"/>
    <w:rsid w:val="00BD4F7F"/>
    <w:rsid w:val="00BD5132"/>
    <w:rsid w:val="00BD517E"/>
    <w:rsid w:val="00BD5299"/>
    <w:rsid w:val="00BD5384"/>
    <w:rsid w:val="00BD53DE"/>
    <w:rsid w:val="00BD5466"/>
    <w:rsid w:val="00BD54A7"/>
    <w:rsid w:val="00BD55D9"/>
    <w:rsid w:val="00BD56B9"/>
    <w:rsid w:val="00BD57A8"/>
    <w:rsid w:val="00BD589A"/>
    <w:rsid w:val="00BD58A6"/>
    <w:rsid w:val="00BD59A5"/>
    <w:rsid w:val="00BD59D1"/>
    <w:rsid w:val="00BD5A6A"/>
    <w:rsid w:val="00BD5AC7"/>
    <w:rsid w:val="00BD5AD7"/>
    <w:rsid w:val="00BD5B7A"/>
    <w:rsid w:val="00BD5B9A"/>
    <w:rsid w:val="00BD5C0B"/>
    <w:rsid w:val="00BD5E16"/>
    <w:rsid w:val="00BD5E99"/>
    <w:rsid w:val="00BD5F04"/>
    <w:rsid w:val="00BD5F4D"/>
    <w:rsid w:val="00BD5FB8"/>
    <w:rsid w:val="00BD6046"/>
    <w:rsid w:val="00BD625C"/>
    <w:rsid w:val="00BD62A1"/>
    <w:rsid w:val="00BD62AD"/>
    <w:rsid w:val="00BD6326"/>
    <w:rsid w:val="00BD63CD"/>
    <w:rsid w:val="00BD645C"/>
    <w:rsid w:val="00BD650B"/>
    <w:rsid w:val="00BD6544"/>
    <w:rsid w:val="00BD65A1"/>
    <w:rsid w:val="00BD6693"/>
    <w:rsid w:val="00BD66C6"/>
    <w:rsid w:val="00BD6841"/>
    <w:rsid w:val="00BD686B"/>
    <w:rsid w:val="00BD6A21"/>
    <w:rsid w:val="00BD6B80"/>
    <w:rsid w:val="00BD6BB4"/>
    <w:rsid w:val="00BD6BD0"/>
    <w:rsid w:val="00BD6D8A"/>
    <w:rsid w:val="00BD6F1A"/>
    <w:rsid w:val="00BD6F6A"/>
    <w:rsid w:val="00BD7053"/>
    <w:rsid w:val="00BD72E2"/>
    <w:rsid w:val="00BD730C"/>
    <w:rsid w:val="00BD7388"/>
    <w:rsid w:val="00BD73D9"/>
    <w:rsid w:val="00BD74E9"/>
    <w:rsid w:val="00BD77A3"/>
    <w:rsid w:val="00BD783C"/>
    <w:rsid w:val="00BD7854"/>
    <w:rsid w:val="00BD7999"/>
    <w:rsid w:val="00BD7A5E"/>
    <w:rsid w:val="00BD7A6A"/>
    <w:rsid w:val="00BD7BAA"/>
    <w:rsid w:val="00BD7D81"/>
    <w:rsid w:val="00BD7DF8"/>
    <w:rsid w:val="00BD7E33"/>
    <w:rsid w:val="00BD7EB9"/>
    <w:rsid w:val="00BE0070"/>
    <w:rsid w:val="00BE02F8"/>
    <w:rsid w:val="00BE041E"/>
    <w:rsid w:val="00BE0484"/>
    <w:rsid w:val="00BE04D5"/>
    <w:rsid w:val="00BE04F4"/>
    <w:rsid w:val="00BE0539"/>
    <w:rsid w:val="00BE079B"/>
    <w:rsid w:val="00BE07CD"/>
    <w:rsid w:val="00BE07CF"/>
    <w:rsid w:val="00BE07DB"/>
    <w:rsid w:val="00BE082D"/>
    <w:rsid w:val="00BE087E"/>
    <w:rsid w:val="00BE0960"/>
    <w:rsid w:val="00BE0A47"/>
    <w:rsid w:val="00BE0BA7"/>
    <w:rsid w:val="00BE0D1D"/>
    <w:rsid w:val="00BE0D3E"/>
    <w:rsid w:val="00BE0D46"/>
    <w:rsid w:val="00BE114A"/>
    <w:rsid w:val="00BE126A"/>
    <w:rsid w:val="00BE1402"/>
    <w:rsid w:val="00BE1564"/>
    <w:rsid w:val="00BE15B5"/>
    <w:rsid w:val="00BE1636"/>
    <w:rsid w:val="00BE169E"/>
    <w:rsid w:val="00BE16EF"/>
    <w:rsid w:val="00BE16F9"/>
    <w:rsid w:val="00BE1728"/>
    <w:rsid w:val="00BE178C"/>
    <w:rsid w:val="00BE18C7"/>
    <w:rsid w:val="00BE194E"/>
    <w:rsid w:val="00BE1982"/>
    <w:rsid w:val="00BE1AD8"/>
    <w:rsid w:val="00BE1AE8"/>
    <w:rsid w:val="00BE1B21"/>
    <w:rsid w:val="00BE1B4E"/>
    <w:rsid w:val="00BE1E6C"/>
    <w:rsid w:val="00BE1EC7"/>
    <w:rsid w:val="00BE1F6F"/>
    <w:rsid w:val="00BE1FE5"/>
    <w:rsid w:val="00BE1FED"/>
    <w:rsid w:val="00BE2031"/>
    <w:rsid w:val="00BE2046"/>
    <w:rsid w:val="00BE20DF"/>
    <w:rsid w:val="00BE21B1"/>
    <w:rsid w:val="00BE24C0"/>
    <w:rsid w:val="00BE2598"/>
    <w:rsid w:val="00BE25B3"/>
    <w:rsid w:val="00BE25E7"/>
    <w:rsid w:val="00BE25F0"/>
    <w:rsid w:val="00BE2691"/>
    <w:rsid w:val="00BE2880"/>
    <w:rsid w:val="00BE28BD"/>
    <w:rsid w:val="00BE2994"/>
    <w:rsid w:val="00BE29F5"/>
    <w:rsid w:val="00BE2A31"/>
    <w:rsid w:val="00BE2CF7"/>
    <w:rsid w:val="00BE2D96"/>
    <w:rsid w:val="00BE2D9C"/>
    <w:rsid w:val="00BE2DBF"/>
    <w:rsid w:val="00BE2EF3"/>
    <w:rsid w:val="00BE2EFA"/>
    <w:rsid w:val="00BE3053"/>
    <w:rsid w:val="00BE3067"/>
    <w:rsid w:val="00BE30A1"/>
    <w:rsid w:val="00BE323B"/>
    <w:rsid w:val="00BE34E5"/>
    <w:rsid w:val="00BE35CF"/>
    <w:rsid w:val="00BE3703"/>
    <w:rsid w:val="00BE37D4"/>
    <w:rsid w:val="00BE3905"/>
    <w:rsid w:val="00BE3A7C"/>
    <w:rsid w:val="00BE3A80"/>
    <w:rsid w:val="00BE3ABC"/>
    <w:rsid w:val="00BE3B57"/>
    <w:rsid w:val="00BE3BD8"/>
    <w:rsid w:val="00BE3BFF"/>
    <w:rsid w:val="00BE3C17"/>
    <w:rsid w:val="00BE3CD9"/>
    <w:rsid w:val="00BE3D8F"/>
    <w:rsid w:val="00BE3DAB"/>
    <w:rsid w:val="00BE3E28"/>
    <w:rsid w:val="00BE40C7"/>
    <w:rsid w:val="00BE4184"/>
    <w:rsid w:val="00BE41E1"/>
    <w:rsid w:val="00BE4234"/>
    <w:rsid w:val="00BE42E9"/>
    <w:rsid w:val="00BE431F"/>
    <w:rsid w:val="00BE432A"/>
    <w:rsid w:val="00BE433B"/>
    <w:rsid w:val="00BE43A2"/>
    <w:rsid w:val="00BE45F0"/>
    <w:rsid w:val="00BE46A9"/>
    <w:rsid w:val="00BE4814"/>
    <w:rsid w:val="00BE4A37"/>
    <w:rsid w:val="00BE4BD5"/>
    <w:rsid w:val="00BE4BE1"/>
    <w:rsid w:val="00BE4C4D"/>
    <w:rsid w:val="00BE4C61"/>
    <w:rsid w:val="00BE4E08"/>
    <w:rsid w:val="00BE4E50"/>
    <w:rsid w:val="00BE4EA2"/>
    <w:rsid w:val="00BE50BC"/>
    <w:rsid w:val="00BE50FE"/>
    <w:rsid w:val="00BE51ED"/>
    <w:rsid w:val="00BE51F9"/>
    <w:rsid w:val="00BE5234"/>
    <w:rsid w:val="00BE52A8"/>
    <w:rsid w:val="00BE53E0"/>
    <w:rsid w:val="00BE53E8"/>
    <w:rsid w:val="00BE547F"/>
    <w:rsid w:val="00BE5785"/>
    <w:rsid w:val="00BE57BA"/>
    <w:rsid w:val="00BE58C6"/>
    <w:rsid w:val="00BE5A41"/>
    <w:rsid w:val="00BE5A92"/>
    <w:rsid w:val="00BE5AAC"/>
    <w:rsid w:val="00BE5B0E"/>
    <w:rsid w:val="00BE5BFF"/>
    <w:rsid w:val="00BE5CA4"/>
    <w:rsid w:val="00BE5E11"/>
    <w:rsid w:val="00BE5E7A"/>
    <w:rsid w:val="00BE5F3E"/>
    <w:rsid w:val="00BE5F90"/>
    <w:rsid w:val="00BE5FA3"/>
    <w:rsid w:val="00BE605D"/>
    <w:rsid w:val="00BE6113"/>
    <w:rsid w:val="00BE61A2"/>
    <w:rsid w:val="00BE61F1"/>
    <w:rsid w:val="00BE624F"/>
    <w:rsid w:val="00BE64A3"/>
    <w:rsid w:val="00BE653A"/>
    <w:rsid w:val="00BE6903"/>
    <w:rsid w:val="00BE6C68"/>
    <w:rsid w:val="00BE6DC4"/>
    <w:rsid w:val="00BE6E23"/>
    <w:rsid w:val="00BE6FCE"/>
    <w:rsid w:val="00BE7015"/>
    <w:rsid w:val="00BE7237"/>
    <w:rsid w:val="00BE72BD"/>
    <w:rsid w:val="00BE73E4"/>
    <w:rsid w:val="00BE75CD"/>
    <w:rsid w:val="00BE767A"/>
    <w:rsid w:val="00BE76AD"/>
    <w:rsid w:val="00BE77BD"/>
    <w:rsid w:val="00BE79B5"/>
    <w:rsid w:val="00BE79B9"/>
    <w:rsid w:val="00BE7AB3"/>
    <w:rsid w:val="00BE7ACB"/>
    <w:rsid w:val="00BE7BD0"/>
    <w:rsid w:val="00BE7D65"/>
    <w:rsid w:val="00BE7D90"/>
    <w:rsid w:val="00BE7E0B"/>
    <w:rsid w:val="00BE7EBB"/>
    <w:rsid w:val="00BE7F34"/>
    <w:rsid w:val="00BF0079"/>
    <w:rsid w:val="00BF00AE"/>
    <w:rsid w:val="00BF00F8"/>
    <w:rsid w:val="00BF01BD"/>
    <w:rsid w:val="00BF01D2"/>
    <w:rsid w:val="00BF066A"/>
    <w:rsid w:val="00BF06A5"/>
    <w:rsid w:val="00BF0700"/>
    <w:rsid w:val="00BF07C3"/>
    <w:rsid w:val="00BF086C"/>
    <w:rsid w:val="00BF0888"/>
    <w:rsid w:val="00BF08CC"/>
    <w:rsid w:val="00BF0974"/>
    <w:rsid w:val="00BF099A"/>
    <w:rsid w:val="00BF0B90"/>
    <w:rsid w:val="00BF0BE8"/>
    <w:rsid w:val="00BF0CC9"/>
    <w:rsid w:val="00BF0D41"/>
    <w:rsid w:val="00BF0ED1"/>
    <w:rsid w:val="00BF0F83"/>
    <w:rsid w:val="00BF1235"/>
    <w:rsid w:val="00BF125E"/>
    <w:rsid w:val="00BF137A"/>
    <w:rsid w:val="00BF13CC"/>
    <w:rsid w:val="00BF1443"/>
    <w:rsid w:val="00BF146B"/>
    <w:rsid w:val="00BF1593"/>
    <w:rsid w:val="00BF16AC"/>
    <w:rsid w:val="00BF16EB"/>
    <w:rsid w:val="00BF1717"/>
    <w:rsid w:val="00BF1874"/>
    <w:rsid w:val="00BF1916"/>
    <w:rsid w:val="00BF193A"/>
    <w:rsid w:val="00BF195C"/>
    <w:rsid w:val="00BF1A30"/>
    <w:rsid w:val="00BF1A84"/>
    <w:rsid w:val="00BF1B69"/>
    <w:rsid w:val="00BF1BF6"/>
    <w:rsid w:val="00BF1C2A"/>
    <w:rsid w:val="00BF1CF4"/>
    <w:rsid w:val="00BF1D13"/>
    <w:rsid w:val="00BF1E4E"/>
    <w:rsid w:val="00BF1FD0"/>
    <w:rsid w:val="00BF2062"/>
    <w:rsid w:val="00BF2088"/>
    <w:rsid w:val="00BF20FF"/>
    <w:rsid w:val="00BF221F"/>
    <w:rsid w:val="00BF2235"/>
    <w:rsid w:val="00BF237D"/>
    <w:rsid w:val="00BF23AE"/>
    <w:rsid w:val="00BF23B0"/>
    <w:rsid w:val="00BF23D5"/>
    <w:rsid w:val="00BF23F4"/>
    <w:rsid w:val="00BF255A"/>
    <w:rsid w:val="00BF257A"/>
    <w:rsid w:val="00BF2617"/>
    <w:rsid w:val="00BF2652"/>
    <w:rsid w:val="00BF265E"/>
    <w:rsid w:val="00BF2773"/>
    <w:rsid w:val="00BF27A9"/>
    <w:rsid w:val="00BF2907"/>
    <w:rsid w:val="00BF298D"/>
    <w:rsid w:val="00BF2B40"/>
    <w:rsid w:val="00BF2BC5"/>
    <w:rsid w:val="00BF2D1B"/>
    <w:rsid w:val="00BF2D6A"/>
    <w:rsid w:val="00BF2ED7"/>
    <w:rsid w:val="00BF2F39"/>
    <w:rsid w:val="00BF2FDC"/>
    <w:rsid w:val="00BF30EE"/>
    <w:rsid w:val="00BF3218"/>
    <w:rsid w:val="00BF32AC"/>
    <w:rsid w:val="00BF344C"/>
    <w:rsid w:val="00BF349E"/>
    <w:rsid w:val="00BF34A8"/>
    <w:rsid w:val="00BF3694"/>
    <w:rsid w:val="00BF3767"/>
    <w:rsid w:val="00BF382C"/>
    <w:rsid w:val="00BF3864"/>
    <w:rsid w:val="00BF38DB"/>
    <w:rsid w:val="00BF395E"/>
    <w:rsid w:val="00BF39BA"/>
    <w:rsid w:val="00BF3AC9"/>
    <w:rsid w:val="00BF3BD5"/>
    <w:rsid w:val="00BF3C3A"/>
    <w:rsid w:val="00BF3E45"/>
    <w:rsid w:val="00BF3ECA"/>
    <w:rsid w:val="00BF418D"/>
    <w:rsid w:val="00BF41FD"/>
    <w:rsid w:val="00BF4214"/>
    <w:rsid w:val="00BF421E"/>
    <w:rsid w:val="00BF432F"/>
    <w:rsid w:val="00BF4366"/>
    <w:rsid w:val="00BF43C0"/>
    <w:rsid w:val="00BF44FE"/>
    <w:rsid w:val="00BF450E"/>
    <w:rsid w:val="00BF46A6"/>
    <w:rsid w:val="00BF4707"/>
    <w:rsid w:val="00BF4843"/>
    <w:rsid w:val="00BF4880"/>
    <w:rsid w:val="00BF492D"/>
    <w:rsid w:val="00BF49AB"/>
    <w:rsid w:val="00BF4BBF"/>
    <w:rsid w:val="00BF4C0C"/>
    <w:rsid w:val="00BF4C6C"/>
    <w:rsid w:val="00BF4D71"/>
    <w:rsid w:val="00BF4DDB"/>
    <w:rsid w:val="00BF4E07"/>
    <w:rsid w:val="00BF4ED3"/>
    <w:rsid w:val="00BF4F11"/>
    <w:rsid w:val="00BF53AD"/>
    <w:rsid w:val="00BF5404"/>
    <w:rsid w:val="00BF5560"/>
    <w:rsid w:val="00BF5602"/>
    <w:rsid w:val="00BF5604"/>
    <w:rsid w:val="00BF569E"/>
    <w:rsid w:val="00BF5761"/>
    <w:rsid w:val="00BF5833"/>
    <w:rsid w:val="00BF5928"/>
    <w:rsid w:val="00BF5963"/>
    <w:rsid w:val="00BF597F"/>
    <w:rsid w:val="00BF5A02"/>
    <w:rsid w:val="00BF5BD3"/>
    <w:rsid w:val="00BF5CA4"/>
    <w:rsid w:val="00BF5CA5"/>
    <w:rsid w:val="00BF5CB6"/>
    <w:rsid w:val="00BF5CD4"/>
    <w:rsid w:val="00BF5CDD"/>
    <w:rsid w:val="00BF5F36"/>
    <w:rsid w:val="00BF5FEB"/>
    <w:rsid w:val="00BF6044"/>
    <w:rsid w:val="00BF605E"/>
    <w:rsid w:val="00BF60F7"/>
    <w:rsid w:val="00BF61B5"/>
    <w:rsid w:val="00BF62C7"/>
    <w:rsid w:val="00BF62E8"/>
    <w:rsid w:val="00BF65D5"/>
    <w:rsid w:val="00BF65F9"/>
    <w:rsid w:val="00BF67A3"/>
    <w:rsid w:val="00BF6CBD"/>
    <w:rsid w:val="00BF6CE7"/>
    <w:rsid w:val="00BF6DEC"/>
    <w:rsid w:val="00BF6EA6"/>
    <w:rsid w:val="00BF6F3B"/>
    <w:rsid w:val="00BF6F74"/>
    <w:rsid w:val="00BF6F9B"/>
    <w:rsid w:val="00BF7039"/>
    <w:rsid w:val="00BF7042"/>
    <w:rsid w:val="00BF70C4"/>
    <w:rsid w:val="00BF70E0"/>
    <w:rsid w:val="00BF7118"/>
    <w:rsid w:val="00BF74C5"/>
    <w:rsid w:val="00BF75DA"/>
    <w:rsid w:val="00BF7614"/>
    <w:rsid w:val="00BF76A7"/>
    <w:rsid w:val="00BF77FF"/>
    <w:rsid w:val="00BF78D1"/>
    <w:rsid w:val="00BF7935"/>
    <w:rsid w:val="00BF799E"/>
    <w:rsid w:val="00BF79B3"/>
    <w:rsid w:val="00BF7B01"/>
    <w:rsid w:val="00BF7B96"/>
    <w:rsid w:val="00BF7DA6"/>
    <w:rsid w:val="00BF7E6B"/>
    <w:rsid w:val="00BF7EDC"/>
    <w:rsid w:val="00C00005"/>
    <w:rsid w:val="00C00216"/>
    <w:rsid w:val="00C00242"/>
    <w:rsid w:val="00C00272"/>
    <w:rsid w:val="00C002BB"/>
    <w:rsid w:val="00C00302"/>
    <w:rsid w:val="00C0032F"/>
    <w:rsid w:val="00C0039C"/>
    <w:rsid w:val="00C0042F"/>
    <w:rsid w:val="00C0046E"/>
    <w:rsid w:val="00C00565"/>
    <w:rsid w:val="00C005BA"/>
    <w:rsid w:val="00C005C9"/>
    <w:rsid w:val="00C005F6"/>
    <w:rsid w:val="00C00674"/>
    <w:rsid w:val="00C0089C"/>
    <w:rsid w:val="00C008FD"/>
    <w:rsid w:val="00C00968"/>
    <w:rsid w:val="00C00BD9"/>
    <w:rsid w:val="00C00BF0"/>
    <w:rsid w:val="00C00C60"/>
    <w:rsid w:val="00C00D84"/>
    <w:rsid w:val="00C00D90"/>
    <w:rsid w:val="00C00F75"/>
    <w:rsid w:val="00C0104B"/>
    <w:rsid w:val="00C01106"/>
    <w:rsid w:val="00C01158"/>
    <w:rsid w:val="00C0116D"/>
    <w:rsid w:val="00C012B2"/>
    <w:rsid w:val="00C012E3"/>
    <w:rsid w:val="00C01348"/>
    <w:rsid w:val="00C015B9"/>
    <w:rsid w:val="00C01665"/>
    <w:rsid w:val="00C01B69"/>
    <w:rsid w:val="00C01DF4"/>
    <w:rsid w:val="00C01E39"/>
    <w:rsid w:val="00C01F1C"/>
    <w:rsid w:val="00C0201E"/>
    <w:rsid w:val="00C02121"/>
    <w:rsid w:val="00C02459"/>
    <w:rsid w:val="00C024E7"/>
    <w:rsid w:val="00C025D2"/>
    <w:rsid w:val="00C027DC"/>
    <w:rsid w:val="00C02846"/>
    <w:rsid w:val="00C0286D"/>
    <w:rsid w:val="00C02929"/>
    <w:rsid w:val="00C02B30"/>
    <w:rsid w:val="00C02B8E"/>
    <w:rsid w:val="00C02BD5"/>
    <w:rsid w:val="00C02BE8"/>
    <w:rsid w:val="00C02C4D"/>
    <w:rsid w:val="00C02D46"/>
    <w:rsid w:val="00C02D4B"/>
    <w:rsid w:val="00C02DB5"/>
    <w:rsid w:val="00C02E1D"/>
    <w:rsid w:val="00C02F5C"/>
    <w:rsid w:val="00C02FA0"/>
    <w:rsid w:val="00C030E5"/>
    <w:rsid w:val="00C030FB"/>
    <w:rsid w:val="00C032E9"/>
    <w:rsid w:val="00C03534"/>
    <w:rsid w:val="00C036CD"/>
    <w:rsid w:val="00C03756"/>
    <w:rsid w:val="00C03829"/>
    <w:rsid w:val="00C038BA"/>
    <w:rsid w:val="00C038C4"/>
    <w:rsid w:val="00C0391B"/>
    <w:rsid w:val="00C03981"/>
    <w:rsid w:val="00C03B23"/>
    <w:rsid w:val="00C03BAF"/>
    <w:rsid w:val="00C03C13"/>
    <w:rsid w:val="00C03CBF"/>
    <w:rsid w:val="00C03CC4"/>
    <w:rsid w:val="00C03D6F"/>
    <w:rsid w:val="00C03EBA"/>
    <w:rsid w:val="00C03EDC"/>
    <w:rsid w:val="00C03F4B"/>
    <w:rsid w:val="00C04199"/>
    <w:rsid w:val="00C0419F"/>
    <w:rsid w:val="00C04599"/>
    <w:rsid w:val="00C04653"/>
    <w:rsid w:val="00C04729"/>
    <w:rsid w:val="00C0476B"/>
    <w:rsid w:val="00C047AA"/>
    <w:rsid w:val="00C047BE"/>
    <w:rsid w:val="00C04AC1"/>
    <w:rsid w:val="00C04B1B"/>
    <w:rsid w:val="00C04B22"/>
    <w:rsid w:val="00C04D6C"/>
    <w:rsid w:val="00C04E0B"/>
    <w:rsid w:val="00C04E40"/>
    <w:rsid w:val="00C04E67"/>
    <w:rsid w:val="00C04FB3"/>
    <w:rsid w:val="00C05070"/>
    <w:rsid w:val="00C050AB"/>
    <w:rsid w:val="00C05190"/>
    <w:rsid w:val="00C051AB"/>
    <w:rsid w:val="00C051B8"/>
    <w:rsid w:val="00C052A0"/>
    <w:rsid w:val="00C052F8"/>
    <w:rsid w:val="00C05325"/>
    <w:rsid w:val="00C053C4"/>
    <w:rsid w:val="00C053E7"/>
    <w:rsid w:val="00C0549F"/>
    <w:rsid w:val="00C054B1"/>
    <w:rsid w:val="00C054D0"/>
    <w:rsid w:val="00C0558F"/>
    <w:rsid w:val="00C055E0"/>
    <w:rsid w:val="00C055FC"/>
    <w:rsid w:val="00C05605"/>
    <w:rsid w:val="00C0567C"/>
    <w:rsid w:val="00C0588A"/>
    <w:rsid w:val="00C058C7"/>
    <w:rsid w:val="00C059DE"/>
    <w:rsid w:val="00C05A38"/>
    <w:rsid w:val="00C05ABD"/>
    <w:rsid w:val="00C05AC8"/>
    <w:rsid w:val="00C05B36"/>
    <w:rsid w:val="00C05BE8"/>
    <w:rsid w:val="00C05C13"/>
    <w:rsid w:val="00C05C65"/>
    <w:rsid w:val="00C05CB5"/>
    <w:rsid w:val="00C05D7F"/>
    <w:rsid w:val="00C05F57"/>
    <w:rsid w:val="00C061F8"/>
    <w:rsid w:val="00C06259"/>
    <w:rsid w:val="00C0641B"/>
    <w:rsid w:val="00C06481"/>
    <w:rsid w:val="00C065DB"/>
    <w:rsid w:val="00C0669F"/>
    <w:rsid w:val="00C066ED"/>
    <w:rsid w:val="00C06767"/>
    <w:rsid w:val="00C068B0"/>
    <w:rsid w:val="00C06A18"/>
    <w:rsid w:val="00C06A86"/>
    <w:rsid w:val="00C06B18"/>
    <w:rsid w:val="00C06DF5"/>
    <w:rsid w:val="00C06F27"/>
    <w:rsid w:val="00C06F89"/>
    <w:rsid w:val="00C07056"/>
    <w:rsid w:val="00C07078"/>
    <w:rsid w:val="00C0712F"/>
    <w:rsid w:val="00C0717B"/>
    <w:rsid w:val="00C07354"/>
    <w:rsid w:val="00C073EC"/>
    <w:rsid w:val="00C0740D"/>
    <w:rsid w:val="00C07423"/>
    <w:rsid w:val="00C07449"/>
    <w:rsid w:val="00C076B3"/>
    <w:rsid w:val="00C0770E"/>
    <w:rsid w:val="00C07748"/>
    <w:rsid w:val="00C077C9"/>
    <w:rsid w:val="00C07825"/>
    <w:rsid w:val="00C07845"/>
    <w:rsid w:val="00C07A3D"/>
    <w:rsid w:val="00C07C94"/>
    <w:rsid w:val="00C07C99"/>
    <w:rsid w:val="00C07CB0"/>
    <w:rsid w:val="00C07CD0"/>
    <w:rsid w:val="00C07D93"/>
    <w:rsid w:val="00C07DBF"/>
    <w:rsid w:val="00C07E17"/>
    <w:rsid w:val="00C07EE2"/>
    <w:rsid w:val="00C07EE3"/>
    <w:rsid w:val="00C07FAC"/>
    <w:rsid w:val="00C100E3"/>
    <w:rsid w:val="00C1026E"/>
    <w:rsid w:val="00C103BF"/>
    <w:rsid w:val="00C1043B"/>
    <w:rsid w:val="00C10545"/>
    <w:rsid w:val="00C10594"/>
    <w:rsid w:val="00C106D9"/>
    <w:rsid w:val="00C1071B"/>
    <w:rsid w:val="00C107A3"/>
    <w:rsid w:val="00C1095E"/>
    <w:rsid w:val="00C10997"/>
    <w:rsid w:val="00C10A29"/>
    <w:rsid w:val="00C10A52"/>
    <w:rsid w:val="00C10B5D"/>
    <w:rsid w:val="00C10B6C"/>
    <w:rsid w:val="00C10D1A"/>
    <w:rsid w:val="00C1103B"/>
    <w:rsid w:val="00C1104D"/>
    <w:rsid w:val="00C1108F"/>
    <w:rsid w:val="00C110EF"/>
    <w:rsid w:val="00C1111B"/>
    <w:rsid w:val="00C113DE"/>
    <w:rsid w:val="00C1140B"/>
    <w:rsid w:val="00C11525"/>
    <w:rsid w:val="00C11693"/>
    <w:rsid w:val="00C11701"/>
    <w:rsid w:val="00C11728"/>
    <w:rsid w:val="00C11850"/>
    <w:rsid w:val="00C118DF"/>
    <w:rsid w:val="00C11ADD"/>
    <w:rsid w:val="00C11B18"/>
    <w:rsid w:val="00C11B62"/>
    <w:rsid w:val="00C11C11"/>
    <w:rsid w:val="00C11C7E"/>
    <w:rsid w:val="00C11C8C"/>
    <w:rsid w:val="00C11CA5"/>
    <w:rsid w:val="00C11CD8"/>
    <w:rsid w:val="00C11E61"/>
    <w:rsid w:val="00C11E8D"/>
    <w:rsid w:val="00C11F24"/>
    <w:rsid w:val="00C12089"/>
    <w:rsid w:val="00C1224D"/>
    <w:rsid w:val="00C12347"/>
    <w:rsid w:val="00C1239A"/>
    <w:rsid w:val="00C12458"/>
    <w:rsid w:val="00C12552"/>
    <w:rsid w:val="00C12674"/>
    <w:rsid w:val="00C12808"/>
    <w:rsid w:val="00C128B9"/>
    <w:rsid w:val="00C128FF"/>
    <w:rsid w:val="00C1290D"/>
    <w:rsid w:val="00C1299D"/>
    <w:rsid w:val="00C12AAC"/>
    <w:rsid w:val="00C12B3A"/>
    <w:rsid w:val="00C12CA8"/>
    <w:rsid w:val="00C12DBF"/>
    <w:rsid w:val="00C12F84"/>
    <w:rsid w:val="00C12FD2"/>
    <w:rsid w:val="00C1308D"/>
    <w:rsid w:val="00C1335B"/>
    <w:rsid w:val="00C133A1"/>
    <w:rsid w:val="00C133F0"/>
    <w:rsid w:val="00C13420"/>
    <w:rsid w:val="00C13544"/>
    <w:rsid w:val="00C1387B"/>
    <w:rsid w:val="00C138A3"/>
    <w:rsid w:val="00C138D4"/>
    <w:rsid w:val="00C1396C"/>
    <w:rsid w:val="00C13B10"/>
    <w:rsid w:val="00C13BD7"/>
    <w:rsid w:val="00C13D76"/>
    <w:rsid w:val="00C13E66"/>
    <w:rsid w:val="00C13E8D"/>
    <w:rsid w:val="00C13F14"/>
    <w:rsid w:val="00C13F69"/>
    <w:rsid w:val="00C13F72"/>
    <w:rsid w:val="00C1418F"/>
    <w:rsid w:val="00C141E5"/>
    <w:rsid w:val="00C142BD"/>
    <w:rsid w:val="00C143DC"/>
    <w:rsid w:val="00C143E8"/>
    <w:rsid w:val="00C1444A"/>
    <w:rsid w:val="00C14563"/>
    <w:rsid w:val="00C1457D"/>
    <w:rsid w:val="00C1464C"/>
    <w:rsid w:val="00C14673"/>
    <w:rsid w:val="00C14693"/>
    <w:rsid w:val="00C14713"/>
    <w:rsid w:val="00C14761"/>
    <w:rsid w:val="00C148C7"/>
    <w:rsid w:val="00C1499D"/>
    <w:rsid w:val="00C14A1E"/>
    <w:rsid w:val="00C14A41"/>
    <w:rsid w:val="00C14B0D"/>
    <w:rsid w:val="00C14B48"/>
    <w:rsid w:val="00C14B6D"/>
    <w:rsid w:val="00C14BE0"/>
    <w:rsid w:val="00C14C6A"/>
    <w:rsid w:val="00C14E87"/>
    <w:rsid w:val="00C14EAE"/>
    <w:rsid w:val="00C15173"/>
    <w:rsid w:val="00C15197"/>
    <w:rsid w:val="00C15237"/>
    <w:rsid w:val="00C15338"/>
    <w:rsid w:val="00C15386"/>
    <w:rsid w:val="00C15635"/>
    <w:rsid w:val="00C15714"/>
    <w:rsid w:val="00C1571B"/>
    <w:rsid w:val="00C157F2"/>
    <w:rsid w:val="00C1586C"/>
    <w:rsid w:val="00C1592F"/>
    <w:rsid w:val="00C1594B"/>
    <w:rsid w:val="00C15ABA"/>
    <w:rsid w:val="00C15AE9"/>
    <w:rsid w:val="00C15CF1"/>
    <w:rsid w:val="00C15D78"/>
    <w:rsid w:val="00C15D93"/>
    <w:rsid w:val="00C15E06"/>
    <w:rsid w:val="00C15E2E"/>
    <w:rsid w:val="00C16027"/>
    <w:rsid w:val="00C1603D"/>
    <w:rsid w:val="00C16128"/>
    <w:rsid w:val="00C162AB"/>
    <w:rsid w:val="00C164BB"/>
    <w:rsid w:val="00C164BE"/>
    <w:rsid w:val="00C16584"/>
    <w:rsid w:val="00C16715"/>
    <w:rsid w:val="00C168AF"/>
    <w:rsid w:val="00C168E9"/>
    <w:rsid w:val="00C16921"/>
    <w:rsid w:val="00C16992"/>
    <w:rsid w:val="00C16A46"/>
    <w:rsid w:val="00C16A9A"/>
    <w:rsid w:val="00C16C07"/>
    <w:rsid w:val="00C16C0D"/>
    <w:rsid w:val="00C16CD3"/>
    <w:rsid w:val="00C16D97"/>
    <w:rsid w:val="00C16E5A"/>
    <w:rsid w:val="00C16E68"/>
    <w:rsid w:val="00C16EA0"/>
    <w:rsid w:val="00C16EEB"/>
    <w:rsid w:val="00C16FB7"/>
    <w:rsid w:val="00C17115"/>
    <w:rsid w:val="00C1712E"/>
    <w:rsid w:val="00C17157"/>
    <w:rsid w:val="00C17265"/>
    <w:rsid w:val="00C17345"/>
    <w:rsid w:val="00C17366"/>
    <w:rsid w:val="00C17460"/>
    <w:rsid w:val="00C174E3"/>
    <w:rsid w:val="00C1750E"/>
    <w:rsid w:val="00C1757D"/>
    <w:rsid w:val="00C175FD"/>
    <w:rsid w:val="00C17798"/>
    <w:rsid w:val="00C178A6"/>
    <w:rsid w:val="00C17A85"/>
    <w:rsid w:val="00C17B8C"/>
    <w:rsid w:val="00C17BE6"/>
    <w:rsid w:val="00C17C48"/>
    <w:rsid w:val="00C17C52"/>
    <w:rsid w:val="00C17CB3"/>
    <w:rsid w:val="00C17FE1"/>
    <w:rsid w:val="00C20164"/>
    <w:rsid w:val="00C2029E"/>
    <w:rsid w:val="00C203C7"/>
    <w:rsid w:val="00C204D1"/>
    <w:rsid w:val="00C20510"/>
    <w:rsid w:val="00C205D0"/>
    <w:rsid w:val="00C2079B"/>
    <w:rsid w:val="00C2086B"/>
    <w:rsid w:val="00C2089E"/>
    <w:rsid w:val="00C20904"/>
    <w:rsid w:val="00C20964"/>
    <w:rsid w:val="00C20973"/>
    <w:rsid w:val="00C209AC"/>
    <w:rsid w:val="00C20A6B"/>
    <w:rsid w:val="00C20AAD"/>
    <w:rsid w:val="00C20C79"/>
    <w:rsid w:val="00C20C8E"/>
    <w:rsid w:val="00C20CD2"/>
    <w:rsid w:val="00C20E23"/>
    <w:rsid w:val="00C20E50"/>
    <w:rsid w:val="00C20E83"/>
    <w:rsid w:val="00C20EC1"/>
    <w:rsid w:val="00C21037"/>
    <w:rsid w:val="00C213F8"/>
    <w:rsid w:val="00C2149A"/>
    <w:rsid w:val="00C214AF"/>
    <w:rsid w:val="00C214B0"/>
    <w:rsid w:val="00C21530"/>
    <w:rsid w:val="00C215B0"/>
    <w:rsid w:val="00C215C4"/>
    <w:rsid w:val="00C2165D"/>
    <w:rsid w:val="00C21795"/>
    <w:rsid w:val="00C217E6"/>
    <w:rsid w:val="00C21936"/>
    <w:rsid w:val="00C21983"/>
    <w:rsid w:val="00C21CC4"/>
    <w:rsid w:val="00C21CCC"/>
    <w:rsid w:val="00C21D4A"/>
    <w:rsid w:val="00C21E2C"/>
    <w:rsid w:val="00C22081"/>
    <w:rsid w:val="00C220C6"/>
    <w:rsid w:val="00C22112"/>
    <w:rsid w:val="00C2216B"/>
    <w:rsid w:val="00C2224A"/>
    <w:rsid w:val="00C22288"/>
    <w:rsid w:val="00C2232F"/>
    <w:rsid w:val="00C22388"/>
    <w:rsid w:val="00C22413"/>
    <w:rsid w:val="00C22466"/>
    <w:rsid w:val="00C226D9"/>
    <w:rsid w:val="00C2273C"/>
    <w:rsid w:val="00C2274C"/>
    <w:rsid w:val="00C228A4"/>
    <w:rsid w:val="00C228A9"/>
    <w:rsid w:val="00C22928"/>
    <w:rsid w:val="00C2294C"/>
    <w:rsid w:val="00C229F5"/>
    <w:rsid w:val="00C22CBC"/>
    <w:rsid w:val="00C22CBD"/>
    <w:rsid w:val="00C22E43"/>
    <w:rsid w:val="00C22F81"/>
    <w:rsid w:val="00C22F8D"/>
    <w:rsid w:val="00C22FFB"/>
    <w:rsid w:val="00C230AA"/>
    <w:rsid w:val="00C230FA"/>
    <w:rsid w:val="00C23155"/>
    <w:rsid w:val="00C23185"/>
    <w:rsid w:val="00C231B5"/>
    <w:rsid w:val="00C231DC"/>
    <w:rsid w:val="00C23244"/>
    <w:rsid w:val="00C23460"/>
    <w:rsid w:val="00C236C2"/>
    <w:rsid w:val="00C23715"/>
    <w:rsid w:val="00C23780"/>
    <w:rsid w:val="00C237C1"/>
    <w:rsid w:val="00C238DC"/>
    <w:rsid w:val="00C2395F"/>
    <w:rsid w:val="00C23981"/>
    <w:rsid w:val="00C23A50"/>
    <w:rsid w:val="00C23ACB"/>
    <w:rsid w:val="00C23B2A"/>
    <w:rsid w:val="00C23B96"/>
    <w:rsid w:val="00C23BFE"/>
    <w:rsid w:val="00C23CB9"/>
    <w:rsid w:val="00C23D8C"/>
    <w:rsid w:val="00C23F02"/>
    <w:rsid w:val="00C23F48"/>
    <w:rsid w:val="00C23F61"/>
    <w:rsid w:val="00C240EF"/>
    <w:rsid w:val="00C240FE"/>
    <w:rsid w:val="00C2412E"/>
    <w:rsid w:val="00C24219"/>
    <w:rsid w:val="00C24248"/>
    <w:rsid w:val="00C24292"/>
    <w:rsid w:val="00C2439B"/>
    <w:rsid w:val="00C2443C"/>
    <w:rsid w:val="00C24555"/>
    <w:rsid w:val="00C245CB"/>
    <w:rsid w:val="00C2463A"/>
    <w:rsid w:val="00C248F4"/>
    <w:rsid w:val="00C24919"/>
    <w:rsid w:val="00C24BC8"/>
    <w:rsid w:val="00C24BEA"/>
    <w:rsid w:val="00C24D1F"/>
    <w:rsid w:val="00C24FA2"/>
    <w:rsid w:val="00C24FC6"/>
    <w:rsid w:val="00C25186"/>
    <w:rsid w:val="00C2521B"/>
    <w:rsid w:val="00C2524D"/>
    <w:rsid w:val="00C252F3"/>
    <w:rsid w:val="00C25309"/>
    <w:rsid w:val="00C254AC"/>
    <w:rsid w:val="00C2572E"/>
    <w:rsid w:val="00C25A2D"/>
    <w:rsid w:val="00C25B4E"/>
    <w:rsid w:val="00C25B73"/>
    <w:rsid w:val="00C25BC6"/>
    <w:rsid w:val="00C25C0D"/>
    <w:rsid w:val="00C25CB4"/>
    <w:rsid w:val="00C25D73"/>
    <w:rsid w:val="00C25F26"/>
    <w:rsid w:val="00C25FD1"/>
    <w:rsid w:val="00C264F9"/>
    <w:rsid w:val="00C264FD"/>
    <w:rsid w:val="00C26717"/>
    <w:rsid w:val="00C2672D"/>
    <w:rsid w:val="00C26AA1"/>
    <w:rsid w:val="00C26ABF"/>
    <w:rsid w:val="00C26F40"/>
    <w:rsid w:val="00C27056"/>
    <w:rsid w:val="00C2712B"/>
    <w:rsid w:val="00C271C4"/>
    <w:rsid w:val="00C2721E"/>
    <w:rsid w:val="00C272CD"/>
    <w:rsid w:val="00C2747F"/>
    <w:rsid w:val="00C275BB"/>
    <w:rsid w:val="00C275CA"/>
    <w:rsid w:val="00C275F2"/>
    <w:rsid w:val="00C2767D"/>
    <w:rsid w:val="00C276D8"/>
    <w:rsid w:val="00C27752"/>
    <w:rsid w:val="00C27776"/>
    <w:rsid w:val="00C277BB"/>
    <w:rsid w:val="00C278B7"/>
    <w:rsid w:val="00C27A23"/>
    <w:rsid w:val="00C27A27"/>
    <w:rsid w:val="00C27AB1"/>
    <w:rsid w:val="00C27B13"/>
    <w:rsid w:val="00C27B4C"/>
    <w:rsid w:val="00C27B5A"/>
    <w:rsid w:val="00C27C9A"/>
    <w:rsid w:val="00C27CA6"/>
    <w:rsid w:val="00C27D3A"/>
    <w:rsid w:val="00C27D5E"/>
    <w:rsid w:val="00C27D83"/>
    <w:rsid w:val="00C27E71"/>
    <w:rsid w:val="00C27F2C"/>
    <w:rsid w:val="00C30107"/>
    <w:rsid w:val="00C3015F"/>
    <w:rsid w:val="00C3021D"/>
    <w:rsid w:val="00C30326"/>
    <w:rsid w:val="00C3035F"/>
    <w:rsid w:val="00C303E5"/>
    <w:rsid w:val="00C30413"/>
    <w:rsid w:val="00C30425"/>
    <w:rsid w:val="00C30446"/>
    <w:rsid w:val="00C305A3"/>
    <w:rsid w:val="00C30749"/>
    <w:rsid w:val="00C30826"/>
    <w:rsid w:val="00C30834"/>
    <w:rsid w:val="00C30A50"/>
    <w:rsid w:val="00C30A68"/>
    <w:rsid w:val="00C30A90"/>
    <w:rsid w:val="00C30B65"/>
    <w:rsid w:val="00C30BE4"/>
    <w:rsid w:val="00C30D19"/>
    <w:rsid w:val="00C30D95"/>
    <w:rsid w:val="00C30E69"/>
    <w:rsid w:val="00C30EC2"/>
    <w:rsid w:val="00C30F1E"/>
    <w:rsid w:val="00C30F26"/>
    <w:rsid w:val="00C3104B"/>
    <w:rsid w:val="00C311D5"/>
    <w:rsid w:val="00C31398"/>
    <w:rsid w:val="00C313F7"/>
    <w:rsid w:val="00C31418"/>
    <w:rsid w:val="00C31482"/>
    <w:rsid w:val="00C315C0"/>
    <w:rsid w:val="00C3163A"/>
    <w:rsid w:val="00C31705"/>
    <w:rsid w:val="00C3172D"/>
    <w:rsid w:val="00C31793"/>
    <w:rsid w:val="00C31B0B"/>
    <w:rsid w:val="00C31B36"/>
    <w:rsid w:val="00C31BD4"/>
    <w:rsid w:val="00C31C8F"/>
    <w:rsid w:val="00C31D91"/>
    <w:rsid w:val="00C31D9F"/>
    <w:rsid w:val="00C31E18"/>
    <w:rsid w:val="00C31ED8"/>
    <w:rsid w:val="00C32055"/>
    <w:rsid w:val="00C320D5"/>
    <w:rsid w:val="00C320E8"/>
    <w:rsid w:val="00C3215D"/>
    <w:rsid w:val="00C32169"/>
    <w:rsid w:val="00C321A6"/>
    <w:rsid w:val="00C3224C"/>
    <w:rsid w:val="00C322C5"/>
    <w:rsid w:val="00C32302"/>
    <w:rsid w:val="00C3238A"/>
    <w:rsid w:val="00C323D0"/>
    <w:rsid w:val="00C3246A"/>
    <w:rsid w:val="00C3247C"/>
    <w:rsid w:val="00C325DD"/>
    <w:rsid w:val="00C326B2"/>
    <w:rsid w:val="00C32771"/>
    <w:rsid w:val="00C327B6"/>
    <w:rsid w:val="00C32910"/>
    <w:rsid w:val="00C32927"/>
    <w:rsid w:val="00C3296F"/>
    <w:rsid w:val="00C32A1F"/>
    <w:rsid w:val="00C32CDC"/>
    <w:rsid w:val="00C32E56"/>
    <w:rsid w:val="00C32E6E"/>
    <w:rsid w:val="00C32EF3"/>
    <w:rsid w:val="00C32FBF"/>
    <w:rsid w:val="00C32FEB"/>
    <w:rsid w:val="00C3300C"/>
    <w:rsid w:val="00C332D0"/>
    <w:rsid w:val="00C333E8"/>
    <w:rsid w:val="00C3347F"/>
    <w:rsid w:val="00C33494"/>
    <w:rsid w:val="00C33577"/>
    <w:rsid w:val="00C335C0"/>
    <w:rsid w:val="00C33665"/>
    <w:rsid w:val="00C336A4"/>
    <w:rsid w:val="00C33772"/>
    <w:rsid w:val="00C33805"/>
    <w:rsid w:val="00C338C5"/>
    <w:rsid w:val="00C338E1"/>
    <w:rsid w:val="00C338EB"/>
    <w:rsid w:val="00C3398F"/>
    <w:rsid w:val="00C33A09"/>
    <w:rsid w:val="00C33A42"/>
    <w:rsid w:val="00C33B6B"/>
    <w:rsid w:val="00C33BC1"/>
    <w:rsid w:val="00C33C0E"/>
    <w:rsid w:val="00C33D7B"/>
    <w:rsid w:val="00C33DA8"/>
    <w:rsid w:val="00C33FAB"/>
    <w:rsid w:val="00C3402D"/>
    <w:rsid w:val="00C340B4"/>
    <w:rsid w:val="00C3419F"/>
    <w:rsid w:val="00C341B9"/>
    <w:rsid w:val="00C341F4"/>
    <w:rsid w:val="00C34292"/>
    <w:rsid w:val="00C34595"/>
    <w:rsid w:val="00C3459B"/>
    <w:rsid w:val="00C34611"/>
    <w:rsid w:val="00C346EA"/>
    <w:rsid w:val="00C348F1"/>
    <w:rsid w:val="00C34900"/>
    <w:rsid w:val="00C349CB"/>
    <w:rsid w:val="00C34B0B"/>
    <w:rsid w:val="00C34B62"/>
    <w:rsid w:val="00C34B81"/>
    <w:rsid w:val="00C34B83"/>
    <w:rsid w:val="00C34D04"/>
    <w:rsid w:val="00C34D78"/>
    <w:rsid w:val="00C34E26"/>
    <w:rsid w:val="00C34F2D"/>
    <w:rsid w:val="00C35055"/>
    <w:rsid w:val="00C350AC"/>
    <w:rsid w:val="00C35188"/>
    <w:rsid w:val="00C351BC"/>
    <w:rsid w:val="00C35324"/>
    <w:rsid w:val="00C3538B"/>
    <w:rsid w:val="00C353B5"/>
    <w:rsid w:val="00C35426"/>
    <w:rsid w:val="00C3549B"/>
    <w:rsid w:val="00C35613"/>
    <w:rsid w:val="00C356E5"/>
    <w:rsid w:val="00C3580A"/>
    <w:rsid w:val="00C35945"/>
    <w:rsid w:val="00C35956"/>
    <w:rsid w:val="00C35A17"/>
    <w:rsid w:val="00C35A5A"/>
    <w:rsid w:val="00C35B15"/>
    <w:rsid w:val="00C35B6F"/>
    <w:rsid w:val="00C35B92"/>
    <w:rsid w:val="00C35C16"/>
    <w:rsid w:val="00C35C34"/>
    <w:rsid w:val="00C35C8B"/>
    <w:rsid w:val="00C35CDE"/>
    <w:rsid w:val="00C35D3A"/>
    <w:rsid w:val="00C35D59"/>
    <w:rsid w:val="00C35D7F"/>
    <w:rsid w:val="00C35DBE"/>
    <w:rsid w:val="00C35E7F"/>
    <w:rsid w:val="00C35F3F"/>
    <w:rsid w:val="00C35F79"/>
    <w:rsid w:val="00C360CC"/>
    <w:rsid w:val="00C3610E"/>
    <w:rsid w:val="00C36215"/>
    <w:rsid w:val="00C36457"/>
    <w:rsid w:val="00C36516"/>
    <w:rsid w:val="00C365D1"/>
    <w:rsid w:val="00C365F1"/>
    <w:rsid w:val="00C36606"/>
    <w:rsid w:val="00C36C4F"/>
    <w:rsid w:val="00C36C96"/>
    <w:rsid w:val="00C36CC2"/>
    <w:rsid w:val="00C36EC3"/>
    <w:rsid w:val="00C36F08"/>
    <w:rsid w:val="00C36FDA"/>
    <w:rsid w:val="00C3704C"/>
    <w:rsid w:val="00C37079"/>
    <w:rsid w:val="00C3707F"/>
    <w:rsid w:val="00C37263"/>
    <w:rsid w:val="00C37345"/>
    <w:rsid w:val="00C373D8"/>
    <w:rsid w:val="00C3762C"/>
    <w:rsid w:val="00C37662"/>
    <w:rsid w:val="00C377B1"/>
    <w:rsid w:val="00C378AC"/>
    <w:rsid w:val="00C379AB"/>
    <w:rsid w:val="00C379B9"/>
    <w:rsid w:val="00C37A00"/>
    <w:rsid w:val="00C37A4D"/>
    <w:rsid w:val="00C37C4C"/>
    <w:rsid w:val="00C37C9E"/>
    <w:rsid w:val="00C37E27"/>
    <w:rsid w:val="00C37E54"/>
    <w:rsid w:val="00C37EE6"/>
    <w:rsid w:val="00C401D1"/>
    <w:rsid w:val="00C4026A"/>
    <w:rsid w:val="00C402BE"/>
    <w:rsid w:val="00C402DF"/>
    <w:rsid w:val="00C4031C"/>
    <w:rsid w:val="00C4031E"/>
    <w:rsid w:val="00C4045E"/>
    <w:rsid w:val="00C404C0"/>
    <w:rsid w:val="00C404D6"/>
    <w:rsid w:val="00C405D6"/>
    <w:rsid w:val="00C4066F"/>
    <w:rsid w:val="00C40677"/>
    <w:rsid w:val="00C407EB"/>
    <w:rsid w:val="00C408D0"/>
    <w:rsid w:val="00C40972"/>
    <w:rsid w:val="00C409FA"/>
    <w:rsid w:val="00C40BD4"/>
    <w:rsid w:val="00C40C78"/>
    <w:rsid w:val="00C40D68"/>
    <w:rsid w:val="00C40D96"/>
    <w:rsid w:val="00C40F6C"/>
    <w:rsid w:val="00C4106F"/>
    <w:rsid w:val="00C412D4"/>
    <w:rsid w:val="00C4134E"/>
    <w:rsid w:val="00C413A2"/>
    <w:rsid w:val="00C4148B"/>
    <w:rsid w:val="00C415D1"/>
    <w:rsid w:val="00C4167E"/>
    <w:rsid w:val="00C41750"/>
    <w:rsid w:val="00C4177F"/>
    <w:rsid w:val="00C417E3"/>
    <w:rsid w:val="00C41816"/>
    <w:rsid w:val="00C4188E"/>
    <w:rsid w:val="00C418B8"/>
    <w:rsid w:val="00C4193B"/>
    <w:rsid w:val="00C419F1"/>
    <w:rsid w:val="00C41AE1"/>
    <w:rsid w:val="00C41AE7"/>
    <w:rsid w:val="00C41AEA"/>
    <w:rsid w:val="00C41B5A"/>
    <w:rsid w:val="00C41CDD"/>
    <w:rsid w:val="00C41D78"/>
    <w:rsid w:val="00C41E0F"/>
    <w:rsid w:val="00C41E65"/>
    <w:rsid w:val="00C41EC5"/>
    <w:rsid w:val="00C41F35"/>
    <w:rsid w:val="00C42025"/>
    <w:rsid w:val="00C42390"/>
    <w:rsid w:val="00C42409"/>
    <w:rsid w:val="00C425CD"/>
    <w:rsid w:val="00C4266B"/>
    <w:rsid w:val="00C4269D"/>
    <w:rsid w:val="00C4276A"/>
    <w:rsid w:val="00C42800"/>
    <w:rsid w:val="00C4295B"/>
    <w:rsid w:val="00C42992"/>
    <w:rsid w:val="00C429F0"/>
    <w:rsid w:val="00C42A38"/>
    <w:rsid w:val="00C42D9C"/>
    <w:rsid w:val="00C42E6C"/>
    <w:rsid w:val="00C42EA5"/>
    <w:rsid w:val="00C43004"/>
    <w:rsid w:val="00C430FC"/>
    <w:rsid w:val="00C43180"/>
    <w:rsid w:val="00C43294"/>
    <w:rsid w:val="00C43352"/>
    <w:rsid w:val="00C4342D"/>
    <w:rsid w:val="00C4344D"/>
    <w:rsid w:val="00C43470"/>
    <w:rsid w:val="00C43490"/>
    <w:rsid w:val="00C43532"/>
    <w:rsid w:val="00C4393C"/>
    <w:rsid w:val="00C439F5"/>
    <w:rsid w:val="00C43B0E"/>
    <w:rsid w:val="00C43C5D"/>
    <w:rsid w:val="00C43D28"/>
    <w:rsid w:val="00C43D67"/>
    <w:rsid w:val="00C43D68"/>
    <w:rsid w:val="00C44113"/>
    <w:rsid w:val="00C44284"/>
    <w:rsid w:val="00C44313"/>
    <w:rsid w:val="00C4433C"/>
    <w:rsid w:val="00C44364"/>
    <w:rsid w:val="00C443B6"/>
    <w:rsid w:val="00C443BB"/>
    <w:rsid w:val="00C4462B"/>
    <w:rsid w:val="00C44698"/>
    <w:rsid w:val="00C44924"/>
    <w:rsid w:val="00C44932"/>
    <w:rsid w:val="00C44A0B"/>
    <w:rsid w:val="00C44B21"/>
    <w:rsid w:val="00C44B34"/>
    <w:rsid w:val="00C44BDA"/>
    <w:rsid w:val="00C44BE5"/>
    <w:rsid w:val="00C44F8D"/>
    <w:rsid w:val="00C4503F"/>
    <w:rsid w:val="00C45263"/>
    <w:rsid w:val="00C452B9"/>
    <w:rsid w:val="00C45503"/>
    <w:rsid w:val="00C45694"/>
    <w:rsid w:val="00C457D9"/>
    <w:rsid w:val="00C457DD"/>
    <w:rsid w:val="00C457FE"/>
    <w:rsid w:val="00C45AAF"/>
    <w:rsid w:val="00C45B10"/>
    <w:rsid w:val="00C45B58"/>
    <w:rsid w:val="00C45CF4"/>
    <w:rsid w:val="00C45D84"/>
    <w:rsid w:val="00C45E15"/>
    <w:rsid w:val="00C45E96"/>
    <w:rsid w:val="00C45F63"/>
    <w:rsid w:val="00C45F7D"/>
    <w:rsid w:val="00C45FC5"/>
    <w:rsid w:val="00C4604E"/>
    <w:rsid w:val="00C46092"/>
    <w:rsid w:val="00C46239"/>
    <w:rsid w:val="00C46327"/>
    <w:rsid w:val="00C4636A"/>
    <w:rsid w:val="00C46419"/>
    <w:rsid w:val="00C464F1"/>
    <w:rsid w:val="00C46619"/>
    <w:rsid w:val="00C46650"/>
    <w:rsid w:val="00C466BB"/>
    <w:rsid w:val="00C466E2"/>
    <w:rsid w:val="00C467B9"/>
    <w:rsid w:val="00C46A0C"/>
    <w:rsid w:val="00C46A78"/>
    <w:rsid w:val="00C46B07"/>
    <w:rsid w:val="00C46B18"/>
    <w:rsid w:val="00C46BC7"/>
    <w:rsid w:val="00C46BE0"/>
    <w:rsid w:val="00C46C61"/>
    <w:rsid w:val="00C46CA2"/>
    <w:rsid w:val="00C46CC2"/>
    <w:rsid w:val="00C46D27"/>
    <w:rsid w:val="00C46DF4"/>
    <w:rsid w:val="00C46EC7"/>
    <w:rsid w:val="00C46F9C"/>
    <w:rsid w:val="00C46FD4"/>
    <w:rsid w:val="00C4733D"/>
    <w:rsid w:val="00C473C3"/>
    <w:rsid w:val="00C47429"/>
    <w:rsid w:val="00C474BF"/>
    <w:rsid w:val="00C4768A"/>
    <w:rsid w:val="00C47768"/>
    <w:rsid w:val="00C4791D"/>
    <w:rsid w:val="00C4791E"/>
    <w:rsid w:val="00C4793C"/>
    <w:rsid w:val="00C479F2"/>
    <w:rsid w:val="00C47B36"/>
    <w:rsid w:val="00C47B67"/>
    <w:rsid w:val="00C47C19"/>
    <w:rsid w:val="00C47C1D"/>
    <w:rsid w:val="00C47C50"/>
    <w:rsid w:val="00C47D09"/>
    <w:rsid w:val="00C47D16"/>
    <w:rsid w:val="00C47E11"/>
    <w:rsid w:val="00C47EFA"/>
    <w:rsid w:val="00C47FE4"/>
    <w:rsid w:val="00C47FEF"/>
    <w:rsid w:val="00C500A9"/>
    <w:rsid w:val="00C50117"/>
    <w:rsid w:val="00C501B9"/>
    <w:rsid w:val="00C50299"/>
    <w:rsid w:val="00C5030B"/>
    <w:rsid w:val="00C504A6"/>
    <w:rsid w:val="00C504FA"/>
    <w:rsid w:val="00C50764"/>
    <w:rsid w:val="00C50817"/>
    <w:rsid w:val="00C50A9B"/>
    <w:rsid w:val="00C50BAE"/>
    <w:rsid w:val="00C50C35"/>
    <w:rsid w:val="00C50C4E"/>
    <w:rsid w:val="00C50D8A"/>
    <w:rsid w:val="00C50DD5"/>
    <w:rsid w:val="00C50DD7"/>
    <w:rsid w:val="00C50DF2"/>
    <w:rsid w:val="00C50F6A"/>
    <w:rsid w:val="00C50F9E"/>
    <w:rsid w:val="00C510F6"/>
    <w:rsid w:val="00C5117B"/>
    <w:rsid w:val="00C512D1"/>
    <w:rsid w:val="00C514CB"/>
    <w:rsid w:val="00C5158A"/>
    <w:rsid w:val="00C515C0"/>
    <w:rsid w:val="00C51638"/>
    <w:rsid w:val="00C5177C"/>
    <w:rsid w:val="00C517F2"/>
    <w:rsid w:val="00C51838"/>
    <w:rsid w:val="00C51A43"/>
    <w:rsid w:val="00C51BE4"/>
    <w:rsid w:val="00C51C6C"/>
    <w:rsid w:val="00C51D37"/>
    <w:rsid w:val="00C51F72"/>
    <w:rsid w:val="00C51FB7"/>
    <w:rsid w:val="00C520BA"/>
    <w:rsid w:val="00C52141"/>
    <w:rsid w:val="00C5214A"/>
    <w:rsid w:val="00C521AB"/>
    <w:rsid w:val="00C521D2"/>
    <w:rsid w:val="00C523B4"/>
    <w:rsid w:val="00C52533"/>
    <w:rsid w:val="00C52537"/>
    <w:rsid w:val="00C52648"/>
    <w:rsid w:val="00C527EE"/>
    <w:rsid w:val="00C528A4"/>
    <w:rsid w:val="00C52903"/>
    <w:rsid w:val="00C52A3C"/>
    <w:rsid w:val="00C52BA2"/>
    <w:rsid w:val="00C52CA8"/>
    <w:rsid w:val="00C52D5D"/>
    <w:rsid w:val="00C52E45"/>
    <w:rsid w:val="00C52E4A"/>
    <w:rsid w:val="00C53019"/>
    <w:rsid w:val="00C53050"/>
    <w:rsid w:val="00C53117"/>
    <w:rsid w:val="00C5312D"/>
    <w:rsid w:val="00C53182"/>
    <w:rsid w:val="00C53199"/>
    <w:rsid w:val="00C531D2"/>
    <w:rsid w:val="00C5323D"/>
    <w:rsid w:val="00C53277"/>
    <w:rsid w:val="00C53293"/>
    <w:rsid w:val="00C532B7"/>
    <w:rsid w:val="00C53372"/>
    <w:rsid w:val="00C533B5"/>
    <w:rsid w:val="00C533FD"/>
    <w:rsid w:val="00C534F3"/>
    <w:rsid w:val="00C534FD"/>
    <w:rsid w:val="00C53517"/>
    <w:rsid w:val="00C53A7C"/>
    <w:rsid w:val="00C53AFB"/>
    <w:rsid w:val="00C53D39"/>
    <w:rsid w:val="00C53D96"/>
    <w:rsid w:val="00C53DB8"/>
    <w:rsid w:val="00C53E71"/>
    <w:rsid w:val="00C53E87"/>
    <w:rsid w:val="00C53EB9"/>
    <w:rsid w:val="00C54232"/>
    <w:rsid w:val="00C5439A"/>
    <w:rsid w:val="00C5452D"/>
    <w:rsid w:val="00C5459C"/>
    <w:rsid w:val="00C54622"/>
    <w:rsid w:val="00C54663"/>
    <w:rsid w:val="00C5468E"/>
    <w:rsid w:val="00C54768"/>
    <w:rsid w:val="00C5476D"/>
    <w:rsid w:val="00C54796"/>
    <w:rsid w:val="00C548C3"/>
    <w:rsid w:val="00C548D4"/>
    <w:rsid w:val="00C5496F"/>
    <w:rsid w:val="00C549D3"/>
    <w:rsid w:val="00C54B74"/>
    <w:rsid w:val="00C54BA9"/>
    <w:rsid w:val="00C54D0F"/>
    <w:rsid w:val="00C54D9F"/>
    <w:rsid w:val="00C54E80"/>
    <w:rsid w:val="00C54EA8"/>
    <w:rsid w:val="00C54F39"/>
    <w:rsid w:val="00C55037"/>
    <w:rsid w:val="00C55230"/>
    <w:rsid w:val="00C55262"/>
    <w:rsid w:val="00C553D2"/>
    <w:rsid w:val="00C553E8"/>
    <w:rsid w:val="00C553EE"/>
    <w:rsid w:val="00C55582"/>
    <w:rsid w:val="00C5558B"/>
    <w:rsid w:val="00C555CE"/>
    <w:rsid w:val="00C55781"/>
    <w:rsid w:val="00C557D6"/>
    <w:rsid w:val="00C55A4F"/>
    <w:rsid w:val="00C55BA9"/>
    <w:rsid w:val="00C55C4E"/>
    <w:rsid w:val="00C55DE5"/>
    <w:rsid w:val="00C55E6A"/>
    <w:rsid w:val="00C55E6E"/>
    <w:rsid w:val="00C55E83"/>
    <w:rsid w:val="00C55E99"/>
    <w:rsid w:val="00C55FCE"/>
    <w:rsid w:val="00C56044"/>
    <w:rsid w:val="00C56099"/>
    <w:rsid w:val="00C56207"/>
    <w:rsid w:val="00C562DB"/>
    <w:rsid w:val="00C563CC"/>
    <w:rsid w:val="00C56437"/>
    <w:rsid w:val="00C564AC"/>
    <w:rsid w:val="00C564C3"/>
    <w:rsid w:val="00C56534"/>
    <w:rsid w:val="00C565F4"/>
    <w:rsid w:val="00C5668D"/>
    <w:rsid w:val="00C56773"/>
    <w:rsid w:val="00C568F6"/>
    <w:rsid w:val="00C569A3"/>
    <w:rsid w:val="00C569CE"/>
    <w:rsid w:val="00C56A25"/>
    <w:rsid w:val="00C56B40"/>
    <w:rsid w:val="00C56B9D"/>
    <w:rsid w:val="00C56D0E"/>
    <w:rsid w:val="00C56D83"/>
    <w:rsid w:val="00C56E07"/>
    <w:rsid w:val="00C56E82"/>
    <w:rsid w:val="00C56FC7"/>
    <w:rsid w:val="00C5713B"/>
    <w:rsid w:val="00C571EE"/>
    <w:rsid w:val="00C57214"/>
    <w:rsid w:val="00C57243"/>
    <w:rsid w:val="00C572E2"/>
    <w:rsid w:val="00C57349"/>
    <w:rsid w:val="00C573FE"/>
    <w:rsid w:val="00C5745F"/>
    <w:rsid w:val="00C5754E"/>
    <w:rsid w:val="00C57619"/>
    <w:rsid w:val="00C5764D"/>
    <w:rsid w:val="00C577F7"/>
    <w:rsid w:val="00C57863"/>
    <w:rsid w:val="00C578AE"/>
    <w:rsid w:val="00C578D4"/>
    <w:rsid w:val="00C57A8A"/>
    <w:rsid w:val="00C57BC4"/>
    <w:rsid w:val="00C57DE5"/>
    <w:rsid w:val="00C57EC6"/>
    <w:rsid w:val="00C57ECB"/>
    <w:rsid w:val="00C6016C"/>
    <w:rsid w:val="00C601C6"/>
    <w:rsid w:val="00C6023C"/>
    <w:rsid w:val="00C6029E"/>
    <w:rsid w:val="00C60375"/>
    <w:rsid w:val="00C603C7"/>
    <w:rsid w:val="00C6063E"/>
    <w:rsid w:val="00C60715"/>
    <w:rsid w:val="00C607A4"/>
    <w:rsid w:val="00C607B8"/>
    <w:rsid w:val="00C60C2F"/>
    <w:rsid w:val="00C60D2A"/>
    <w:rsid w:val="00C60F90"/>
    <w:rsid w:val="00C60F9A"/>
    <w:rsid w:val="00C6105D"/>
    <w:rsid w:val="00C6114B"/>
    <w:rsid w:val="00C61177"/>
    <w:rsid w:val="00C611DA"/>
    <w:rsid w:val="00C61229"/>
    <w:rsid w:val="00C6130E"/>
    <w:rsid w:val="00C6131A"/>
    <w:rsid w:val="00C61400"/>
    <w:rsid w:val="00C6150E"/>
    <w:rsid w:val="00C615FB"/>
    <w:rsid w:val="00C61773"/>
    <w:rsid w:val="00C6180B"/>
    <w:rsid w:val="00C61962"/>
    <w:rsid w:val="00C61965"/>
    <w:rsid w:val="00C61A53"/>
    <w:rsid w:val="00C61A82"/>
    <w:rsid w:val="00C61AB6"/>
    <w:rsid w:val="00C61BBC"/>
    <w:rsid w:val="00C61BF7"/>
    <w:rsid w:val="00C61C63"/>
    <w:rsid w:val="00C61C75"/>
    <w:rsid w:val="00C61E95"/>
    <w:rsid w:val="00C6205A"/>
    <w:rsid w:val="00C62064"/>
    <w:rsid w:val="00C620D6"/>
    <w:rsid w:val="00C621A8"/>
    <w:rsid w:val="00C6228A"/>
    <w:rsid w:val="00C62433"/>
    <w:rsid w:val="00C624B7"/>
    <w:rsid w:val="00C624E1"/>
    <w:rsid w:val="00C62538"/>
    <w:rsid w:val="00C626C7"/>
    <w:rsid w:val="00C6272F"/>
    <w:rsid w:val="00C62757"/>
    <w:rsid w:val="00C62807"/>
    <w:rsid w:val="00C62857"/>
    <w:rsid w:val="00C62910"/>
    <w:rsid w:val="00C62955"/>
    <w:rsid w:val="00C62EC2"/>
    <w:rsid w:val="00C62EEB"/>
    <w:rsid w:val="00C62F0B"/>
    <w:rsid w:val="00C62FB0"/>
    <w:rsid w:val="00C6306D"/>
    <w:rsid w:val="00C630E8"/>
    <w:rsid w:val="00C63146"/>
    <w:rsid w:val="00C6331F"/>
    <w:rsid w:val="00C63464"/>
    <w:rsid w:val="00C6349B"/>
    <w:rsid w:val="00C6351C"/>
    <w:rsid w:val="00C63610"/>
    <w:rsid w:val="00C63696"/>
    <w:rsid w:val="00C637D3"/>
    <w:rsid w:val="00C639DF"/>
    <w:rsid w:val="00C63A6C"/>
    <w:rsid w:val="00C63ABF"/>
    <w:rsid w:val="00C63AFE"/>
    <w:rsid w:val="00C63BCA"/>
    <w:rsid w:val="00C63D09"/>
    <w:rsid w:val="00C63DAA"/>
    <w:rsid w:val="00C63DC1"/>
    <w:rsid w:val="00C63E7C"/>
    <w:rsid w:val="00C63F86"/>
    <w:rsid w:val="00C63F89"/>
    <w:rsid w:val="00C63F98"/>
    <w:rsid w:val="00C6401B"/>
    <w:rsid w:val="00C640D1"/>
    <w:rsid w:val="00C64235"/>
    <w:rsid w:val="00C64262"/>
    <w:rsid w:val="00C64268"/>
    <w:rsid w:val="00C6431C"/>
    <w:rsid w:val="00C64385"/>
    <w:rsid w:val="00C6440A"/>
    <w:rsid w:val="00C64520"/>
    <w:rsid w:val="00C64603"/>
    <w:rsid w:val="00C64763"/>
    <w:rsid w:val="00C647EB"/>
    <w:rsid w:val="00C649DB"/>
    <w:rsid w:val="00C64A7E"/>
    <w:rsid w:val="00C64AC5"/>
    <w:rsid w:val="00C64BC6"/>
    <w:rsid w:val="00C64BFB"/>
    <w:rsid w:val="00C64CD2"/>
    <w:rsid w:val="00C64CE2"/>
    <w:rsid w:val="00C64D32"/>
    <w:rsid w:val="00C64E60"/>
    <w:rsid w:val="00C64E85"/>
    <w:rsid w:val="00C65032"/>
    <w:rsid w:val="00C6516D"/>
    <w:rsid w:val="00C651BE"/>
    <w:rsid w:val="00C65269"/>
    <w:rsid w:val="00C652D6"/>
    <w:rsid w:val="00C653DA"/>
    <w:rsid w:val="00C65510"/>
    <w:rsid w:val="00C65548"/>
    <w:rsid w:val="00C655A9"/>
    <w:rsid w:val="00C657C3"/>
    <w:rsid w:val="00C657EF"/>
    <w:rsid w:val="00C65A09"/>
    <w:rsid w:val="00C65CFC"/>
    <w:rsid w:val="00C65E87"/>
    <w:rsid w:val="00C65E8F"/>
    <w:rsid w:val="00C66082"/>
    <w:rsid w:val="00C66108"/>
    <w:rsid w:val="00C66197"/>
    <w:rsid w:val="00C661D9"/>
    <w:rsid w:val="00C66228"/>
    <w:rsid w:val="00C66290"/>
    <w:rsid w:val="00C66396"/>
    <w:rsid w:val="00C66402"/>
    <w:rsid w:val="00C66443"/>
    <w:rsid w:val="00C665C6"/>
    <w:rsid w:val="00C6671B"/>
    <w:rsid w:val="00C668C5"/>
    <w:rsid w:val="00C66A8A"/>
    <w:rsid w:val="00C66B14"/>
    <w:rsid w:val="00C66B3E"/>
    <w:rsid w:val="00C66E19"/>
    <w:rsid w:val="00C66EFD"/>
    <w:rsid w:val="00C66F18"/>
    <w:rsid w:val="00C66FA6"/>
    <w:rsid w:val="00C6701C"/>
    <w:rsid w:val="00C672B1"/>
    <w:rsid w:val="00C67402"/>
    <w:rsid w:val="00C67571"/>
    <w:rsid w:val="00C675B5"/>
    <w:rsid w:val="00C67623"/>
    <w:rsid w:val="00C6779B"/>
    <w:rsid w:val="00C678BE"/>
    <w:rsid w:val="00C67983"/>
    <w:rsid w:val="00C67AD7"/>
    <w:rsid w:val="00C67C71"/>
    <w:rsid w:val="00C67C9C"/>
    <w:rsid w:val="00C67D7B"/>
    <w:rsid w:val="00C67D8B"/>
    <w:rsid w:val="00C67DBE"/>
    <w:rsid w:val="00C67DD3"/>
    <w:rsid w:val="00C67E0B"/>
    <w:rsid w:val="00C702D4"/>
    <w:rsid w:val="00C70462"/>
    <w:rsid w:val="00C70480"/>
    <w:rsid w:val="00C70507"/>
    <w:rsid w:val="00C70550"/>
    <w:rsid w:val="00C70670"/>
    <w:rsid w:val="00C70777"/>
    <w:rsid w:val="00C707EA"/>
    <w:rsid w:val="00C70A4C"/>
    <w:rsid w:val="00C70C92"/>
    <w:rsid w:val="00C70DA1"/>
    <w:rsid w:val="00C70EF5"/>
    <w:rsid w:val="00C70F6B"/>
    <w:rsid w:val="00C70F8C"/>
    <w:rsid w:val="00C70F97"/>
    <w:rsid w:val="00C710F4"/>
    <w:rsid w:val="00C71160"/>
    <w:rsid w:val="00C71189"/>
    <w:rsid w:val="00C711CF"/>
    <w:rsid w:val="00C71457"/>
    <w:rsid w:val="00C714B9"/>
    <w:rsid w:val="00C71618"/>
    <w:rsid w:val="00C716B3"/>
    <w:rsid w:val="00C719F9"/>
    <w:rsid w:val="00C71A66"/>
    <w:rsid w:val="00C71ACF"/>
    <w:rsid w:val="00C71AEB"/>
    <w:rsid w:val="00C71B24"/>
    <w:rsid w:val="00C71B62"/>
    <w:rsid w:val="00C71C55"/>
    <w:rsid w:val="00C71CB3"/>
    <w:rsid w:val="00C71DB2"/>
    <w:rsid w:val="00C71DBD"/>
    <w:rsid w:val="00C71F04"/>
    <w:rsid w:val="00C71F74"/>
    <w:rsid w:val="00C72120"/>
    <w:rsid w:val="00C72201"/>
    <w:rsid w:val="00C7228D"/>
    <w:rsid w:val="00C72401"/>
    <w:rsid w:val="00C72415"/>
    <w:rsid w:val="00C725CF"/>
    <w:rsid w:val="00C72610"/>
    <w:rsid w:val="00C7261D"/>
    <w:rsid w:val="00C72674"/>
    <w:rsid w:val="00C726BD"/>
    <w:rsid w:val="00C72879"/>
    <w:rsid w:val="00C729CB"/>
    <w:rsid w:val="00C729D1"/>
    <w:rsid w:val="00C72A1B"/>
    <w:rsid w:val="00C72B2C"/>
    <w:rsid w:val="00C72BD0"/>
    <w:rsid w:val="00C72C23"/>
    <w:rsid w:val="00C72D89"/>
    <w:rsid w:val="00C72D95"/>
    <w:rsid w:val="00C72DC8"/>
    <w:rsid w:val="00C73239"/>
    <w:rsid w:val="00C73279"/>
    <w:rsid w:val="00C73517"/>
    <w:rsid w:val="00C73537"/>
    <w:rsid w:val="00C7353B"/>
    <w:rsid w:val="00C7358F"/>
    <w:rsid w:val="00C7364C"/>
    <w:rsid w:val="00C73774"/>
    <w:rsid w:val="00C73A76"/>
    <w:rsid w:val="00C73BAF"/>
    <w:rsid w:val="00C73CC6"/>
    <w:rsid w:val="00C73D37"/>
    <w:rsid w:val="00C73EAE"/>
    <w:rsid w:val="00C73F6F"/>
    <w:rsid w:val="00C73F87"/>
    <w:rsid w:val="00C74000"/>
    <w:rsid w:val="00C74201"/>
    <w:rsid w:val="00C743C7"/>
    <w:rsid w:val="00C744DE"/>
    <w:rsid w:val="00C7468A"/>
    <w:rsid w:val="00C74702"/>
    <w:rsid w:val="00C747F0"/>
    <w:rsid w:val="00C7487B"/>
    <w:rsid w:val="00C74897"/>
    <w:rsid w:val="00C74993"/>
    <w:rsid w:val="00C74A91"/>
    <w:rsid w:val="00C74ADA"/>
    <w:rsid w:val="00C74BB1"/>
    <w:rsid w:val="00C74C24"/>
    <w:rsid w:val="00C74CBA"/>
    <w:rsid w:val="00C74CC6"/>
    <w:rsid w:val="00C74E24"/>
    <w:rsid w:val="00C74EEB"/>
    <w:rsid w:val="00C74F8E"/>
    <w:rsid w:val="00C75124"/>
    <w:rsid w:val="00C75190"/>
    <w:rsid w:val="00C7523B"/>
    <w:rsid w:val="00C754C9"/>
    <w:rsid w:val="00C755AA"/>
    <w:rsid w:val="00C75692"/>
    <w:rsid w:val="00C7593C"/>
    <w:rsid w:val="00C759AA"/>
    <w:rsid w:val="00C75A9C"/>
    <w:rsid w:val="00C75B7A"/>
    <w:rsid w:val="00C75D4B"/>
    <w:rsid w:val="00C75F29"/>
    <w:rsid w:val="00C75F65"/>
    <w:rsid w:val="00C75FD1"/>
    <w:rsid w:val="00C76012"/>
    <w:rsid w:val="00C7605D"/>
    <w:rsid w:val="00C76253"/>
    <w:rsid w:val="00C76288"/>
    <w:rsid w:val="00C7631F"/>
    <w:rsid w:val="00C7663F"/>
    <w:rsid w:val="00C7678D"/>
    <w:rsid w:val="00C767C0"/>
    <w:rsid w:val="00C76919"/>
    <w:rsid w:val="00C76960"/>
    <w:rsid w:val="00C76AFC"/>
    <w:rsid w:val="00C76B86"/>
    <w:rsid w:val="00C76BD6"/>
    <w:rsid w:val="00C76CC2"/>
    <w:rsid w:val="00C76CF6"/>
    <w:rsid w:val="00C76E21"/>
    <w:rsid w:val="00C76E24"/>
    <w:rsid w:val="00C76E91"/>
    <w:rsid w:val="00C76F61"/>
    <w:rsid w:val="00C77043"/>
    <w:rsid w:val="00C77054"/>
    <w:rsid w:val="00C770A8"/>
    <w:rsid w:val="00C772A5"/>
    <w:rsid w:val="00C7734D"/>
    <w:rsid w:val="00C773C6"/>
    <w:rsid w:val="00C775FE"/>
    <w:rsid w:val="00C7770F"/>
    <w:rsid w:val="00C77720"/>
    <w:rsid w:val="00C77A0E"/>
    <w:rsid w:val="00C77AF7"/>
    <w:rsid w:val="00C77B34"/>
    <w:rsid w:val="00C77BA2"/>
    <w:rsid w:val="00C77C33"/>
    <w:rsid w:val="00C77CA3"/>
    <w:rsid w:val="00C77CD5"/>
    <w:rsid w:val="00C77F33"/>
    <w:rsid w:val="00C8002F"/>
    <w:rsid w:val="00C8003E"/>
    <w:rsid w:val="00C800FC"/>
    <w:rsid w:val="00C80165"/>
    <w:rsid w:val="00C80230"/>
    <w:rsid w:val="00C8024C"/>
    <w:rsid w:val="00C8066A"/>
    <w:rsid w:val="00C806CB"/>
    <w:rsid w:val="00C80827"/>
    <w:rsid w:val="00C8083C"/>
    <w:rsid w:val="00C8085A"/>
    <w:rsid w:val="00C80866"/>
    <w:rsid w:val="00C80A4B"/>
    <w:rsid w:val="00C80A74"/>
    <w:rsid w:val="00C80AA0"/>
    <w:rsid w:val="00C80C3A"/>
    <w:rsid w:val="00C80C62"/>
    <w:rsid w:val="00C80CB1"/>
    <w:rsid w:val="00C80CC1"/>
    <w:rsid w:val="00C80E09"/>
    <w:rsid w:val="00C80F7E"/>
    <w:rsid w:val="00C81110"/>
    <w:rsid w:val="00C81181"/>
    <w:rsid w:val="00C81320"/>
    <w:rsid w:val="00C8149C"/>
    <w:rsid w:val="00C814DB"/>
    <w:rsid w:val="00C81512"/>
    <w:rsid w:val="00C8166E"/>
    <w:rsid w:val="00C816CD"/>
    <w:rsid w:val="00C81706"/>
    <w:rsid w:val="00C817B8"/>
    <w:rsid w:val="00C817F8"/>
    <w:rsid w:val="00C81816"/>
    <w:rsid w:val="00C81825"/>
    <w:rsid w:val="00C818B6"/>
    <w:rsid w:val="00C81938"/>
    <w:rsid w:val="00C8198B"/>
    <w:rsid w:val="00C81B23"/>
    <w:rsid w:val="00C81CA2"/>
    <w:rsid w:val="00C81D53"/>
    <w:rsid w:val="00C81E01"/>
    <w:rsid w:val="00C81E2A"/>
    <w:rsid w:val="00C81E38"/>
    <w:rsid w:val="00C81E5B"/>
    <w:rsid w:val="00C81EF0"/>
    <w:rsid w:val="00C81F85"/>
    <w:rsid w:val="00C820CD"/>
    <w:rsid w:val="00C820E1"/>
    <w:rsid w:val="00C820E7"/>
    <w:rsid w:val="00C82154"/>
    <w:rsid w:val="00C82223"/>
    <w:rsid w:val="00C82319"/>
    <w:rsid w:val="00C824C9"/>
    <w:rsid w:val="00C82505"/>
    <w:rsid w:val="00C825E3"/>
    <w:rsid w:val="00C82607"/>
    <w:rsid w:val="00C826E3"/>
    <w:rsid w:val="00C82709"/>
    <w:rsid w:val="00C828A8"/>
    <w:rsid w:val="00C828B4"/>
    <w:rsid w:val="00C82955"/>
    <w:rsid w:val="00C8296B"/>
    <w:rsid w:val="00C82A0C"/>
    <w:rsid w:val="00C82B79"/>
    <w:rsid w:val="00C82D34"/>
    <w:rsid w:val="00C82DAE"/>
    <w:rsid w:val="00C82E0A"/>
    <w:rsid w:val="00C82EA1"/>
    <w:rsid w:val="00C82F82"/>
    <w:rsid w:val="00C82FF3"/>
    <w:rsid w:val="00C83189"/>
    <w:rsid w:val="00C831A2"/>
    <w:rsid w:val="00C8336F"/>
    <w:rsid w:val="00C833EE"/>
    <w:rsid w:val="00C8345B"/>
    <w:rsid w:val="00C834BB"/>
    <w:rsid w:val="00C83540"/>
    <w:rsid w:val="00C835BD"/>
    <w:rsid w:val="00C83604"/>
    <w:rsid w:val="00C8365C"/>
    <w:rsid w:val="00C836D1"/>
    <w:rsid w:val="00C839B2"/>
    <w:rsid w:val="00C83A02"/>
    <w:rsid w:val="00C83AC4"/>
    <w:rsid w:val="00C83C73"/>
    <w:rsid w:val="00C83CDA"/>
    <w:rsid w:val="00C83DC0"/>
    <w:rsid w:val="00C83EB3"/>
    <w:rsid w:val="00C8400C"/>
    <w:rsid w:val="00C840E1"/>
    <w:rsid w:val="00C84117"/>
    <w:rsid w:val="00C842AA"/>
    <w:rsid w:val="00C84377"/>
    <w:rsid w:val="00C84402"/>
    <w:rsid w:val="00C844A1"/>
    <w:rsid w:val="00C84593"/>
    <w:rsid w:val="00C8472C"/>
    <w:rsid w:val="00C84781"/>
    <w:rsid w:val="00C84804"/>
    <w:rsid w:val="00C84818"/>
    <w:rsid w:val="00C84888"/>
    <w:rsid w:val="00C848AA"/>
    <w:rsid w:val="00C8490C"/>
    <w:rsid w:val="00C849D4"/>
    <w:rsid w:val="00C84A0D"/>
    <w:rsid w:val="00C84A1B"/>
    <w:rsid w:val="00C84B73"/>
    <w:rsid w:val="00C84C9F"/>
    <w:rsid w:val="00C84D1B"/>
    <w:rsid w:val="00C84D1D"/>
    <w:rsid w:val="00C84D5B"/>
    <w:rsid w:val="00C84E16"/>
    <w:rsid w:val="00C84ED0"/>
    <w:rsid w:val="00C84F13"/>
    <w:rsid w:val="00C84FD4"/>
    <w:rsid w:val="00C85017"/>
    <w:rsid w:val="00C85150"/>
    <w:rsid w:val="00C85396"/>
    <w:rsid w:val="00C853DB"/>
    <w:rsid w:val="00C8541C"/>
    <w:rsid w:val="00C85469"/>
    <w:rsid w:val="00C85573"/>
    <w:rsid w:val="00C855C6"/>
    <w:rsid w:val="00C856FB"/>
    <w:rsid w:val="00C857B3"/>
    <w:rsid w:val="00C85968"/>
    <w:rsid w:val="00C859C5"/>
    <w:rsid w:val="00C85A06"/>
    <w:rsid w:val="00C85A81"/>
    <w:rsid w:val="00C85AAC"/>
    <w:rsid w:val="00C85B57"/>
    <w:rsid w:val="00C85B6C"/>
    <w:rsid w:val="00C85BFF"/>
    <w:rsid w:val="00C85C64"/>
    <w:rsid w:val="00C85CD0"/>
    <w:rsid w:val="00C85D66"/>
    <w:rsid w:val="00C85DA6"/>
    <w:rsid w:val="00C85E2A"/>
    <w:rsid w:val="00C8600F"/>
    <w:rsid w:val="00C86013"/>
    <w:rsid w:val="00C86223"/>
    <w:rsid w:val="00C865AE"/>
    <w:rsid w:val="00C8661D"/>
    <w:rsid w:val="00C86630"/>
    <w:rsid w:val="00C86805"/>
    <w:rsid w:val="00C8688E"/>
    <w:rsid w:val="00C868B7"/>
    <w:rsid w:val="00C8694A"/>
    <w:rsid w:val="00C869E8"/>
    <w:rsid w:val="00C869EF"/>
    <w:rsid w:val="00C86A86"/>
    <w:rsid w:val="00C86C2F"/>
    <w:rsid w:val="00C86C4A"/>
    <w:rsid w:val="00C86D9D"/>
    <w:rsid w:val="00C86E15"/>
    <w:rsid w:val="00C86E35"/>
    <w:rsid w:val="00C86EEE"/>
    <w:rsid w:val="00C87087"/>
    <w:rsid w:val="00C870BA"/>
    <w:rsid w:val="00C8712D"/>
    <w:rsid w:val="00C87158"/>
    <w:rsid w:val="00C8719F"/>
    <w:rsid w:val="00C871B2"/>
    <w:rsid w:val="00C871BA"/>
    <w:rsid w:val="00C87258"/>
    <w:rsid w:val="00C87509"/>
    <w:rsid w:val="00C875C3"/>
    <w:rsid w:val="00C8760C"/>
    <w:rsid w:val="00C87894"/>
    <w:rsid w:val="00C87897"/>
    <w:rsid w:val="00C87994"/>
    <w:rsid w:val="00C87A84"/>
    <w:rsid w:val="00C87AA6"/>
    <w:rsid w:val="00C87B93"/>
    <w:rsid w:val="00C87C8B"/>
    <w:rsid w:val="00C87D73"/>
    <w:rsid w:val="00C87D84"/>
    <w:rsid w:val="00C87DED"/>
    <w:rsid w:val="00C87E20"/>
    <w:rsid w:val="00C90176"/>
    <w:rsid w:val="00C901CF"/>
    <w:rsid w:val="00C90203"/>
    <w:rsid w:val="00C90405"/>
    <w:rsid w:val="00C90469"/>
    <w:rsid w:val="00C904D3"/>
    <w:rsid w:val="00C90513"/>
    <w:rsid w:val="00C90610"/>
    <w:rsid w:val="00C9072D"/>
    <w:rsid w:val="00C90735"/>
    <w:rsid w:val="00C9082F"/>
    <w:rsid w:val="00C909AD"/>
    <w:rsid w:val="00C90A68"/>
    <w:rsid w:val="00C90D12"/>
    <w:rsid w:val="00C90F11"/>
    <w:rsid w:val="00C90F4F"/>
    <w:rsid w:val="00C90F7A"/>
    <w:rsid w:val="00C910E4"/>
    <w:rsid w:val="00C9116E"/>
    <w:rsid w:val="00C911BD"/>
    <w:rsid w:val="00C911BE"/>
    <w:rsid w:val="00C9122C"/>
    <w:rsid w:val="00C91233"/>
    <w:rsid w:val="00C91285"/>
    <w:rsid w:val="00C912FB"/>
    <w:rsid w:val="00C914EC"/>
    <w:rsid w:val="00C914F8"/>
    <w:rsid w:val="00C914F9"/>
    <w:rsid w:val="00C91589"/>
    <w:rsid w:val="00C9166F"/>
    <w:rsid w:val="00C91672"/>
    <w:rsid w:val="00C916D5"/>
    <w:rsid w:val="00C9170B"/>
    <w:rsid w:val="00C917F4"/>
    <w:rsid w:val="00C91851"/>
    <w:rsid w:val="00C919AD"/>
    <w:rsid w:val="00C91A0C"/>
    <w:rsid w:val="00C91AEF"/>
    <w:rsid w:val="00C91C0B"/>
    <w:rsid w:val="00C91C8C"/>
    <w:rsid w:val="00C91D27"/>
    <w:rsid w:val="00C91D2A"/>
    <w:rsid w:val="00C91DE8"/>
    <w:rsid w:val="00C91EC4"/>
    <w:rsid w:val="00C91F88"/>
    <w:rsid w:val="00C9208D"/>
    <w:rsid w:val="00C920D1"/>
    <w:rsid w:val="00C9222A"/>
    <w:rsid w:val="00C9224E"/>
    <w:rsid w:val="00C92563"/>
    <w:rsid w:val="00C925A6"/>
    <w:rsid w:val="00C9274B"/>
    <w:rsid w:val="00C92772"/>
    <w:rsid w:val="00C927DF"/>
    <w:rsid w:val="00C928D3"/>
    <w:rsid w:val="00C928E6"/>
    <w:rsid w:val="00C928EB"/>
    <w:rsid w:val="00C928F8"/>
    <w:rsid w:val="00C9291E"/>
    <w:rsid w:val="00C92931"/>
    <w:rsid w:val="00C92ADF"/>
    <w:rsid w:val="00C92B74"/>
    <w:rsid w:val="00C92BDB"/>
    <w:rsid w:val="00C92D9D"/>
    <w:rsid w:val="00C92E23"/>
    <w:rsid w:val="00C92E39"/>
    <w:rsid w:val="00C92EB8"/>
    <w:rsid w:val="00C92F2A"/>
    <w:rsid w:val="00C92FC2"/>
    <w:rsid w:val="00C92FEF"/>
    <w:rsid w:val="00C9307C"/>
    <w:rsid w:val="00C93103"/>
    <w:rsid w:val="00C93289"/>
    <w:rsid w:val="00C9382E"/>
    <w:rsid w:val="00C93A7D"/>
    <w:rsid w:val="00C93C82"/>
    <w:rsid w:val="00C93CC9"/>
    <w:rsid w:val="00C93CFB"/>
    <w:rsid w:val="00C93D91"/>
    <w:rsid w:val="00C93D98"/>
    <w:rsid w:val="00C93E4E"/>
    <w:rsid w:val="00C93F34"/>
    <w:rsid w:val="00C94011"/>
    <w:rsid w:val="00C9403C"/>
    <w:rsid w:val="00C9408D"/>
    <w:rsid w:val="00C940CB"/>
    <w:rsid w:val="00C940D9"/>
    <w:rsid w:val="00C941DE"/>
    <w:rsid w:val="00C941EE"/>
    <w:rsid w:val="00C941FD"/>
    <w:rsid w:val="00C94275"/>
    <w:rsid w:val="00C94293"/>
    <w:rsid w:val="00C9430D"/>
    <w:rsid w:val="00C94332"/>
    <w:rsid w:val="00C94342"/>
    <w:rsid w:val="00C94544"/>
    <w:rsid w:val="00C94687"/>
    <w:rsid w:val="00C947AF"/>
    <w:rsid w:val="00C947D8"/>
    <w:rsid w:val="00C948AF"/>
    <w:rsid w:val="00C94942"/>
    <w:rsid w:val="00C949B8"/>
    <w:rsid w:val="00C94AB5"/>
    <w:rsid w:val="00C94AEE"/>
    <w:rsid w:val="00C94B5C"/>
    <w:rsid w:val="00C94B93"/>
    <w:rsid w:val="00C94BE2"/>
    <w:rsid w:val="00C94C1F"/>
    <w:rsid w:val="00C94CE3"/>
    <w:rsid w:val="00C94D2F"/>
    <w:rsid w:val="00C94E74"/>
    <w:rsid w:val="00C94ECB"/>
    <w:rsid w:val="00C94FBE"/>
    <w:rsid w:val="00C950CA"/>
    <w:rsid w:val="00C950E0"/>
    <w:rsid w:val="00C9524B"/>
    <w:rsid w:val="00C952F8"/>
    <w:rsid w:val="00C95358"/>
    <w:rsid w:val="00C95398"/>
    <w:rsid w:val="00C953FE"/>
    <w:rsid w:val="00C954A4"/>
    <w:rsid w:val="00C95526"/>
    <w:rsid w:val="00C9552A"/>
    <w:rsid w:val="00C956DF"/>
    <w:rsid w:val="00C9578D"/>
    <w:rsid w:val="00C95A5E"/>
    <w:rsid w:val="00C95EBE"/>
    <w:rsid w:val="00C95F0F"/>
    <w:rsid w:val="00C95F81"/>
    <w:rsid w:val="00C9606B"/>
    <w:rsid w:val="00C96253"/>
    <w:rsid w:val="00C96281"/>
    <w:rsid w:val="00C963E0"/>
    <w:rsid w:val="00C96504"/>
    <w:rsid w:val="00C96508"/>
    <w:rsid w:val="00C96579"/>
    <w:rsid w:val="00C965FE"/>
    <w:rsid w:val="00C96634"/>
    <w:rsid w:val="00C96681"/>
    <w:rsid w:val="00C966BC"/>
    <w:rsid w:val="00C967C9"/>
    <w:rsid w:val="00C96849"/>
    <w:rsid w:val="00C9692B"/>
    <w:rsid w:val="00C969DD"/>
    <w:rsid w:val="00C96BA7"/>
    <w:rsid w:val="00C96BEB"/>
    <w:rsid w:val="00C96C58"/>
    <w:rsid w:val="00C96D1B"/>
    <w:rsid w:val="00C96E05"/>
    <w:rsid w:val="00C96E47"/>
    <w:rsid w:val="00C96E8A"/>
    <w:rsid w:val="00C96EEA"/>
    <w:rsid w:val="00C970EE"/>
    <w:rsid w:val="00C971C8"/>
    <w:rsid w:val="00C97211"/>
    <w:rsid w:val="00C97363"/>
    <w:rsid w:val="00C976A0"/>
    <w:rsid w:val="00C976A7"/>
    <w:rsid w:val="00C9770C"/>
    <w:rsid w:val="00C977DF"/>
    <w:rsid w:val="00C97853"/>
    <w:rsid w:val="00C978E1"/>
    <w:rsid w:val="00C97970"/>
    <w:rsid w:val="00C979B6"/>
    <w:rsid w:val="00C97A41"/>
    <w:rsid w:val="00C97AA9"/>
    <w:rsid w:val="00C97AC7"/>
    <w:rsid w:val="00C97D0B"/>
    <w:rsid w:val="00CA0080"/>
    <w:rsid w:val="00CA00B9"/>
    <w:rsid w:val="00CA013F"/>
    <w:rsid w:val="00CA01F8"/>
    <w:rsid w:val="00CA02FE"/>
    <w:rsid w:val="00CA0413"/>
    <w:rsid w:val="00CA04FD"/>
    <w:rsid w:val="00CA0685"/>
    <w:rsid w:val="00CA0846"/>
    <w:rsid w:val="00CA091B"/>
    <w:rsid w:val="00CA0AC7"/>
    <w:rsid w:val="00CA0B10"/>
    <w:rsid w:val="00CA0B61"/>
    <w:rsid w:val="00CA0B9F"/>
    <w:rsid w:val="00CA0BC8"/>
    <w:rsid w:val="00CA0E15"/>
    <w:rsid w:val="00CA0E64"/>
    <w:rsid w:val="00CA0F7D"/>
    <w:rsid w:val="00CA0F90"/>
    <w:rsid w:val="00CA11A4"/>
    <w:rsid w:val="00CA1323"/>
    <w:rsid w:val="00CA138B"/>
    <w:rsid w:val="00CA14DC"/>
    <w:rsid w:val="00CA1545"/>
    <w:rsid w:val="00CA1745"/>
    <w:rsid w:val="00CA17CA"/>
    <w:rsid w:val="00CA17FE"/>
    <w:rsid w:val="00CA180B"/>
    <w:rsid w:val="00CA1825"/>
    <w:rsid w:val="00CA184C"/>
    <w:rsid w:val="00CA1914"/>
    <w:rsid w:val="00CA19D7"/>
    <w:rsid w:val="00CA19FE"/>
    <w:rsid w:val="00CA1A7F"/>
    <w:rsid w:val="00CA1B60"/>
    <w:rsid w:val="00CA1B86"/>
    <w:rsid w:val="00CA1BD1"/>
    <w:rsid w:val="00CA1C0B"/>
    <w:rsid w:val="00CA1C49"/>
    <w:rsid w:val="00CA1EC3"/>
    <w:rsid w:val="00CA1EE3"/>
    <w:rsid w:val="00CA20BC"/>
    <w:rsid w:val="00CA219B"/>
    <w:rsid w:val="00CA2288"/>
    <w:rsid w:val="00CA2313"/>
    <w:rsid w:val="00CA2496"/>
    <w:rsid w:val="00CA261A"/>
    <w:rsid w:val="00CA271D"/>
    <w:rsid w:val="00CA27DD"/>
    <w:rsid w:val="00CA28FA"/>
    <w:rsid w:val="00CA291F"/>
    <w:rsid w:val="00CA2993"/>
    <w:rsid w:val="00CA2A03"/>
    <w:rsid w:val="00CA2A7A"/>
    <w:rsid w:val="00CA2ABD"/>
    <w:rsid w:val="00CA2C0F"/>
    <w:rsid w:val="00CA2C26"/>
    <w:rsid w:val="00CA2CB6"/>
    <w:rsid w:val="00CA2E93"/>
    <w:rsid w:val="00CA2ECE"/>
    <w:rsid w:val="00CA2F4D"/>
    <w:rsid w:val="00CA303C"/>
    <w:rsid w:val="00CA318D"/>
    <w:rsid w:val="00CA31C4"/>
    <w:rsid w:val="00CA3300"/>
    <w:rsid w:val="00CA33C1"/>
    <w:rsid w:val="00CA33FE"/>
    <w:rsid w:val="00CA34BA"/>
    <w:rsid w:val="00CA3502"/>
    <w:rsid w:val="00CA36FC"/>
    <w:rsid w:val="00CA39BC"/>
    <w:rsid w:val="00CA3C37"/>
    <w:rsid w:val="00CA3C3B"/>
    <w:rsid w:val="00CA3CCF"/>
    <w:rsid w:val="00CA3E22"/>
    <w:rsid w:val="00CA3E29"/>
    <w:rsid w:val="00CA3EC3"/>
    <w:rsid w:val="00CA3F27"/>
    <w:rsid w:val="00CA400D"/>
    <w:rsid w:val="00CA4040"/>
    <w:rsid w:val="00CA40B1"/>
    <w:rsid w:val="00CA40CD"/>
    <w:rsid w:val="00CA4149"/>
    <w:rsid w:val="00CA41ED"/>
    <w:rsid w:val="00CA423E"/>
    <w:rsid w:val="00CA4245"/>
    <w:rsid w:val="00CA432F"/>
    <w:rsid w:val="00CA43E8"/>
    <w:rsid w:val="00CA460E"/>
    <w:rsid w:val="00CA46C2"/>
    <w:rsid w:val="00CA475D"/>
    <w:rsid w:val="00CA47D6"/>
    <w:rsid w:val="00CA48BD"/>
    <w:rsid w:val="00CA491A"/>
    <w:rsid w:val="00CA4A30"/>
    <w:rsid w:val="00CA4A3F"/>
    <w:rsid w:val="00CA4A59"/>
    <w:rsid w:val="00CA4BC3"/>
    <w:rsid w:val="00CA4C00"/>
    <w:rsid w:val="00CA4C09"/>
    <w:rsid w:val="00CA4C3F"/>
    <w:rsid w:val="00CA4C75"/>
    <w:rsid w:val="00CA4CF9"/>
    <w:rsid w:val="00CA4CFC"/>
    <w:rsid w:val="00CA4E38"/>
    <w:rsid w:val="00CA4E49"/>
    <w:rsid w:val="00CA4F13"/>
    <w:rsid w:val="00CA4F73"/>
    <w:rsid w:val="00CA51E7"/>
    <w:rsid w:val="00CA5287"/>
    <w:rsid w:val="00CA5336"/>
    <w:rsid w:val="00CA545E"/>
    <w:rsid w:val="00CA54FF"/>
    <w:rsid w:val="00CA5542"/>
    <w:rsid w:val="00CA568F"/>
    <w:rsid w:val="00CA5831"/>
    <w:rsid w:val="00CA5840"/>
    <w:rsid w:val="00CA5943"/>
    <w:rsid w:val="00CA5994"/>
    <w:rsid w:val="00CA5AAC"/>
    <w:rsid w:val="00CA5D50"/>
    <w:rsid w:val="00CA5D8F"/>
    <w:rsid w:val="00CA5DDC"/>
    <w:rsid w:val="00CA5E95"/>
    <w:rsid w:val="00CA5EA7"/>
    <w:rsid w:val="00CA5F42"/>
    <w:rsid w:val="00CA5FA5"/>
    <w:rsid w:val="00CA5FEF"/>
    <w:rsid w:val="00CA6003"/>
    <w:rsid w:val="00CA60DD"/>
    <w:rsid w:val="00CA60F2"/>
    <w:rsid w:val="00CA610F"/>
    <w:rsid w:val="00CA6110"/>
    <w:rsid w:val="00CA618C"/>
    <w:rsid w:val="00CA629E"/>
    <w:rsid w:val="00CA6391"/>
    <w:rsid w:val="00CA641F"/>
    <w:rsid w:val="00CA6708"/>
    <w:rsid w:val="00CA67CA"/>
    <w:rsid w:val="00CA6832"/>
    <w:rsid w:val="00CA683A"/>
    <w:rsid w:val="00CA69CA"/>
    <w:rsid w:val="00CA69EE"/>
    <w:rsid w:val="00CA6A31"/>
    <w:rsid w:val="00CA6AEE"/>
    <w:rsid w:val="00CA6AF0"/>
    <w:rsid w:val="00CA6B5F"/>
    <w:rsid w:val="00CA6BDD"/>
    <w:rsid w:val="00CA6E31"/>
    <w:rsid w:val="00CA6E5E"/>
    <w:rsid w:val="00CA6F77"/>
    <w:rsid w:val="00CA6FFB"/>
    <w:rsid w:val="00CA7021"/>
    <w:rsid w:val="00CA706A"/>
    <w:rsid w:val="00CA71B6"/>
    <w:rsid w:val="00CA72D3"/>
    <w:rsid w:val="00CA7559"/>
    <w:rsid w:val="00CA75C6"/>
    <w:rsid w:val="00CA78A0"/>
    <w:rsid w:val="00CA78A4"/>
    <w:rsid w:val="00CA7930"/>
    <w:rsid w:val="00CA79C0"/>
    <w:rsid w:val="00CA7A5C"/>
    <w:rsid w:val="00CA7A6F"/>
    <w:rsid w:val="00CA7DA3"/>
    <w:rsid w:val="00CA7E6D"/>
    <w:rsid w:val="00CA7F6C"/>
    <w:rsid w:val="00CA7F8E"/>
    <w:rsid w:val="00CB008D"/>
    <w:rsid w:val="00CB00C3"/>
    <w:rsid w:val="00CB0163"/>
    <w:rsid w:val="00CB0180"/>
    <w:rsid w:val="00CB018A"/>
    <w:rsid w:val="00CB03CC"/>
    <w:rsid w:val="00CB0498"/>
    <w:rsid w:val="00CB05C0"/>
    <w:rsid w:val="00CB0616"/>
    <w:rsid w:val="00CB0624"/>
    <w:rsid w:val="00CB0A2B"/>
    <w:rsid w:val="00CB0AA7"/>
    <w:rsid w:val="00CB0AFA"/>
    <w:rsid w:val="00CB0BA5"/>
    <w:rsid w:val="00CB0BEB"/>
    <w:rsid w:val="00CB0C45"/>
    <w:rsid w:val="00CB0F28"/>
    <w:rsid w:val="00CB1015"/>
    <w:rsid w:val="00CB1022"/>
    <w:rsid w:val="00CB1085"/>
    <w:rsid w:val="00CB1094"/>
    <w:rsid w:val="00CB10A0"/>
    <w:rsid w:val="00CB10AB"/>
    <w:rsid w:val="00CB1125"/>
    <w:rsid w:val="00CB11CA"/>
    <w:rsid w:val="00CB1244"/>
    <w:rsid w:val="00CB12AB"/>
    <w:rsid w:val="00CB14CA"/>
    <w:rsid w:val="00CB1560"/>
    <w:rsid w:val="00CB15AC"/>
    <w:rsid w:val="00CB1615"/>
    <w:rsid w:val="00CB1675"/>
    <w:rsid w:val="00CB16EC"/>
    <w:rsid w:val="00CB1867"/>
    <w:rsid w:val="00CB1B54"/>
    <w:rsid w:val="00CB1B5D"/>
    <w:rsid w:val="00CB1BED"/>
    <w:rsid w:val="00CB1CDC"/>
    <w:rsid w:val="00CB1DCE"/>
    <w:rsid w:val="00CB1E19"/>
    <w:rsid w:val="00CB1E86"/>
    <w:rsid w:val="00CB1F45"/>
    <w:rsid w:val="00CB20C0"/>
    <w:rsid w:val="00CB23E4"/>
    <w:rsid w:val="00CB23E9"/>
    <w:rsid w:val="00CB2466"/>
    <w:rsid w:val="00CB24D0"/>
    <w:rsid w:val="00CB253D"/>
    <w:rsid w:val="00CB254E"/>
    <w:rsid w:val="00CB2552"/>
    <w:rsid w:val="00CB2568"/>
    <w:rsid w:val="00CB26B8"/>
    <w:rsid w:val="00CB26E5"/>
    <w:rsid w:val="00CB2752"/>
    <w:rsid w:val="00CB28E4"/>
    <w:rsid w:val="00CB2924"/>
    <w:rsid w:val="00CB299D"/>
    <w:rsid w:val="00CB2A79"/>
    <w:rsid w:val="00CB2B93"/>
    <w:rsid w:val="00CB2C6D"/>
    <w:rsid w:val="00CB2E0C"/>
    <w:rsid w:val="00CB2E21"/>
    <w:rsid w:val="00CB2FB1"/>
    <w:rsid w:val="00CB3144"/>
    <w:rsid w:val="00CB31C7"/>
    <w:rsid w:val="00CB33E1"/>
    <w:rsid w:val="00CB3409"/>
    <w:rsid w:val="00CB340A"/>
    <w:rsid w:val="00CB3695"/>
    <w:rsid w:val="00CB3934"/>
    <w:rsid w:val="00CB39A1"/>
    <w:rsid w:val="00CB3A8A"/>
    <w:rsid w:val="00CB3BA2"/>
    <w:rsid w:val="00CB3C3F"/>
    <w:rsid w:val="00CB3C46"/>
    <w:rsid w:val="00CB3CD0"/>
    <w:rsid w:val="00CB3CDC"/>
    <w:rsid w:val="00CB3D1D"/>
    <w:rsid w:val="00CB3E95"/>
    <w:rsid w:val="00CB3F0A"/>
    <w:rsid w:val="00CB4054"/>
    <w:rsid w:val="00CB414F"/>
    <w:rsid w:val="00CB41C4"/>
    <w:rsid w:val="00CB43AF"/>
    <w:rsid w:val="00CB444D"/>
    <w:rsid w:val="00CB4459"/>
    <w:rsid w:val="00CB447C"/>
    <w:rsid w:val="00CB44CA"/>
    <w:rsid w:val="00CB45B4"/>
    <w:rsid w:val="00CB465E"/>
    <w:rsid w:val="00CB4746"/>
    <w:rsid w:val="00CB4836"/>
    <w:rsid w:val="00CB48BB"/>
    <w:rsid w:val="00CB493C"/>
    <w:rsid w:val="00CB4D59"/>
    <w:rsid w:val="00CB4E28"/>
    <w:rsid w:val="00CB4EB9"/>
    <w:rsid w:val="00CB4F87"/>
    <w:rsid w:val="00CB5094"/>
    <w:rsid w:val="00CB50A3"/>
    <w:rsid w:val="00CB5103"/>
    <w:rsid w:val="00CB54CD"/>
    <w:rsid w:val="00CB54E6"/>
    <w:rsid w:val="00CB5514"/>
    <w:rsid w:val="00CB55CF"/>
    <w:rsid w:val="00CB5726"/>
    <w:rsid w:val="00CB57B9"/>
    <w:rsid w:val="00CB5873"/>
    <w:rsid w:val="00CB5A25"/>
    <w:rsid w:val="00CB5B20"/>
    <w:rsid w:val="00CB5BD0"/>
    <w:rsid w:val="00CB5CFC"/>
    <w:rsid w:val="00CB5D53"/>
    <w:rsid w:val="00CB5D84"/>
    <w:rsid w:val="00CB5D9C"/>
    <w:rsid w:val="00CB600E"/>
    <w:rsid w:val="00CB6097"/>
    <w:rsid w:val="00CB617C"/>
    <w:rsid w:val="00CB61C6"/>
    <w:rsid w:val="00CB6410"/>
    <w:rsid w:val="00CB6499"/>
    <w:rsid w:val="00CB659E"/>
    <w:rsid w:val="00CB6670"/>
    <w:rsid w:val="00CB66D6"/>
    <w:rsid w:val="00CB6775"/>
    <w:rsid w:val="00CB67A0"/>
    <w:rsid w:val="00CB6830"/>
    <w:rsid w:val="00CB6A2B"/>
    <w:rsid w:val="00CB6A87"/>
    <w:rsid w:val="00CB6AD4"/>
    <w:rsid w:val="00CB6C99"/>
    <w:rsid w:val="00CB6F41"/>
    <w:rsid w:val="00CB6F4F"/>
    <w:rsid w:val="00CB6FC1"/>
    <w:rsid w:val="00CB7022"/>
    <w:rsid w:val="00CB709C"/>
    <w:rsid w:val="00CB73B8"/>
    <w:rsid w:val="00CB73F4"/>
    <w:rsid w:val="00CB74AF"/>
    <w:rsid w:val="00CB75B0"/>
    <w:rsid w:val="00CB76A0"/>
    <w:rsid w:val="00CB7813"/>
    <w:rsid w:val="00CB782A"/>
    <w:rsid w:val="00CB7989"/>
    <w:rsid w:val="00CB79A3"/>
    <w:rsid w:val="00CB7A6A"/>
    <w:rsid w:val="00CB7ADA"/>
    <w:rsid w:val="00CB7BDA"/>
    <w:rsid w:val="00CB7CAC"/>
    <w:rsid w:val="00CB7D12"/>
    <w:rsid w:val="00CB7DAB"/>
    <w:rsid w:val="00CB7E2A"/>
    <w:rsid w:val="00CB7F25"/>
    <w:rsid w:val="00CB7FCF"/>
    <w:rsid w:val="00CC0175"/>
    <w:rsid w:val="00CC0292"/>
    <w:rsid w:val="00CC0364"/>
    <w:rsid w:val="00CC0396"/>
    <w:rsid w:val="00CC0438"/>
    <w:rsid w:val="00CC0516"/>
    <w:rsid w:val="00CC0563"/>
    <w:rsid w:val="00CC087C"/>
    <w:rsid w:val="00CC0AEE"/>
    <w:rsid w:val="00CC0B18"/>
    <w:rsid w:val="00CC0B29"/>
    <w:rsid w:val="00CC0BDF"/>
    <w:rsid w:val="00CC0C16"/>
    <w:rsid w:val="00CC0D42"/>
    <w:rsid w:val="00CC0D74"/>
    <w:rsid w:val="00CC0DD4"/>
    <w:rsid w:val="00CC0E52"/>
    <w:rsid w:val="00CC0F5A"/>
    <w:rsid w:val="00CC1068"/>
    <w:rsid w:val="00CC119F"/>
    <w:rsid w:val="00CC1279"/>
    <w:rsid w:val="00CC12CB"/>
    <w:rsid w:val="00CC1439"/>
    <w:rsid w:val="00CC14D7"/>
    <w:rsid w:val="00CC1792"/>
    <w:rsid w:val="00CC17D3"/>
    <w:rsid w:val="00CC19EA"/>
    <w:rsid w:val="00CC1AD1"/>
    <w:rsid w:val="00CC1B17"/>
    <w:rsid w:val="00CC1B70"/>
    <w:rsid w:val="00CC1D9C"/>
    <w:rsid w:val="00CC1E76"/>
    <w:rsid w:val="00CC1EA7"/>
    <w:rsid w:val="00CC1FDA"/>
    <w:rsid w:val="00CC209F"/>
    <w:rsid w:val="00CC20CF"/>
    <w:rsid w:val="00CC21AB"/>
    <w:rsid w:val="00CC21AC"/>
    <w:rsid w:val="00CC220A"/>
    <w:rsid w:val="00CC2243"/>
    <w:rsid w:val="00CC225D"/>
    <w:rsid w:val="00CC22C5"/>
    <w:rsid w:val="00CC2476"/>
    <w:rsid w:val="00CC25A4"/>
    <w:rsid w:val="00CC25AB"/>
    <w:rsid w:val="00CC25D5"/>
    <w:rsid w:val="00CC2603"/>
    <w:rsid w:val="00CC2663"/>
    <w:rsid w:val="00CC275E"/>
    <w:rsid w:val="00CC27E6"/>
    <w:rsid w:val="00CC2837"/>
    <w:rsid w:val="00CC288E"/>
    <w:rsid w:val="00CC2A8B"/>
    <w:rsid w:val="00CC2C10"/>
    <w:rsid w:val="00CC2C30"/>
    <w:rsid w:val="00CC2CC6"/>
    <w:rsid w:val="00CC2D12"/>
    <w:rsid w:val="00CC2DCF"/>
    <w:rsid w:val="00CC2E01"/>
    <w:rsid w:val="00CC2E46"/>
    <w:rsid w:val="00CC2E8E"/>
    <w:rsid w:val="00CC2F8F"/>
    <w:rsid w:val="00CC2FB6"/>
    <w:rsid w:val="00CC30C2"/>
    <w:rsid w:val="00CC32A6"/>
    <w:rsid w:val="00CC33D9"/>
    <w:rsid w:val="00CC34BF"/>
    <w:rsid w:val="00CC3592"/>
    <w:rsid w:val="00CC359C"/>
    <w:rsid w:val="00CC3649"/>
    <w:rsid w:val="00CC36CF"/>
    <w:rsid w:val="00CC378D"/>
    <w:rsid w:val="00CC3841"/>
    <w:rsid w:val="00CC387E"/>
    <w:rsid w:val="00CC38BE"/>
    <w:rsid w:val="00CC3A57"/>
    <w:rsid w:val="00CC3B48"/>
    <w:rsid w:val="00CC3BDE"/>
    <w:rsid w:val="00CC3CC3"/>
    <w:rsid w:val="00CC3D18"/>
    <w:rsid w:val="00CC3D86"/>
    <w:rsid w:val="00CC3E02"/>
    <w:rsid w:val="00CC3E54"/>
    <w:rsid w:val="00CC407A"/>
    <w:rsid w:val="00CC40D7"/>
    <w:rsid w:val="00CC4341"/>
    <w:rsid w:val="00CC4393"/>
    <w:rsid w:val="00CC4418"/>
    <w:rsid w:val="00CC448D"/>
    <w:rsid w:val="00CC44D5"/>
    <w:rsid w:val="00CC45B1"/>
    <w:rsid w:val="00CC46AF"/>
    <w:rsid w:val="00CC47BC"/>
    <w:rsid w:val="00CC47F7"/>
    <w:rsid w:val="00CC4977"/>
    <w:rsid w:val="00CC4AA4"/>
    <w:rsid w:val="00CC4ACA"/>
    <w:rsid w:val="00CC4C68"/>
    <w:rsid w:val="00CC4E5C"/>
    <w:rsid w:val="00CC4E71"/>
    <w:rsid w:val="00CC4EFA"/>
    <w:rsid w:val="00CC4FFF"/>
    <w:rsid w:val="00CC50B0"/>
    <w:rsid w:val="00CC540B"/>
    <w:rsid w:val="00CC5435"/>
    <w:rsid w:val="00CC549D"/>
    <w:rsid w:val="00CC57D7"/>
    <w:rsid w:val="00CC58E2"/>
    <w:rsid w:val="00CC5A9E"/>
    <w:rsid w:val="00CC5AAF"/>
    <w:rsid w:val="00CC5ABC"/>
    <w:rsid w:val="00CC5AC9"/>
    <w:rsid w:val="00CC5B11"/>
    <w:rsid w:val="00CC5B1E"/>
    <w:rsid w:val="00CC5C35"/>
    <w:rsid w:val="00CC5D33"/>
    <w:rsid w:val="00CC5D85"/>
    <w:rsid w:val="00CC5F66"/>
    <w:rsid w:val="00CC6077"/>
    <w:rsid w:val="00CC60FB"/>
    <w:rsid w:val="00CC61F4"/>
    <w:rsid w:val="00CC625E"/>
    <w:rsid w:val="00CC62EA"/>
    <w:rsid w:val="00CC6325"/>
    <w:rsid w:val="00CC638A"/>
    <w:rsid w:val="00CC6407"/>
    <w:rsid w:val="00CC654F"/>
    <w:rsid w:val="00CC6628"/>
    <w:rsid w:val="00CC6771"/>
    <w:rsid w:val="00CC6947"/>
    <w:rsid w:val="00CC6952"/>
    <w:rsid w:val="00CC69EB"/>
    <w:rsid w:val="00CC69FF"/>
    <w:rsid w:val="00CC6B35"/>
    <w:rsid w:val="00CC6C28"/>
    <w:rsid w:val="00CC6D49"/>
    <w:rsid w:val="00CC6E0A"/>
    <w:rsid w:val="00CC6EA2"/>
    <w:rsid w:val="00CC6F32"/>
    <w:rsid w:val="00CC6FC5"/>
    <w:rsid w:val="00CC7103"/>
    <w:rsid w:val="00CC71D2"/>
    <w:rsid w:val="00CC72FD"/>
    <w:rsid w:val="00CC7340"/>
    <w:rsid w:val="00CC73C4"/>
    <w:rsid w:val="00CC742B"/>
    <w:rsid w:val="00CC74BB"/>
    <w:rsid w:val="00CC777D"/>
    <w:rsid w:val="00CC779C"/>
    <w:rsid w:val="00CC78C0"/>
    <w:rsid w:val="00CC78E5"/>
    <w:rsid w:val="00CC79A9"/>
    <w:rsid w:val="00CC7A9F"/>
    <w:rsid w:val="00CC7C23"/>
    <w:rsid w:val="00CC7C98"/>
    <w:rsid w:val="00CC7C9C"/>
    <w:rsid w:val="00CC7CA0"/>
    <w:rsid w:val="00CC7DB1"/>
    <w:rsid w:val="00CC7EED"/>
    <w:rsid w:val="00CD00F9"/>
    <w:rsid w:val="00CD010D"/>
    <w:rsid w:val="00CD01B8"/>
    <w:rsid w:val="00CD0441"/>
    <w:rsid w:val="00CD0593"/>
    <w:rsid w:val="00CD0622"/>
    <w:rsid w:val="00CD0698"/>
    <w:rsid w:val="00CD06E5"/>
    <w:rsid w:val="00CD0710"/>
    <w:rsid w:val="00CD0730"/>
    <w:rsid w:val="00CD0788"/>
    <w:rsid w:val="00CD0917"/>
    <w:rsid w:val="00CD0929"/>
    <w:rsid w:val="00CD0A26"/>
    <w:rsid w:val="00CD0B16"/>
    <w:rsid w:val="00CD0B33"/>
    <w:rsid w:val="00CD0B8B"/>
    <w:rsid w:val="00CD0CDE"/>
    <w:rsid w:val="00CD0D71"/>
    <w:rsid w:val="00CD0E0B"/>
    <w:rsid w:val="00CD0E6E"/>
    <w:rsid w:val="00CD0F23"/>
    <w:rsid w:val="00CD0F3D"/>
    <w:rsid w:val="00CD0F7A"/>
    <w:rsid w:val="00CD0FFF"/>
    <w:rsid w:val="00CD114F"/>
    <w:rsid w:val="00CD11BD"/>
    <w:rsid w:val="00CD123B"/>
    <w:rsid w:val="00CD1257"/>
    <w:rsid w:val="00CD1392"/>
    <w:rsid w:val="00CD147E"/>
    <w:rsid w:val="00CD14C6"/>
    <w:rsid w:val="00CD15EE"/>
    <w:rsid w:val="00CD163B"/>
    <w:rsid w:val="00CD1649"/>
    <w:rsid w:val="00CD16EC"/>
    <w:rsid w:val="00CD1734"/>
    <w:rsid w:val="00CD17DF"/>
    <w:rsid w:val="00CD17EF"/>
    <w:rsid w:val="00CD1908"/>
    <w:rsid w:val="00CD1931"/>
    <w:rsid w:val="00CD1992"/>
    <w:rsid w:val="00CD1AB5"/>
    <w:rsid w:val="00CD1B08"/>
    <w:rsid w:val="00CD1C9C"/>
    <w:rsid w:val="00CD1DCE"/>
    <w:rsid w:val="00CD1DEF"/>
    <w:rsid w:val="00CD1E13"/>
    <w:rsid w:val="00CD1E18"/>
    <w:rsid w:val="00CD1E3B"/>
    <w:rsid w:val="00CD1EB4"/>
    <w:rsid w:val="00CD1F86"/>
    <w:rsid w:val="00CD2054"/>
    <w:rsid w:val="00CD21B7"/>
    <w:rsid w:val="00CD2217"/>
    <w:rsid w:val="00CD22C7"/>
    <w:rsid w:val="00CD24E5"/>
    <w:rsid w:val="00CD2567"/>
    <w:rsid w:val="00CD269C"/>
    <w:rsid w:val="00CD275B"/>
    <w:rsid w:val="00CD27B4"/>
    <w:rsid w:val="00CD2983"/>
    <w:rsid w:val="00CD2999"/>
    <w:rsid w:val="00CD29F1"/>
    <w:rsid w:val="00CD2AA8"/>
    <w:rsid w:val="00CD2B70"/>
    <w:rsid w:val="00CD2B81"/>
    <w:rsid w:val="00CD2C76"/>
    <w:rsid w:val="00CD2C98"/>
    <w:rsid w:val="00CD2CEC"/>
    <w:rsid w:val="00CD2F0F"/>
    <w:rsid w:val="00CD2F1C"/>
    <w:rsid w:val="00CD2F39"/>
    <w:rsid w:val="00CD2F3F"/>
    <w:rsid w:val="00CD2F64"/>
    <w:rsid w:val="00CD307C"/>
    <w:rsid w:val="00CD31B9"/>
    <w:rsid w:val="00CD31F2"/>
    <w:rsid w:val="00CD3291"/>
    <w:rsid w:val="00CD3496"/>
    <w:rsid w:val="00CD34ED"/>
    <w:rsid w:val="00CD360C"/>
    <w:rsid w:val="00CD365A"/>
    <w:rsid w:val="00CD3688"/>
    <w:rsid w:val="00CD36C7"/>
    <w:rsid w:val="00CD3754"/>
    <w:rsid w:val="00CD3A05"/>
    <w:rsid w:val="00CD3AAB"/>
    <w:rsid w:val="00CD3B54"/>
    <w:rsid w:val="00CD3B55"/>
    <w:rsid w:val="00CD3C9D"/>
    <w:rsid w:val="00CD3D03"/>
    <w:rsid w:val="00CD3EC7"/>
    <w:rsid w:val="00CD4183"/>
    <w:rsid w:val="00CD41CC"/>
    <w:rsid w:val="00CD42CD"/>
    <w:rsid w:val="00CD4328"/>
    <w:rsid w:val="00CD4521"/>
    <w:rsid w:val="00CD45C3"/>
    <w:rsid w:val="00CD493B"/>
    <w:rsid w:val="00CD4978"/>
    <w:rsid w:val="00CD4A52"/>
    <w:rsid w:val="00CD4ADA"/>
    <w:rsid w:val="00CD4B5C"/>
    <w:rsid w:val="00CD4EBA"/>
    <w:rsid w:val="00CD4EC2"/>
    <w:rsid w:val="00CD4F16"/>
    <w:rsid w:val="00CD513A"/>
    <w:rsid w:val="00CD51B8"/>
    <w:rsid w:val="00CD5331"/>
    <w:rsid w:val="00CD55DE"/>
    <w:rsid w:val="00CD57A9"/>
    <w:rsid w:val="00CD57D5"/>
    <w:rsid w:val="00CD57F9"/>
    <w:rsid w:val="00CD59F6"/>
    <w:rsid w:val="00CD5C6F"/>
    <w:rsid w:val="00CD5D58"/>
    <w:rsid w:val="00CD5E2D"/>
    <w:rsid w:val="00CD5E93"/>
    <w:rsid w:val="00CD5F44"/>
    <w:rsid w:val="00CD5F82"/>
    <w:rsid w:val="00CD603F"/>
    <w:rsid w:val="00CD6198"/>
    <w:rsid w:val="00CD647E"/>
    <w:rsid w:val="00CD64B7"/>
    <w:rsid w:val="00CD6524"/>
    <w:rsid w:val="00CD652F"/>
    <w:rsid w:val="00CD65A6"/>
    <w:rsid w:val="00CD65CD"/>
    <w:rsid w:val="00CD6609"/>
    <w:rsid w:val="00CD6666"/>
    <w:rsid w:val="00CD676D"/>
    <w:rsid w:val="00CD68BE"/>
    <w:rsid w:val="00CD68D5"/>
    <w:rsid w:val="00CD6957"/>
    <w:rsid w:val="00CD6B70"/>
    <w:rsid w:val="00CD6BCD"/>
    <w:rsid w:val="00CD6CC0"/>
    <w:rsid w:val="00CD6CF1"/>
    <w:rsid w:val="00CD6D31"/>
    <w:rsid w:val="00CD6D5E"/>
    <w:rsid w:val="00CD6D74"/>
    <w:rsid w:val="00CD6D9A"/>
    <w:rsid w:val="00CD6DBF"/>
    <w:rsid w:val="00CD6EEA"/>
    <w:rsid w:val="00CD6FA8"/>
    <w:rsid w:val="00CD6FBF"/>
    <w:rsid w:val="00CD705A"/>
    <w:rsid w:val="00CD70BF"/>
    <w:rsid w:val="00CD7136"/>
    <w:rsid w:val="00CD7208"/>
    <w:rsid w:val="00CD7211"/>
    <w:rsid w:val="00CD7213"/>
    <w:rsid w:val="00CD7224"/>
    <w:rsid w:val="00CD7226"/>
    <w:rsid w:val="00CD723E"/>
    <w:rsid w:val="00CD726F"/>
    <w:rsid w:val="00CD7516"/>
    <w:rsid w:val="00CD7536"/>
    <w:rsid w:val="00CD75C0"/>
    <w:rsid w:val="00CD7789"/>
    <w:rsid w:val="00CD7811"/>
    <w:rsid w:val="00CD794A"/>
    <w:rsid w:val="00CD79DE"/>
    <w:rsid w:val="00CD7A1F"/>
    <w:rsid w:val="00CD7A47"/>
    <w:rsid w:val="00CD7B77"/>
    <w:rsid w:val="00CD7C24"/>
    <w:rsid w:val="00CD7C86"/>
    <w:rsid w:val="00CD7CA0"/>
    <w:rsid w:val="00CD7DB1"/>
    <w:rsid w:val="00CD7DCA"/>
    <w:rsid w:val="00CD7E25"/>
    <w:rsid w:val="00CD7F46"/>
    <w:rsid w:val="00CE0040"/>
    <w:rsid w:val="00CE0062"/>
    <w:rsid w:val="00CE0108"/>
    <w:rsid w:val="00CE0200"/>
    <w:rsid w:val="00CE020D"/>
    <w:rsid w:val="00CE028F"/>
    <w:rsid w:val="00CE03B3"/>
    <w:rsid w:val="00CE04FB"/>
    <w:rsid w:val="00CE0579"/>
    <w:rsid w:val="00CE071B"/>
    <w:rsid w:val="00CE07AD"/>
    <w:rsid w:val="00CE07EB"/>
    <w:rsid w:val="00CE0809"/>
    <w:rsid w:val="00CE083B"/>
    <w:rsid w:val="00CE0858"/>
    <w:rsid w:val="00CE08EA"/>
    <w:rsid w:val="00CE08FB"/>
    <w:rsid w:val="00CE0971"/>
    <w:rsid w:val="00CE09A5"/>
    <w:rsid w:val="00CE0AB9"/>
    <w:rsid w:val="00CE0B3C"/>
    <w:rsid w:val="00CE0C41"/>
    <w:rsid w:val="00CE0C5C"/>
    <w:rsid w:val="00CE0CCD"/>
    <w:rsid w:val="00CE0D1B"/>
    <w:rsid w:val="00CE0D5A"/>
    <w:rsid w:val="00CE0E3D"/>
    <w:rsid w:val="00CE0E5C"/>
    <w:rsid w:val="00CE0FB5"/>
    <w:rsid w:val="00CE1110"/>
    <w:rsid w:val="00CE11EF"/>
    <w:rsid w:val="00CE1293"/>
    <w:rsid w:val="00CE137C"/>
    <w:rsid w:val="00CE148C"/>
    <w:rsid w:val="00CE1546"/>
    <w:rsid w:val="00CE156E"/>
    <w:rsid w:val="00CE169B"/>
    <w:rsid w:val="00CE16D4"/>
    <w:rsid w:val="00CE1716"/>
    <w:rsid w:val="00CE17E6"/>
    <w:rsid w:val="00CE1801"/>
    <w:rsid w:val="00CE18B7"/>
    <w:rsid w:val="00CE18FC"/>
    <w:rsid w:val="00CE19B6"/>
    <w:rsid w:val="00CE1A7C"/>
    <w:rsid w:val="00CE1A8A"/>
    <w:rsid w:val="00CE1B14"/>
    <w:rsid w:val="00CE1C1C"/>
    <w:rsid w:val="00CE1DBC"/>
    <w:rsid w:val="00CE1EEE"/>
    <w:rsid w:val="00CE1F9A"/>
    <w:rsid w:val="00CE20FC"/>
    <w:rsid w:val="00CE2289"/>
    <w:rsid w:val="00CE22F4"/>
    <w:rsid w:val="00CE24CC"/>
    <w:rsid w:val="00CE251A"/>
    <w:rsid w:val="00CE2520"/>
    <w:rsid w:val="00CE253D"/>
    <w:rsid w:val="00CE2550"/>
    <w:rsid w:val="00CE2598"/>
    <w:rsid w:val="00CE286E"/>
    <w:rsid w:val="00CE29C5"/>
    <w:rsid w:val="00CE29D1"/>
    <w:rsid w:val="00CE2AC4"/>
    <w:rsid w:val="00CE2ACB"/>
    <w:rsid w:val="00CE2BF4"/>
    <w:rsid w:val="00CE2CEF"/>
    <w:rsid w:val="00CE2CFB"/>
    <w:rsid w:val="00CE2D3D"/>
    <w:rsid w:val="00CE2D3F"/>
    <w:rsid w:val="00CE2E9A"/>
    <w:rsid w:val="00CE2F9B"/>
    <w:rsid w:val="00CE307D"/>
    <w:rsid w:val="00CE3150"/>
    <w:rsid w:val="00CE31A8"/>
    <w:rsid w:val="00CE31BD"/>
    <w:rsid w:val="00CE324B"/>
    <w:rsid w:val="00CE324C"/>
    <w:rsid w:val="00CE3254"/>
    <w:rsid w:val="00CE32CF"/>
    <w:rsid w:val="00CE3312"/>
    <w:rsid w:val="00CE34F7"/>
    <w:rsid w:val="00CE35EC"/>
    <w:rsid w:val="00CE3630"/>
    <w:rsid w:val="00CE372C"/>
    <w:rsid w:val="00CE38C3"/>
    <w:rsid w:val="00CE39F2"/>
    <w:rsid w:val="00CE3B64"/>
    <w:rsid w:val="00CE3BBE"/>
    <w:rsid w:val="00CE3C5E"/>
    <w:rsid w:val="00CE3CCF"/>
    <w:rsid w:val="00CE3EFE"/>
    <w:rsid w:val="00CE40C9"/>
    <w:rsid w:val="00CE4165"/>
    <w:rsid w:val="00CE417D"/>
    <w:rsid w:val="00CE440A"/>
    <w:rsid w:val="00CE4481"/>
    <w:rsid w:val="00CE44BF"/>
    <w:rsid w:val="00CE4516"/>
    <w:rsid w:val="00CE45A4"/>
    <w:rsid w:val="00CE4779"/>
    <w:rsid w:val="00CE4CBD"/>
    <w:rsid w:val="00CE4CF1"/>
    <w:rsid w:val="00CE4F62"/>
    <w:rsid w:val="00CE5042"/>
    <w:rsid w:val="00CE50E6"/>
    <w:rsid w:val="00CE51B3"/>
    <w:rsid w:val="00CE520D"/>
    <w:rsid w:val="00CE5273"/>
    <w:rsid w:val="00CE539B"/>
    <w:rsid w:val="00CE540C"/>
    <w:rsid w:val="00CE54C5"/>
    <w:rsid w:val="00CE5776"/>
    <w:rsid w:val="00CE5826"/>
    <w:rsid w:val="00CE58C8"/>
    <w:rsid w:val="00CE58D0"/>
    <w:rsid w:val="00CE591C"/>
    <w:rsid w:val="00CE59D1"/>
    <w:rsid w:val="00CE59E4"/>
    <w:rsid w:val="00CE5C2F"/>
    <w:rsid w:val="00CE5D47"/>
    <w:rsid w:val="00CE5D96"/>
    <w:rsid w:val="00CE6067"/>
    <w:rsid w:val="00CE6134"/>
    <w:rsid w:val="00CE6241"/>
    <w:rsid w:val="00CE6243"/>
    <w:rsid w:val="00CE6248"/>
    <w:rsid w:val="00CE62AC"/>
    <w:rsid w:val="00CE62EA"/>
    <w:rsid w:val="00CE6307"/>
    <w:rsid w:val="00CE6333"/>
    <w:rsid w:val="00CE6349"/>
    <w:rsid w:val="00CE63F4"/>
    <w:rsid w:val="00CE640A"/>
    <w:rsid w:val="00CE6467"/>
    <w:rsid w:val="00CE6500"/>
    <w:rsid w:val="00CE6583"/>
    <w:rsid w:val="00CE660A"/>
    <w:rsid w:val="00CE66F3"/>
    <w:rsid w:val="00CE6783"/>
    <w:rsid w:val="00CE6AAC"/>
    <w:rsid w:val="00CE6B40"/>
    <w:rsid w:val="00CE6B97"/>
    <w:rsid w:val="00CE6C05"/>
    <w:rsid w:val="00CE6C47"/>
    <w:rsid w:val="00CE6CB7"/>
    <w:rsid w:val="00CE6D80"/>
    <w:rsid w:val="00CE6E35"/>
    <w:rsid w:val="00CE6F52"/>
    <w:rsid w:val="00CE6FFE"/>
    <w:rsid w:val="00CE701A"/>
    <w:rsid w:val="00CE702A"/>
    <w:rsid w:val="00CE717B"/>
    <w:rsid w:val="00CE71AE"/>
    <w:rsid w:val="00CE7286"/>
    <w:rsid w:val="00CE728D"/>
    <w:rsid w:val="00CE74A7"/>
    <w:rsid w:val="00CE751C"/>
    <w:rsid w:val="00CE76FC"/>
    <w:rsid w:val="00CE7938"/>
    <w:rsid w:val="00CE7998"/>
    <w:rsid w:val="00CE79FE"/>
    <w:rsid w:val="00CE7A2D"/>
    <w:rsid w:val="00CE7A69"/>
    <w:rsid w:val="00CE7AF4"/>
    <w:rsid w:val="00CE7BA0"/>
    <w:rsid w:val="00CE7BDD"/>
    <w:rsid w:val="00CE7BF7"/>
    <w:rsid w:val="00CE7C09"/>
    <w:rsid w:val="00CE7CE7"/>
    <w:rsid w:val="00CE7CF4"/>
    <w:rsid w:val="00CE7D69"/>
    <w:rsid w:val="00CE7E2F"/>
    <w:rsid w:val="00CE7F41"/>
    <w:rsid w:val="00CF00BA"/>
    <w:rsid w:val="00CF0102"/>
    <w:rsid w:val="00CF012A"/>
    <w:rsid w:val="00CF0197"/>
    <w:rsid w:val="00CF0383"/>
    <w:rsid w:val="00CF0428"/>
    <w:rsid w:val="00CF059A"/>
    <w:rsid w:val="00CF06C0"/>
    <w:rsid w:val="00CF0710"/>
    <w:rsid w:val="00CF0810"/>
    <w:rsid w:val="00CF0811"/>
    <w:rsid w:val="00CF083C"/>
    <w:rsid w:val="00CF08E9"/>
    <w:rsid w:val="00CF0A56"/>
    <w:rsid w:val="00CF0A5E"/>
    <w:rsid w:val="00CF0AD4"/>
    <w:rsid w:val="00CF0B44"/>
    <w:rsid w:val="00CF0BF1"/>
    <w:rsid w:val="00CF0C9B"/>
    <w:rsid w:val="00CF0D9F"/>
    <w:rsid w:val="00CF0E41"/>
    <w:rsid w:val="00CF0E4E"/>
    <w:rsid w:val="00CF0F34"/>
    <w:rsid w:val="00CF0F76"/>
    <w:rsid w:val="00CF103C"/>
    <w:rsid w:val="00CF111C"/>
    <w:rsid w:val="00CF111D"/>
    <w:rsid w:val="00CF1257"/>
    <w:rsid w:val="00CF12B7"/>
    <w:rsid w:val="00CF13AB"/>
    <w:rsid w:val="00CF1415"/>
    <w:rsid w:val="00CF1475"/>
    <w:rsid w:val="00CF15D2"/>
    <w:rsid w:val="00CF15DD"/>
    <w:rsid w:val="00CF16C1"/>
    <w:rsid w:val="00CF1BD1"/>
    <w:rsid w:val="00CF1C46"/>
    <w:rsid w:val="00CF1C79"/>
    <w:rsid w:val="00CF1D94"/>
    <w:rsid w:val="00CF1DBE"/>
    <w:rsid w:val="00CF1E27"/>
    <w:rsid w:val="00CF1F8D"/>
    <w:rsid w:val="00CF20E9"/>
    <w:rsid w:val="00CF217F"/>
    <w:rsid w:val="00CF21E9"/>
    <w:rsid w:val="00CF2323"/>
    <w:rsid w:val="00CF2432"/>
    <w:rsid w:val="00CF2547"/>
    <w:rsid w:val="00CF25C6"/>
    <w:rsid w:val="00CF267C"/>
    <w:rsid w:val="00CF26FB"/>
    <w:rsid w:val="00CF2819"/>
    <w:rsid w:val="00CF289C"/>
    <w:rsid w:val="00CF29EA"/>
    <w:rsid w:val="00CF2AA8"/>
    <w:rsid w:val="00CF2C49"/>
    <w:rsid w:val="00CF2CBD"/>
    <w:rsid w:val="00CF2CCB"/>
    <w:rsid w:val="00CF2DE0"/>
    <w:rsid w:val="00CF2F4F"/>
    <w:rsid w:val="00CF321D"/>
    <w:rsid w:val="00CF325D"/>
    <w:rsid w:val="00CF326E"/>
    <w:rsid w:val="00CF345D"/>
    <w:rsid w:val="00CF370E"/>
    <w:rsid w:val="00CF3769"/>
    <w:rsid w:val="00CF3874"/>
    <w:rsid w:val="00CF39FE"/>
    <w:rsid w:val="00CF3BDC"/>
    <w:rsid w:val="00CF3D5A"/>
    <w:rsid w:val="00CF3E34"/>
    <w:rsid w:val="00CF3E57"/>
    <w:rsid w:val="00CF400E"/>
    <w:rsid w:val="00CF4280"/>
    <w:rsid w:val="00CF42D8"/>
    <w:rsid w:val="00CF42FB"/>
    <w:rsid w:val="00CF4340"/>
    <w:rsid w:val="00CF4432"/>
    <w:rsid w:val="00CF459B"/>
    <w:rsid w:val="00CF460D"/>
    <w:rsid w:val="00CF462B"/>
    <w:rsid w:val="00CF4642"/>
    <w:rsid w:val="00CF46B5"/>
    <w:rsid w:val="00CF479E"/>
    <w:rsid w:val="00CF488C"/>
    <w:rsid w:val="00CF48D7"/>
    <w:rsid w:val="00CF48E0"/>
    <w:rsid w:val="00CF49B0"/>
    <w:rsid w:val="00CF49BF"/>
    <w:rsid w:val="00CF4B93"/>
    <w:rsid w:val="00CF4CC8"/>
    <w:rsid w:val="00CF4E8D"/>
    <w:rsid w:val="00CF5212"/>
    <w:rsid w:val="00CF521C"/>
    <w:rsid w:val="00CF527D"/>
    <w:rsid w:val="00CF547C"/>
    <w:rsid w:val="00CF5500"/>
    <w:rsid w:val="00CF55B5"/>
    <w:rsid w:val="00CF55C2"/>
    <w:rsid w:val="00CF55F0"/>
    <w:rsid w:val="00CF5615"/>
    <w:rsid w:val="00CF5666"/>
    <w:rsid w:val="00CF57DD"/>
    <w:rsid w:val="00CF5A38"/>
    <w:rsid w:val="00CF5BE8"/>
    <w:rsid w:val="00CF5C20"/>
    <w:rsid w:val="00CF5CD0"/>
    <w:rsid w:val="00CF5F06"/>
    <w:rsid w:val="00CF5F4D"/>
    <w:rsid w:val="00CF5F50"/>
    <w:rsid w:val="00CF61A1"/>
    <w:rsid w:val="00CF6235"/>
    <w:rsid w:val="00CF6294"/>
    <w:rsid w:val="00CF62A0"/>
    <w:rsid w:val="00CF63B3"/>
    <w:rsid w:val="00CF643F"/>
    <w:rsid w:val="00CF651D"/>
    <w:rsid w:val="00CF66A0"/>
    <w:rsid w:val="00CF66FC"/>
    <w:rsid w:val="00CF6876"/>
    <w:rsid w:val="00CF688E"/>
    <w:rsid w:val="00CF68D6"/>
    <w:rsid w:val="00CF6925"/>
    <w:rsid w:val="00CF6BA1"/>
    <w:rsid w:val="00CF6C3F"/>
    <w:rsid w:val="00CF6EBF"/>
    <w:rsid w:val="00CF6F57"/>
    <w:rsid w:val="00CF6FC8"/>
    <w:rsid w:val="00CF70C8"/>
    <w:rsid w:val="00CF7139"/>
    <w:rsid w:val="00CF71FD"/>
    <w:rsid w:val="00CF72A0"/>
    <w:rsid w:val="00CF7350"/>
    <w:rsid w:val="00CF73D5"/>
    <w:rsid w:val="00CF749D"/>
    <w:rsid w:val="00CF75FD"/>
    <w:rsid w:val="00CF796B"/>
    <w:rsid w:val="00CF7C7C"/>
    <w:rsid w:val="00CF7EE3"/>
    <w:rsid w:val="00CF7FF0"/>
    <w:rsid w:val="00D0025C"/>
    <w:rsid w:val="00D002AD"/>
    <w:rsid w:val="00D00307"/>
    <w:rsid w:val="00D00358"/>
    <w:rsid w:val="00D00455"/>
    <w:rsid w:val="00D004E4"/>
    <w:rsid w:val="00D00510"/>
    <w:rsid w:val="00D00680"/>
    <w:rsid w:val="00D00719"/>
    <w:rsid w:val="00D008EC"/>
    <w:rsid w:val="00D008F8"/>
    <w:rsid w:val="00D00916"/>
    <w:rsid w:val="00D009A4"/>
    <w:rsid w:val="00D009F9"/>
    <w:rsid w:val="00D00E82"/>
    <w:rsid w:val="00D00F55"/>
    <w:rsid w:val="00D00F69"/>
    <w:rsid w:val="00D01249"/>
    <w:rsid w:val="00D013A2"/>
    <w:rsid w:val="00D0154E"/>
    <w:rsid w:val="00D01556"/>
    <w:rsid w:val="00D0159B"/>
    <w:rsid w:val="00D015F0"/>
    <w:rsid w:val="00D01740"/>
    <w:rsid w:val="00D01A2D"/>
    <w:rsid w:val="00D01A57"/>
    <w:rsid w:val="00D01B1C"/>
    <w:rsid w:val="00D01C3D"/>
    <w:rsid w:val="00D01C9C"/>
    <w:rsid w:val="00D01CA2"/>
    <w:rsid w:val="00D01D30"/>
    <w:rsid w:val="00D01D47"/>
    <w:rsid w:val="00D01EB2"/>
    <w:rsid w:val="00D01EDA"/>
    <w:rsid w:val="00D01F3E"/>
    <w:rsid w:val="00D01F8F"/>
    <w:rsid w:val="00D02007"/>
    <w:rsid w:val="00D0216F"/>
    <w:rsid w:val="00D0217C"/>
    <w:rsid w:val="00D0219C"/>
    <w:rsid w:val="00D02262"/>
    <w:rsid w:val="00D02271"/>
    <w:rsid w:val="00D022B5"/>
    <w:rsid w:val="00D023B8"/>
    <w:rsid w:val="00D024AC"/>
    <w:rsid w:val="00D024E8"/>
    <w:rsid w:val="00D025BB"/>
    <w:rsid w:val="00D026A4"/>
    <w:rsid w:val="00D0274E"/>
    <w:rsid w:val="00D0277A"/>
    <w:rsid w:val="00D02859"/>
    <w:rsid w:val="00D028DE"/>
    <w:rsid w:val="00D02A30"/>
    <w:rsid w:val="00D02AA2"/>
    <w:rsid w:val="00D02B4C"/>
    <w:rsid w:val="00D02BB4"/>
    <w:rsid w:val="00D02C01"/>
    <w:rsid w:val="00D02C50"/>
    <w:rsid w:val="00D02C70"/>
    <w:rsid w:val="00D02CD9"/>
    <w:rsid w:val="00D02CFD"/>
    <w:rsid w:val="00D02D10"/>
    <w:rsid w:val="00D02D59"/>
    <w:rsid w:val="00D02E55"/>
    <w:rsid w:val="00D02E71"/>
    <w:rsid w:val="00D02EEA"/>
    <w:rsid w:val="00D02F43"/>
    <w:rsid w:val="00D030B0"/>
    <w:rsid w:val="00D030FC"/>
    <w:rsid w:val="00D03129"/>
    <w:rsid w:val="00D032AF"/>
    <w:rsid w:val="00D033CD"/>
    <w:rsid w:val="00D03526"/>
    <w:rsid w:val="00D0353D"/>
    <w:rsid w:val="00D036BB"/>
    <w:rsid w:val="00D0380E"/>
    <w:rsid w:val="00D0387A"/>
    <w:rsid w:val="00D03896"/>
    <w:rsid w:val="00D038E0"/>
    <w:rsid w:val="00D039B3"/>
    <w:rsid w:val="00D03B27"/>
    <w:rsid w:val="00D03BB7"/>
    <w:rsid w:val="00D03CAE"/>
    <w:rsid w:val="00D03CB8"/>
    <w:rsid w:val="00D03D4E"/>
    <w:rsid w:val="00D03D57"/>
    <w:rsid w:val="00D03FE0"/>
    <w:rsid w:val="00D040BF"/>
    <w:rsid w:val="00D041DA"/>
    <w:rsid w:val="00D041F8"/>
    <w:rsid w:val="00D0432C"/>
    <w:rsid w:val="00D04337"/>
    <w:rsid w:val="00D0436D"/>
    <w:rsid w:val="00D043BC"/>
    <w:rsid w:val="00D04568"/>
    <w:rsid w:val="00D045E6"/>
    <w:rsid w:val="00D046AA"/>
    <w:rsid w:val="00D046BA"/>
    <w:rsid w:val="00D046CC"/>
    <w:rsid w:val="00D04827"/>
    <w:rsid w:val="00D04831"/>
    <w:rsid w:val="00D04A96"/>
    <w:rsid w:val="00D04AB9"/>
    <w:rsid w:val="00D04B37"/>
    <w:rsid w:val="00D04D8A"/>
    <w:rsid w:val="00D04EE6"/>
    <w:rsid w:val="00D05072"/>
    <w:rsid w:val="00D05148"/>
    <w:rsid w:val="00D052DD"/>
    <w:rsid w:val="00D0530D"/>
    <w:rsid w:val="00D053C2"/>
    <w:rsid w:val="00D05430"/>
    <w:rsid w:val="00D0565C"/>
    <w:rsid w:val="00D05707"/>
    <w:rsid w:val="00D0572B"/>
    <w:rsid w:val="00D05789"/>
    <w:rsid w:val="00D05820"/>
    <w:rsid w:val="00D0582A"/>
    <w:rsid w:val="00D058B8"/>
    <w:rsid w:val="00D0596F"/>
    <w:rsid w:val="00D05B98"/>
    <w:rsid w:val="00D05C43"/>
    <w:rsid w:val="00D05DD4"/>
    <w:rsid w:val="00D05F28"/>
    <w:rsid w:val="00D05F49"/>
    <w:rsid w:val="00D060B1"/>
    <w:rsid w:val="00D060F9"/>
    <w:rsid w:val="00D061AE"/>
    <w:rsid w:val="00D062AC"/>
    <w:rsid w:val="00D0637B"/>
    <w:rsid w:val="00D06409"/>
    <w:rsid w:val="00D0645A"/>
    <w:rsid w:val="00D06491"/>
    <w:rsid w:val="00D065B9"/>
    <w:rsid w:val="00D0685B"/>
    <w:rsid w:val="00D0689D"/>
    <w:rsid w:val="00D068C2"/>
    <w:rsid w:val="00D0699C"/>
    <w:rsid w:val="00D06A2B"/>
    <w:rsid w:val="00D06AA1"/>
    <w:rsid w:val="00D06AE5"/>
    <w:rsid w:val="00D06B2D"/>
    <w:rsid w:val="00D06B51"/>
    <w:rsid w:val="00D06BE3"/>
    <w:rsid w:val="00D06DDD"/>
    <w:rsid w:val="00D06EB7"/>
    <w:rsid w:val="00D06F77"/>
    <w:rsid w:val="00D06F9B"/>
    <w:rsid w:val="00D070E7"/>
    <w:rsid w:val="00D0713E"/>
    <w:rsid w:val="00D07299"/>
    <w:rsid w:val="00D072C1"/>
    <w:rsid w:val="00D0741D"/>
    <w:rsid w:val="00D07489"/>
    <w:rsid w:val="00D0771B"/>
    <w:rsid w:val="00D07727"/>
    <w:rsid w:val="00D07834"/>
    <w:rsid w:val="00D07A0A"/>
    <w:rsid w:val="00D07CB5"/>
    <w:rsid w:val="00D07CE1"/>
    <w:rsid w:val="00D07F7B"/>
    <w:rsid w:val="00D07F80"/>
    <w:rsid w:val="00D07FB7"/>
    <w:rsid w:val="00D07FF4"/>
    <w:rsid w:val="00D1001F"/>
    <w:rsid w:val="00D10084"/>
    <w:rsid w:val="00D100B2"/>
    <w:rsid w:val="00D10189"/>
    <w:rsid w:val="00D1021B"/>
    <w:rsid w:val="00D10252"/>
    <w:rsid w:val="00D103F3"/>
    <w:rsid w:val="00D103F4"/>
    <w:rsid w:val="00D105FA"/>
    <w:rsid w:val="00D1069B"/>
    <w:rsid w:val="00D1085A"/>
    <w:rsid w:val="00D10877"/>
    <w:rsid w:val="00D109EF"/>
    <w:rsid w:val="00D10BAF"/>
    <w:rsid w:val="00D10BDB"/>
    <w:rsid w:val="00D10C76"/>
    <w:rsid w:val="00D10CF8"/>
    <w:rsid w:val="00D10D16"/>
    <w:rsid w:val="00D10E9C"/>
    <w:rsid w:val="00D10EB3"/>
    <w:rsid w:val="00D1123F"/>
    <w:rsid w:val="00D11316"/>
    <w:rsid w:val="00D11387"/>
    <w:rsid w:val="00D113FF"/>
    <w:rsid w:val="00D1140E"/>
    <w:rsid w:val="00D11516"/>
    <w:rsid w:val="00D11646"/>
    <w:rsid w:val="00D11696"/>
    <w:rsid w:val="00D11781"/>
    <w:rsid w:val="00D118CC"/>
    <w:rsid w:val="00D118D1"/>
    <w:rsid w:val="00D11993"/>
    <w:rsid w:val="00D11B12"/>
    <w:rsid w:val="00D11BC4"/>
    <w:rsid w:val="00D11CCA"/>
    <w:rsid w:val="00D11E44"/>
    <w:rsid w:val="00D11E6C"/>
    <w:rsid w:val="00D11FF6"/>
    <w:rsid w:val="00D12045"/>
    <w:rsid w:val="00D1208A"/>
    <w:rsid w:val="00D120F3"/>
    <w:rsid w:val="00D12118"/>
    <w:rsid w:val="00D1215A"/>
    <w:rsid w:val="00D1221E"/>
    <w:rsid w:val="00D122E1"/>
    <w:rsid w:val="00D123CE"/>
    <w:rsid w:val="00D1252E"/>
    <w:rsid w:val="00D1253B"/>
    <w:rsid w:val="00D12645"/>
    <w:rsid w:val="00D127A7"/>
    <w:rsid w:val="00D12996"/>
    <w:rsid w:val="00D12CA3"/>
    <w:rsid w:val="00D12CE2"/>
    <w:rsid w:val="00D12DC5"/>
    <w:rsid w:val="00D12E59"/>
    <w:rsid w:val="00D1303E"/>
    <w:rsid w:val="00D1328E"/>
    <w:rsid w:val="00D1335E"/>
    <w:rsid w:val="00D13490"/>
    <w:rsid w:val="00D1352C"/>
    <w:rsid w:val="00D1358B"/>
    <w:rsid w:val="00D137D5"/>
    <w:rsid w:val="00D137E1"/>
    <w:rsid w:val="00D13BC4"/>
    <w:rsid w:val="00D13CB6"/>
    <w:rsid w:val="00D13DE9"/>
    <w:rsid w:val="00D13E3D"/>
    <w:rsid w:val="00D13F85"/>
    <w:rsid w:val="00D1401C"/>
    <w:rsid w:val="00D1410D"/>
    <w:rsid w:val="00D142E4"/>
    <w:rsid w:val="00D14313"/>
    <w:rsid w:val="00D14337"/>
    <w:rsid w:val="00D1440E"/>
    <w:rsid w:val="00D145FD"/>
    <w:rsid w:val="00D14603"/>
    <w:rsid w:val="00D14738"/>
    <w:rsid w:val="00D147F8"/>
    <w:rsid w:val="00D14911"/>
    <w:rsid w:val="00D14B3A"/>
    <w:rsid w:val="00D14C2C"/>
    <w:rsid w:val="00D14D17"/>
    <w:rsid w:val="00D14DF8"/>
    <w:rsid w:val="00D1506C"/>
    <w:rsid w:val="00D151B4"/>
    <w:rsid w:val="00D151E9"/>
    <w:rsid w:val="00D151FF"/>
    <w:rsid w:val="00D15286"/>
    <w:rsid w:val="00D15331"/>
    <w:rsid w:val="00D15356"/>
    <w:rsid w:val="00D1547D"/>
    <w:rsid w:val="00D1552B"/>
    <w:rsid w:val="00D156F1"/>
    <w:rsid w:val="00D15854"/>
    <w:rsid w:val="00D15887"/>
    <w:rsid w:val="00D15957"/>
    <w:rsid w:val="00D15992"/>
    <w:rsid w:val="00D15A33"/>
    <w:rsid w:val="00D15CC3"/>
    <w:rsid w:val="00D15CD7"/>
    <w:rsid w:val="00D15D5D"/>
    <w:rsid w:val="00D15DA9"/>
    <w:rsid w:val="00D15DBC"/>
    <w:rsid w:val="00D15E43"/>
    <w:rsid w:val="00D15FBA"/>
    <w:rsid w:val="00D160EE"/>
    <w:rsid w:val="00D160F4"/>
    <w:rsid w:val="00D1616E"/>
    <w:rsid w:val="00D161C6"/>
    <w:rsid w:val="00D161DB"/>
    <w:rsid w:val="00D162B8"/>
    <w:rsid w:val="00D162BF"/>
    <w:rsid w:val="00D1631E"/>
    <w:rsid w:val="00D16351"/>
    <w:rsid w:val="00D163EF"/>
    <w:rsid w:val="00D163FC"/>
    <w:rsid w:val="00D164FF"/>
    <w:rsid w:val="00D165F2"/>
    <w:rsid w:val="00D16606"/>
    <w:rsid w:val="00D16664"/>
    <w:rsid w:val="00D16874"/>
    <w:rsid w:val="00D1695C"/>
    <w:rsid w:val="00D16A61"/>
    <w:rsid w:val="00D16BD9"/>
    <w:rsid w:val="00D16C1B"/>
    <w:rsid w:val="00D16C81"/>
    <w:rsid w:val="00D16DC3"/>
    <w:rsid w:val="00D16DD5"/>
    <w:rsid w:val="00D16FC6"/>
    <w:rsid w:val="00D16FD3"/>
    <w:rsid w:val="00D1700B"/>
    <w:rsid w:val="00D1704A"/>
    <w:rsid w:val="00D172C0"/>
    <w:rsid w:val="00D172C1"/>
    <w:rsid w:val="00D172D0"/>
    <w:rsid w:val="00D1753E"/>
    <w:rsid w:val="00D175BD"/>
    <w:rsid w:val="00D17630"/>
    <w:rsid w:val="00D17722"/>
    <w:rsid w:val="00D17AA1"/>
    <w:rsid w:val="00D17BAE"/>
    <w:rsid w:val="00D17C50"/>
    <w:rsid w:val="00D17FF7"/>
    <w:rsid w:val="00D20261"/>
    <w:rsid w:val="00D20270"/>
    <w:rsid w:val="00D202E9"/>
    <w:rsid w:val="00D2032F"/>
    <w:rsid w:val="00D20475"/>
    <w:rsid w:val="00D204DA"/>
    <w:rsid w:val="00D20696"/>
    <w:rsid w:val="00D20719"/>
    <w:rsid w:val="00D2074F"/>
    <w:rsid w:val="00D207E5"/>
    <w:rsid w:val="00D20835"/>
    <w:rsid w:val="00D20885"/>
    <w:rsid w:val="00D2099E"/>
    <w:rsid w:val="00D20A35"/>
    <w:rsid w:val="00D20A56"/>
    <w:rsid w:val="00D20F0B"/>
    <w:rsid w:val="00D20F67"/>
    <w:rsid w:val="00D210C4"/>
    <w:rsid w:val="00D21102"/>
    <w:rsid w:val="00D2117B"/>
    <w:rsid w:val="00D212B5"/>
    <w:rsid w:val="00D21323"/>
    <w:rsid w:val="00D21329"/>
    <w:rsid w:val="00D2141E"/>
    <w:rsid w:val="00D2145B"/>
    <w:rsid w:val="00D215A5"/>
    <w:rsid w:val="00D215D7"/>
    <w:rsid w:val="00D215E8"/>
    <w:rsid w:val="00D21661"/>
    <w:rsid w:val="00D216F9"/>
    <w:rsid w:val="00D21736"/>
    <w:rsid w:val="00D2174F"/>
    <w:rsid w:val="00D21784"/>
    <w:rsid w:val="00D218B2"/>
    <w:rsid w:val="00D218EF"/>
    <w:rsid w:val="00D2192C"/>
    <w:rsid w:val="00D2199B"/>
    <w:rsid w:val="00D21B04"/>
    <w:rsid w:val="00D21BFA"/>
    <w:rsid w:val="00D21DD4"/>
    <w:rsid w:val="00D21DE5"/>
    <w:rsid w:val="00D21E09"/>
    <w:rsid w:val="00D21EB0"/>
    <w:rsid w:val="00D21EFE"/>
    <w:rsid w:val="00D220C1"/>
    <w:rsid w:val="00D22210"/>
    <w:rsid w:val="00D22353"/>
    <w:rsid w:val="00D22391"/>
    <w:rsid w:val="00D22430"/>
    <w:rsid w:val="00D2269F"/>
    <w:rsid w:val="00D22727"/>
    <w:rsid w:val="00D22770"/>
    <w:rsid w:val="00D227EA"/>
    <w:rsid w:val="00D227EF"/>
    <w:rsid w:val="00D2282E"/>
    <w:rsid w:val="00D228BE"/>
    <w:rsid w:val="00D22966"/>
    <w:rsid w:val="00D22B85"/>
    <w:rsid w:val="00D22CC2"/>
    <w:rsid w:val="00D22DB9"/>
    <w:rsid w:val="00D22F8C"/>
    <w:rsid w:val="00D22FAB"/>
    <w:rsid w:val="00D2341B"/>
    <w:rsid w:val="00D234CC"/>
    <w:rsid w:val="00D23698"/>
    <w:rsid w:val="00D236FA"/>
    <w:rsid w:val="00D238B5"/>
    <w:rsid w:val="00D2390C"/>
    <w:rsid w:val="00D239F9"/>
    <w:rsid w:val="00D23B11"/>
    <w:rsid w:val="00D23B30"/>
    <w:rsid w:val="00D23B57"/>
    <w:rsid w:val="00D23C91"/>
    <w:rsid w:val="00D23DC0"/>
    <w:rsid w:val="00D23E30"/>
    <w:rsid w:val="00D23FBF"/>
    <w:rsid w:val="00D23FE2"/>
    <w:rsid w:val="00D241EF"/>
    <w:rsid w:val="00D242CA"/>
    <w:rsid w:val="00D2444B"/>
    <w:rsid w:val="00D246CB"/>
    <w:rsid w:val="00D246D7"/>
    <w:rsid w:val="00D246EB"/>
    <w:rsid w:val="00D247A0"/>
    <w:rsid w:val="00D2499D"/>
    <w:rsid w:val="00D24A7F"/>
    <w:rsid w:val="00D24ABF"/>
    <w:rsid w:val="00D24B11"/>
    <w:rsid w:val="00D24B90"/>
    <w:rsid w:val="00D24D50"/>
    <w:rsid w:val="00D24DC2"/>
    <w:rsid w:val="00D24F8C"/>
    <w:rsid w:val="00D25350"/>
    <w:rsid w:val="00D2537F"/>
    <w:rsid w:val="00D253F0"/>
    <w:rsid w:val="00D2543B"/>
    <w:rsid w:val="00D255B5"/>
    <w:rsid w:val="00D2570B"/>
    <w:rsid w:val="00D25715"/>
    <w:rsid w:val="00D25751"/>
    <w:rsid w:val="00D257B9"/>
    <w:rsid w:val="00D25802"/>
    <w:rsid w:val="00D2596A"/>
    <w:rsid w:val="00D259D0"/>
    <w:rsid w:val="00D25AD1"/>
    <w:rsid w:val="00D25C66"/>
    <w:rsid w:val="00D25C7F"/>
    <w:rsid w:val="00D25C80"/>
    <w:rsid w:val="00D25D8E"/>
    <w:rsid w:val="00D25F53"/>
    <w:rsid w:val="00D25F97"/>
    <w:rsid w:val="00D25FC8"/>
    <w:rsid w:val="00D2608D"/>
    <w:rsid w:val="00D26156"/>
    <w:rsid w:val="00D262BD"/>
    <w:rsid w:val="00D26597"/>
    <w:rsid w:val="00D26662"/>
    <w:rsid w:val="00D26A3F"/>
    <w:rsid w:val="00D26A4B"/>
    <w:rsid w:val="00D26A56"/>
    <w:rsid w:val="00D26B3B"/>
    <w:rsid w:val="00D26CD1"/>
    <w:rsid w:val="00D26D4C"/>
    <w:rsid w:val="00D26D5C"/>
    <w:rsid w:val="00D26D77"/>
    <w:rsid w:val="00D26E38"/>
    <w:rsid w:val="00D26E43"/>
    <w:rsid w:val="00D26F03"/>
    <w:rsid w:val="00D26FA0"/>
    <w:rsid w:val="00D270BE"/>
    <w:rsid w:val="00D271C0"/>
    <w:rsid w:val="00D27233"/>
    <w:rsid w:val="00D273E6"/>
    <w:rsid w:val="00D27429"/>
    <w:rsid w:val="00D274CA"/>
    <w:rsid w:val="00D27569"/>
    <w:rsid w:val="00D275C0"/>
    <w:rsid w:val="00D2766F"/>
    <w:rsid w:val="00D27685"/>
    <w:rsid w:val="00D27702"/>
    <w:rsid w:val="00D27932"/>
    <w:rsid w:val="00D27A2D"/>
    <w:rsid w:val="00D27B78"/>
    <w:rsid w:val="00D27C74"/>
    <w:rsid w:val="00D27DA3"/>
    <w:rsid w:val="00D27E3F"/>
    <w:rsid w:val="00D27F3D"/>
    <w:rsid w:val="00D30137"/>
    <w:rsid w:val="00D301AA"/>
    <w:rsid w:val="00D301E4"/>
    <w:rsid w:val="00D30217"/>
    <w:rsid w:val="00D30257"/>
    <w:rsid w:val="00D30319"/>
    <w:rsid w:val="00D3059F"/>
    <w:rsid w:val="00D306B9"/>
    <w:rsid w:val="00D306E8"/>
    <w:rsid w:val="00D30707"/>
    <w:rsid w:val="00D30722"/>
    <w:rsid w:val="00D307A8"/>
    <w:rsid w:val="00D30818"/>
    <w:rsid w:val="00D30A5B"/>
    <w:rsid w:val="00D30AB4"/>
    <w:rsid w:val="00D30ADC"/>
    <w:rsid w:val="00D30AEE"/>
    <w:rsid w:val="00D30B89"/>
    <w:rsid w:val="00D30BF3"/>
    <w:rsid w:val="00D30C23"/>
    <w:rsid w:val="00D30C96"/>
    <w:rsid w:val="00D30D6B"/>
    <w:rsid w:val="00D31051"/>
    <w:rsid w:val="00D3109D"/>
    <w:rsid w:val="00D311B0"/>
    <w:rsid w:val="00D3125B"/>
    <w:rsid w:val="00D3129C"/>
    <w:rsid w:val="00D31449"/>
    <w:rsid w:val="00D3146C"/>
    <w:rsid w:val="00D3149C"/>
    <w:rsid w:val="00D314C5"/>
    <w:rsid w:val="00D3150C"/>
    <w:rsid w:val="00D31538"/>
    <w:rsid w:val="00D31548"/>
    <w:rsid w:val="00D315CA"/>
    <w:rsid w:val="00D315CB"/>
    <w:rsid w:val="00D3178D"/>
    <w:rsid w:val="00D31799"/>
    <w:rsid w:val="00D3181B"/>
    <w:rsid w:val="00D31843"/>
    <w:rsid w:val="00D318CC"/>
    <w:rsid w:val="00D31A07"/>
    <w:rsid w:val="00D31C6A"/>
    <w:rsid w:val="00D31D02"/>
    <w:rsid w:val="00D31EC4"/>
    <w:rsid w:val="00D31F5F"/>
    <w:rsid w:val="00D3210F"/>
    <w:rsid w:val="00D32175"/>
    <w:rsid w:val="00D32244"/>
    <w:rsid w:val="00D322A0"/>
    <w:rsid w:val="00D32482"/>
    <w:rsid w:val="00D3252E"/>
    <w:rsid w:val="00D3255C"/>
    <w:rsid w:val="00D325B6"/>
    <w:rsid w:val="00D326A6"/>
    <w:rsid w:val="00D326D3"/>
    <w:rsid w:val="00D326D9"/>
    <w:rsid w:val="00D32802"/>
    <w:rsid w:val="00D3288D"/>
    <w:rsid w:val="00D328DC"/>
    <w:rsid w:val="00D328FD"/>
    <w:rsid w:val="00D32B04"/>
    <w:rsid w:val="00D32BBB"/>
    <w:rsid w:val="00D32BF1"/>
    <w:rsid w:val="00D32C08"/>
    <w:rsid w:val="00D32C81"/>
    <w:rsid w:val="00D32C84"/>
    <w:rsid w:val="00D32D14"/>
    <w:rsid w:val="00D32FEF"/>
    <w:rsid w:val="00D330B6"/>
    <w:rsid w:val="00D330DA"/>
    <w:rsid w:val="00D3320F"/>
    <w:rsid w:val="00D33276"/>
    <w:rsid w:val="00D332A2"/>
    <w:rsid w:val="00D33387"/>
    <w:rsid w:val="00D33456"/>
    <w:rsid w:val="00D33460"/>
    <w:rsid w:val="00D33558"/>
    <w:rsid w:val="00D3371E"/>
    <w:rsid w:val="00D3385D"/>
    <w:rsid w:val="00D33880"/>
    <w:rsid w:val="00D33A2F"/>
    <w:rsid w:val="00D33BD2"/>
    <w:rsid w:val="00D33BDB"/>
    <w:rsid w:val="00D33D04"/>
    <w:rsid w:val="00D33E01"/>
    <w:rsid w:val="00D33F01"/>
    <w:rsid w:val="00D34025"/>
    <w:rsid w:val="00D34129"/>
    <w:rsid w:val="00D34155"/>
    <w:rsid w:val="00D3421A"/>
    <w:rsid w:val="00D34278"/>
    <w:rsid w:val="00D34314"/>
    <w:rsid w:val="00D343A0"/>
    <w:rsid w:val="00D34463"/>
    <w:rsid w:val="00D34480"/>
    <w:rsid w:val="00D34562"/>
    <w:rsid w:val="00D3470A"/>
    <w:rsid w:val="00D34762"/>
    <w:rsid w:val="00D3479E"/>
    <w:rsid w:val="00D348E5"/>
    <w:rsid w:val="00D3498C"/>
    <w:rsid w:val="00D349DB"/>
    <w:rsid w:val="00D34B22"/>
    <w:rsid w:val="00D34BC7"/>
    <w:rsid w:val="00D34BDE"/>
    <w:rsid w:val="00D34C86"/>
    <w:rsid w:val="00D34D08"/>
    <w:rsid w:val="00D34D15"/>
    <w:rsid w:val="00D34D3D"/>
    <w:rsid w:val="00D34F5D"/>
    <w:rsid w:val="00D3500B"/>
    <w:rsid w:val="00D3503A"/>
    <w:rsid w:val="00D350D4"/>
    <w:rsid w:val="00D35111"/>
    <w:rsid w:val="00D35240"/>
    <w:rsid w:val="00D3527C"/>
    <w:rsid w:val="00D35286"/>
    <w:rsid w:val="00D35340"/>
    <w:rsid w:val="00D353B4"/>
    <w:rsid w:val="00D353CF"/>
    <w:rsid w:val="00D3553C"/>
    <w:rsid w:val="00D35640"/>
    <w:rsid w:val="00D356DE"/>
    <w:rsid w:val="00D356F3"/>
    <w:rsid w:val="00D357B7"/>
    <w:rsid w:val="00D35913"/>
    <w:rsid w:val="00D3593A"/>
    <w:rsid w:val="00D35A07"/>
    <w:rsid w:val="00D35AD3"/>
    <w:rsid w:val="00D35B5B"/>
    <w:rsid w:val="00D35BE4"/>
    <w:rsid w:val="00D35C18"/>
    <w:rsid w:val="00D35C4C"/>
    <w:rsid w:val="00D35F55"/>
    <w:rsid w:val="00D35F86"/>
    <w:rsid w:val="00D36044"/>
    <w:rsid w:val="00D3607F"/>
    <w:rsid w:val="00D3612B"/>
    <w:rsid w:val="00D361AD"/>
    <w:rsid w:val="00D362E8"/>
    <w:rsid w:val="00D36481"/>
    <w:rsid w:val="00D36489"/>
    <w:rsid w:val="00D365E8"/>
    <w:rsid w:val="00D366EC"/>
    <w:rsid w:val="00D36883"/>
    <w:rsid w:val="00D368CB"/>
    <w:rsid w:val="00D36955"/>
    <w:rsid w:val="00D369E1"/>
    <w:rsid w:val="00D36A04"/>
    <w:rsid w:val="00D36C28"/>
    <w:rsid w:val="00D36C90"/>
    <w:rsid w:val="00D36D9C"/>
    <w:rsid w:val="00D36E1A"/>
    <w:rsid w:val="00D36F3C"/>
    <w:rsid w:val="00D36F59"/>
    <w:rsid w:val="00D373FE"/>
    <w:rsid w:val="00D374F2"/>
    <w:rsid w:val="00D3755C"/>
    <w:rsid w:val="00D37576"/>
    <w:rsid w:val="00D3768A"/>
    <w:rsid w:val="00D376AD"/>
    <w:rsid w:val="00D377FD"/>
    <w:rsid w:val="00D37808"/>
    <w:rsid w:val="00D379D6"/>
    <w:rsid w:val="00D37AF6"/>
    <w:rsid w:val="00D37BB6"/>
    <w:rsid w:val="00D37BFA"/>
    <w:rsid w:val="00D37C09"/>
    <w:rsid w:val="00D37C1D"/>
    <w:rsid w:val="00D37CE1"/>
    <w:rsid w:val="00D37D3E"/>
    <w:rsid w:val="00D37EC8"/>
    <w:rsid w:val="00D37EFF"/>
    <w:rsid w:val="00D37F26"/>
    <w:rsid w:val="00D40086"/>
    <w:rsid w:val="00D400D1"/>
    <w:rsid w:val="00D400F3"/>
    <w:rsid w:val="00D40122"/>
    <w:rsid w:val="00D4017A"/>
    <w:rsid w:val="00D401A1"/>
    <w:rsid w:val="00D403A5"/>
    <w:rsid w:val="00D403DB"/>
    <w:rsid w:val="00D405D8"/>
    <w:rsid w:val="00D4060C"/>
    <w:rsid w:val="00D40691"/>
    <w:rsid w:val="00D407D5"/>
    <w:rsid w:val="00D40B10"/>
    <w:rsid w:val="00D40E81"/>
    <w:rsid w:val="00D40FE7"/>
    <w:rsid w:val="00D41045"/>
    <w:rsid w:val="00D4104B"/>
    <w:rsid w:val="00D411EE"/>
    <w:rsid w:val="00D41209"/>
    <w:rsid w:val="00D41282"/>
    <w:rsid w:val="00D41289"/>
    <w:rsid w:val="00D413E3"/>
    <w:rsid w:val="00D41424"/>
    <w:rsid w:val="00D416BF"/>
    <w:rsid w:val="00D416FB"/>
    <w:rsid w:val="00D417D4"/>
    <w:rsid w:val="00D4184B"/>
    <w:rsid w:val="00D41A94"/>
    <w:rsid w:val="00D41AFB"/>
    <w:rsid w:val="00D41B7E"/>
    <w:rsid w:val="00D41CDE"/>
    <w:rsid w:val="00D41CFA"/>
    <w:rsid w:val="00D41D07"/>
    <w:rsid w:val="00D41D6D"/>
    <w:rsid w:val="00D41D87"/>
    <w:rsid w:val="00D41DF7"/>
    <w:rsid w:val="00D41F96"/>
    <w:rsid w:val="00D42123"/>
    <w:rsid w:val="00D4212C"/>
    <w:rsid w:val="00D42182"/>
    <w:rsid w:val="00D4218B"/>
    <w:rsid w:val="00D42277"/>
    <w:rsid w:val="00D4234E"/>
    <w:rsid w:val="00D424D0"/>
    <w:rsid w:val="00D4258D"/>
    <w:rsid w:val="00D425EA"/>
    <w:rsid w:val="00D42609"/>
    <w:rsid w:val="00D4267C"/>
    <w:rsid w:val="00D427A5"/>
    <w:rsid w:val="00D4282D"/>
    <w:rsid w:val="00D42932"/>
    <w:rsid w:val="00D42A2C"/>
    <w:rsid w:val="00D42ABC"/>
    <w:rsid w:val="00D42BF7"/>
    <w:rsid w:val="00D42D9A"/>
    <w:rsid w:val="00D42E14"/>
    <w:rsid w:val="00D42E9D"/>
    <w:rsid w:val="00D42F7C"/>
    <w:rsid w:val="00D4307D"/>
    <w:rsid w:val="00D430B1"/>
    <w:rsid w:val="00D43112"/>
    <w:rsid w:val="00D431A2"/>
    <w:rsid w:val="00D431C0"/>
    <w:rsid w:val="00D43218"/>
    <w:rsid w:val="00D433D2"/>
    <w:rsid w:val="00D43401"/>
    <w:rsid w:val="00D43411"/>
    <w:rsid w:val="00D43472"/>
    <w:rsid w:val="00D434D1"/>
    <w:rsid w:val="00D43580"/>
    <w:rsid w:val="00D43593"/>
    <w:rsid w:val="00D43795"/>
    <w:rsid w:val="00D437C0"/>
    <w:rsid w:val="00D438D5"/>
    <w:rsid w:val="00D43903"/>
    <w:rsid w:val="00D43964"/>
    <w:rsid w:val="00D43A1E"/>
    <w:rsid w:val="00D43AF5"/>
    <w:rsid w:val="00D43B9C"/>
    <w:rsid w:val="00D43D05"/>
    <w:rsid w:val="00D43D81"/>
    <w:rsid w:val="00D43FD8"/>
    <w:rsid w:val="00D4405B"/>
    <w:rsid w:val="00D44086"/>
    <w:rsid w:val="00D440E2"/>
    <w:rsid w:val="00D44334"/>
    <w:rsid w:val="00D4434A"/>
    <w:rsid w:val="00D4437E"/>
    <w:rsid w:val="00D4438C"/>
    <w:rsid w:val="00D444C3"/>
    <w:rsid w:val="00D445B7"/>
    <w:rsid w:val="00D447A7"/>
    <w:rsid w:val="00D447B3"/>
    <w:rsid w:val="00D4481F"/>
    <w:rsid w:val="00D448B4"/>
    <w:rsid w:val="00D448C0"/>
    <w:rsid w:val="00D44998"/>
    <w:rsid w:val="00D449F5"/>
    <w:rsid w:val="00D44A7A"/>
    <w:rsid w:val="00D44A8E"/>
    <w:rsid w:val="00D44AA9"/>
    <w:rsid w:val="00D44C3C"/>
    <w:rsid w:val="00D44E52"/>
    <w:rsid w:val="00D44E6E"/>
    <w:rsid w:val="00D45379"/>
    <w:rsid w:val="00D453C9"/>
    <w:rsid w:val="00D455B5"/>
    <w:rsid w:val="00D45783"/>
    <w:rsid w:val="00D45885"/>
    <w:rsid w:val="00D458C9"/>
    <w:rsid w:val="00D45905"/>
    <w:rsid w:val="00D4598A"/>
    <w:rsid w:val="00D45A85"/>
    <w:rsid w:val="00D45AB7"/>
    <w:rsid w:val="00D45AD9"/>
    <w:rsid w:val="00D45AED"/>
    <w:rsid w:val="00D45B41"/>
    <w:rsid w:val="00D45B49"/>
    <w:rsid w:val="00D45C0E"/>
    <w:rsid w:val="00D45C19"/>
    <w:rsid w:val="00D45C8F"/>
    <w:rsid w:val="00D45D06"/>
    <w:rsid w:val="00D45E32"/>
    <w:rsid w:val="00D45E3C"/>
    <w:rsid w:val="00D45E95"/>
    <w:rsid w:val="00D45FD3"/>
    <w:rsid w:val="00D45FE6"/>
    <w:rsid w:val="00D45FFB"/>
    <w:rsid w:val="00D4601E"/>
    <w:rsid w:val="00D46142"/>
    <w:rsid w:val="00D4615F"/>
    <w:rsid w:val="00D46258"/>
    <w:rsid w:val="00D462E1"/>
    <w:rsid w:val="00D4634B"/>
    <w:rsid w:val="00D4636F"/>
    <w:rsid w:val="00D4649E"/>
    <w:rsid w:val="00D464A9"/>
    <w:rsid w:val="00D46694"/>
    <w:rsid w:val="00D46736"/>
    <w:rsid w:val="00D467FC"/>
    <w:rsid w:val="00D46865"/>
    <w:rsid w:val="00D469E0"/>
    <w:rsid w:val="00D46A18"/>
    <w:rsid w:val="00D46B68"/>
    <w:rsid w:val="00D46C03"/>
    <w:rsid w:val="00D46C53"/>
    <w:rsid w:val="00D46CA2"/>
    <w:rsid w:val="00D46FF6"/>
    <w:rsid w:val="00D47083"/>
    <w:rsid w:val="00D471A5"/>
    <w:rsid w:val="00D4725D"/>
    <w:rsid w:val="00D4726E"/>
    <w:rsid w:val="00D473C4"/>
    <w:rsid w:val="00D47592"/>
    <w:rsid w:val="00D4759B"/>
    <w:rsid w:val="00D475CC"/>
    <w:rsid w:val="00D47716"/>
    <w:rsid w:val="00D4772C"/>
    <w:rsid w:val="00D4784A"/>
    <w:rsid w:val="00D47925"/>
    <w:rsid w:val="00D47A7C"/>
    <w:rsid w:val="00D47A89"/>
    <w:rsid w:val="00D47D47"/>
    <w:rsid w:val="00D47DD3"/>
    <w:rsid w:val="00D47E04"/>
    <w:rsid w:val="00D47E6B"/>
    <w:rsid w:val="00D47F86"/>
    <w:rsid w:val="00D47FE4"/>
    <w:rsid w:val="00D501C6"/>
    <w:rsid w:val="00D5027B"/>
    <w:rsid w:val="00D502E5"/>
    <w:rsid w:val="00D50395"/>
    <w:rsid w:val="00D503EA"/>
    <w:rsid w:val="00D5044A"/>
    <w:rsid w:val="00D50469"/>
    <w:rsid w:val="00D504EC"/>
    <w:rsid w:val="00D50503"/>
    <w:rsid w:val="00D50534"/>
    <w:rsid w:val="00D505F8"/>
    <w:rsid w:val="00D5069D"/>
    <w:rsid w:val="00D506AC"/>
    <w:rsid w:val="00D50785"/>
    <w:rsid w:val="00D5086B"/>
    <w:rsid w:val="00D509A6"/>
    <w:rsid w:val="00D50A04"/>
    <w:rsid w:val="00D50A56"/>
    <w:rsid w:val="00D50A87"/>
    <w:rsid w:val="00D50B2C"/>
    <w:rsid w:val="00D50BAC"/>
    <w:rsid w:val="00D50CEF"/>
    <w:rsid w:val="00D50E14"/>
    <w:rsid w:val="00D50EB8"/>
    <w:rsid w:val="00D5106C"/>
    <w:rsid w:val="00D51089"/>
    <w:rsid w:val="00D510CB"/>
    <w:rsid w:val="00D51183"/>
    <w:rsid w:val="00D51269"/>
    <w:rsid w:val="00D512C0"/>
    <w:rsid w:val="00D51406"/>
    <w:rsid w:val="00D5164D"/>
    <w:rsid w:val="00D517C6"/>
    <w:rsid w:val="00D51898"/>
    <w:rsid w:val="00D518CC"/>
    <w:rsid w:val="00D519C3"/>
    <w:rsid w:val="00D51A3A"/>
    <w:rsid w:val="00D51A94"/>
    <w:rsid w:val="00D51B0E"/>
    <w:rsid w:val="00D51B2F"/>
    <w:rsid w:val="00D51CCC"/>
    <w:rsid w:val="00D51DD8"/>
    <w:rsid w:val="00D51E1E"/>
    <w:rsid w:val="00D5201F"/>
    <w:rsid w:val="00D52049"/>
    <w:rsid w:val="00D520B5"/>
    <w:rsid w:val="00D52199"/>
    <w:rsid w:val="00D52256"/>
    <w:rsid w:val="00D52353"/>
    <w:rsid w:val="00D52458"/>
    <w:rsid w:val="00D524DC"/>
    <w:rsid w:val="00D52518"/>
    <w:rsid w:val="00D52556"/>
    <w:rsid w:val="00D525CB"/>
    <w:rsid w:val="00D52650"/>
    <w:rsid w:val="00D52699"/>
    <w:rsid w:val="00D526FB"/>
    <w:rsid w:val="00D5274F"/>
    <w:rsid w:val="00D52761"/>
    <w:rsid w:val="00D52770"/>
    <w:rsid w:val="00D527F1"/>
    <w:rsid w:val="00D528A3"/>
    <w:rsid w:val="00D528E1"/>
    <w:rsid w:val="00D52955"/>
    <w:rsid w:val="00D52AC5"/>
    <w:rsid w:val="00D52AF5"/>
    <w:rsid w:val="00D52C1F"/>
    <w:rsid w:val="00D52C80"/>
    <w:rsid w:val="00D52C93"/>
    <w:rsid w:val="00D52D93"/>
    <w:rsid w:val="00D52E7E"/>
    <w:rsid w:val="00D52F70"/>
    <w:rsid w:val="00D5321B"/>
    <w:rsid w:val="00D53294"/>
    <w:rsid w:val="00D5329E"/>
    <w:rsid w:val="00D532AF"/>
    <w:rsid w:val="00D53323"/>
    <w:rsid w:val="00D53415"/>
    <w:rsid w:val="00D535BC"/>
    <w:rsid w:val="00D535D6"/>
    <w:rsid w:val="00D535D7"/>
    <w:rsid w:val="00D53726"/>
    <w:rsid w:val="00D537DC"/>
    <w:rsid w:val="00D537F5"/>
    <w:rsid w:val="00D53861"/>
    <w:rsid w:val="00D5390E"/>
    <w:rsid w:val="00D53929"/>
    <w:rsid w:val="00D53966"/>
    <w:rsid w:val="00D539B9"/>
    <w:rsid w:val="00D53A97"/>
    <w:rsid w:val="00D53C52"/>
    <w:rsid w:val="00D53D17"/>
    <w:rsid w:val="00D53DCB"/>
    <w:rsid w:val="00D53F41"/>
    <w:rsid w:val="00D53F4B"/>
    <w:rsid w:val="00D53FA7"/>
    <w:rsid w:val="00D540E8"/>
    <w:rsid w:val="00D541B0"/>
    <w:rsid w:val="00D542AD"/>
    <w:rsid w:val="00D54665"/>
    <w:rsid w:val="00D54791"/>
    <w:rsid w:val="00D54950"/>
    <w:rsid w:val="00D54AA5"/>
    <w:rsid w:val="00D54B8C"/>
    <w:rsid w:val="00D54C95"/>
    <w:rsid w:val="00D54E10"/>
    <w:rsid w:val="00D54E48"/>
    <w:rsid w:val="00D54F28"/>
    <w:rsid w:val="00D54F5B"/>
    <w:rsid w:val="00D55082"/>
    <w:rsid w:val="00D5509F"/>
    <w:rsid w:val="00D550D4"/>
    <w:rsid w:val="00D551B2"/>
    <w:rsid w:val="00D553E8"/>
    <w:rsid w:val="00D5550D"/>
    <w:rsid w:val="00D55534"/>
    <w:rsid w:val="00D555E3"/>
    <w:rsid w:val="00D55601"/>
    <w:rsid w:val="00D55757"/>
    <w:rsid w:val="00D5580B"/>
    <w:rsid w:val="00D55940"/>
    <w:rsid w:val="00D5597B"/>
    <w:rsid w:val="00D559B6"/>
    <w:rsid w:val="00D55B39"/>
    <w:rsid w:val="00D55B63"/>
    <w:rsid w:val="00D55BAA"/>
    <w:rsid w:val="00D55C06"/>
    <w:rsid w:val="00D55C14"/>
    <w:rsid w:val="00D55CC2"/>
    <w:rsid w:val="00D55F6A"/>
    <w:rsid w:val="00D55FBF"/>
    <w:rsid w:val="00D560AB"/>
    <w:rsid w:val="00D561CF"/>
    <w:rsid w:val="00D56211"/>
    <w:rsid w:val="00D5621A"/>
    <w:rsid w:val="00D56261"/>
    <w:rsid w:val="00D5638E"/>
    <w:rsid w:val="00D563B4"/>
    <w:rsid w:val="00D56563"/>
    <w:rsid w:val="00D56694"/>
    <w:rsid w:val="00D567ED"/>
    <w:rsid w:val="00D568FD"/>
    <w:rsid w:val="00D56A1E"/>
    <w:rsid w:val="00D56AAC"/>
    <w:rsid w:val="00D56AE4"/>
    <w:rsid w:val="00D56C20"/>
    <w:rsid w:val="00D56C5A"/>
    <w:rsid w:val="00D56D0B"/>
    <w:rsid w:val="00D56F6D"/>
    <w:rsid w:val="00D56F9A"/>
    <w:rsid w:val="00D5703A"/>
    <w:rsid w:val="00D572D5"/>
    <w:rsid w:val="00D573C5"/>
    <w:rsid w:val="00D5743A"/>
    <w:rsid w:val="00D574E2"/>
    <w:rsid w:val="00D575CB"/>
    <w:rsid w:val="00D5769C"/>
    <w:rsid w:val="00D57725"/>
    <w:rsid w:val="00D57793"/>
    <w:rsid w:val="00D577A8"/>
    <w:rsid w:val="00D57801"/>
    <w:rsid w:val="00D57816"/>
    <w:rsid w:val="00D5785F"/>
    <w:rsid w:val="00D57883"/>
    <w:rsid w:val="00D57988"/>
    <w:rsid w:val="00D579F1"/>
    <w:rsid w:val="00D57B0C"/>
    <w:rsid w:val="00D57BBB"/>
    <w:rsid w:val="00D57C1C"/>
    <w:rsid w:val="00D57D0F"/>
    <w:rsid w:val="00D57DA2"/>
    <w:rsid w:val="00D57ECF"/>
    <w:rsid w:val="00D57F2B"/>
    <w:rsid w:val="00D57F49"/>
    <w:rsid w:val="00D57F9D"/>
    <w:rsid w:val="00D57FB1"/>
    <w:rsid w:val="00D601A2"/>
    <w:rsid w:val="00D60219"/>
    <w:rsid w:val="00D60256"/>
    <w:rsid w:val="00D602B9"/>
    <w:rsid w:val="00D60302"/>
    <w:rsid w:val="00D6035D"/>
    <w:rsid w:val="00D6074D"/>
    <w:rsid w:val="00D60858"/>
    <w:rsid w:val="00D6088C"/>
    <w:rsid w:val="00D608F4"/>
    <w:rsid w:val="00D60950"/>
    <w:rsid w:val="00D609D4"/>
    <w:rsid w:val="00D60A22"/>
    <w:rsid w:val="00D60A33"/>
    <w:rsid w:val="00D60AAB"/>
    <w:rsid w:val="00D60B2A"/>
    <w:rsid w:val="00D60BA1"/>
    <w:rsid w:val="00D60BD9"/>
    <w:rsid w:val="00D60C00"/>
    <w:rsid w:val="00D60DB3"/>
    <w:rsid w:val="00D60E63"/>
    <w:rsid w:val="00D61122"/>
    <w:rsid w:val="00D6120B"/>
    <w:rsid w:val="00D61222"/>
    <w:rsid w:val="00D612C0"/>
    <w:rsid w:val="00D612C3"/>
    <w:rsid w:val="00D6137F"/>
    <w:rsid w:val="00D614A9"/>
    <w:rsid w:val="00D61591"/>
    <w:rsid w:val="00D615A6"/>
    <w:rsid w:val="00D615F2"/>
    <w:rsid w:val="00D61727"/>
    <w:rsid w:val="00D617B2"/>
    <w:rsid w:val="00D61820"/>
    <w:rsid w:val="00D618E7"/>
    <w:rsid w:val="00D618F5"/>
    <w:rsid w:val="00D61A15"/>
    <w:rsid w:val="00D61A33"/>
    <w:rsid w:val="00D61B8D"/>
    <w:rsid w:val="00D61CD5"/>
    <w:rsid w:val="00D61CD7"/>
    <w:rsid w:val="00D61D4E"/>
    <w:rsid w:val="00D61F45"/>
    <w:rsid w:val="00D61F69"/>
    <w:rsid w:val="00D61FEB"/>
    <w:rsid w:val="00D62099"/>
    <w:rsid w:val="00D620BC"/>
    <w:rsid w:val="00D62148"/>
    <w:rsid w:val="00D621A4"/>
    <w:rsid w:val="00D62494"/>
    <w:rsid w:val="00D6254D"/>
    <w:rsid w:val="00D626C2"/>
    <w:rsid w:val="00D626D9"/>
    <w:rsid w:val="00D627EA"/>
    <w:rsid w:val="00D6286A"/>
    <w:rsid w:val="00D62B0C"/>
    <w:rsid w:val="00D62B12"/>
    <w:rsid w:val="00D62C10"/>
    <w:rsid w:val="00D62C97"/>
    <w:rsid w:val="00D62CF5"/>
    <w:rsid w:val="00D62D0E"/>
    <w:rsid w:val="00D62DB1"/>
    <w:rsid w:val="00D62E64"/>
    <w:rsid w:val="00D62EA6"/>
    <w:rsid w:val="00D62EAE"/>
    <w:rsid w:val="00D62FA5"/>
    <w:rsid w:val="00D62FB9"/>
    <w:rsid w:val="00D62FD1"/>
    <w:rsid w:val="00D63010"/>
    <w:rsid w:val="00D631C1"/>
    <w:rsid w:val="00D631DA"/>
    <w:rsid w:val="00D631F6"/>
    <w:rsid w:val="00D6321F"/>
    <w:rsid w:val="00D63351"/>
    <w:rsid w:val="00D6359A"/>
    <w:rsid w:val="00D636EA"/>
    <w:rsid w:val="00D63775"/>
    <w:rsid w:val="00D638B0"/>
    <w:rsid w:val="00D63CF1"/>
    <w:rsid w:val="00D63EA3"/>
    <w:rsid w:val="00D63F00"/>
    <w:rsid w:val="00D63FD8"/>
    <w:rsid w:val="00D63FEC"/>
    <w:rsid w:val="00D6404A"/>
    <w:rsid w:val="00D64095"/>
    <w:rsid w:val="00D64127"/>
    <w:rsid w:val="00D645F5"/>
    <w:rsid w:val="00D64604"/>
    <w:rsid w:val="00D64623"/>
    <w:rsid w:val="00D64717"/>
    <w:rsid w:val="00D64730"/>
    <w:rsid w:val="00D648DF"/>
    <w:rsid w:val="00D64A61"/>
    <w:rsid w:val="00D64B03"/>
    <w:rsid w:val="00D64CA0"/>
    <w:rsid w:val="00D64CA5"/>
    <w:rsid w:val="00D64DEA"/>
    <w:rsid w:val="00D64E4E"/>
    <w:rsid w:val="00D64EE2"/>
    <w:rsid w:val="00D650FC"/>
    <w:rsid w:val="00D651DE"/>
    <w:rsid w:val="00D65224"/>
    <w:rsid w:val="00D65278"/>
    <w:rsid w:val="00D652C6"/>
    <w:rsid w:val="00D65354"/>
    <w:rsid w:val="00D653E1"/>
    <w:rsid w:val="00D65456"/>
    <w:rsid w:val="00D65522"/>
    <w:rsid w:val="00D655D9"/>
    <w:rsid w:val="00D655F1"/>
    <w:rsid w:val="00D65610"/>
    <w:rsid w:val="00D6562A"/>
    <w:rsid w:val="00D6568F"/>
    <w:rsid w:val="00D6574A"/>
    <w:rsid w:val="00D65781"/>
    <w:rsid w:val="00D65AE8"/>
    <w:rsid w:val="00D65BF9"/>
    <w:rsid w:val="00D65CB7"/>
    <w:rsid w:val="00D65D4A"/>
    <w:rsid w:val="00D65D51"/>
    <w:rsid w:val="00D65E73"/>
    <w:rsid w:val="00D65F1A"/>
    <w:rsid w:val="00D66043"/>
    <w:rsid w:val="00D6644E"/>
    <w:rsid w:val="00D665AF"/>
    <w:rsid w:val="00D665B0"/>
    <w:rsid w:val="00D66654"/>
    <w:rsid w:val="00D6669B"/>
    <w:rsid w:val="00D668CA"/>
    <w:rsid w:val="00D669A9"/>
    <w:rsid w:val="00D66A40"/>
    <w:rsid w:val="00D66BB9"/>
    <w:rsid w:val="00D66BEC"/>
    <w:rsid w:val="00D66C4F"/>
    <w:rsid w:val="00D66C6F"/>
    <w:rsid w:val="00D66CF1"/>
    <w:rsid w:val="00D66E65"/>
    <w:rsid w:val="00D66F35"/>
    <w:rsid w:val="00D670B7"/>
    <w:rsid w:val="00D6712B"/>
    <w:rsid w:val="00D67160"/>
    <w:rsid w:val="00D67217"/>
    <w:rsid w:val="00D6725E"/>
    <w:rsid w:val="00D67287"/>
    <w:rsid w:val="00D673A9"/>
    <w:rsid w:val="00D673C9"/>
    <w:rsid w:val="00D675EC"/>
    <w:rsid w:val="00D676E3"/>
    <w:rsid w:val="00D67812"/>
    <w:rsid w:val="00D6783D"/>
    <w:rsid w:val="00D67C12"/>
    <w:rsid w:val="00D67F29"/>
    <w:rsid w:val="00D67FBC"/>
    <w:rsid w:val="00D700E8"/>
    <w:rsid w:val="00D70206"/>
    <w:rsid w:val="00D702D2"/>
    <w:rsid w:val="00D702F2"/>
    <w:rsid w:val="00D70383"/>
    <w:rsid w:val="00D70581"/>
    <w:rsid w:val="00D706BB"/>
    <w:rsid w:val="00D70701"/>
    <w:rsid w:val="00D70712"/>
    <w:rsid w:val="00D70A55"/>
    <w:rsid w:val="00D70A71"/>
    <w:rsid w:val="00D70C2E"/>
    <w:rsid w:val="00D70CA4"/>
    <w:rsid w:val="00D70EB9"/>
    <w:rsid w:val="00D70ECC"/>
    <w:rsid w:val="00D7108C"/>
    <w:rsid w:val="00D711F1"/>
    <w:rsid w:val="00D713CB"/>
    <w:rsid w:val="00D713EE"/>
    <w:rsid w:val="00D7140B"/>
    <w:rsid w:val="00D715F4"/>
    <w:rsid w:val="00D7160B"/>
    <w:rsid w:val="00D716E7"/>
    <w:rsid w:val="00D71830"/>
    <w:rsid w:val="00D718A2"/>
    <w:rsid w:val="00D71962"/>
    <w:rsid w:val="00D719A5"/>
    <w:rsid w:val="00D71C06"/>
    <w:rsid w:val="00D71C13"/>
    <w:rsid w:val="00D71C25"/>
    <w:rsid w:val="00D71C5B"/>
    <w:rsid w:val="00D71D2A"/>
    <w:rsid w:val="00D71D5C"/>
    <w:rsid w:val="00D71F12"/>
    <w:rsid w:val="00D72083"/>
    <w:rsid w:val="00D720B2"/>
    <w:rsid w:val="00D720EB"/>
    <w:rsid w:val="00D72100"/>
    <w:rsid w:val="00D7217C"/>
    <w:rsid w:val="00D72261"/>
    <w:rsid w:val="00D72325"/>
    <w:rsid w:val="00D7235C"/>
    <w:rsid w:val="00D724F0"/>
    <w:rsid w:val="00D725CE"/>
    <w:rsid w:val="00D726E5"/>
    <w:rsid w:val="00D72910"/>
    <w:rsid w:val="00D7291D"/>
    <w:rsid w:val="00D729D0"/>
    <w:rsid w:val="00D729D3"/>
    <w:rsid w:val="00D72A86"/>
    <w:rsid w:val="00D72B47"/>
    <w:rsid w:val="00D72BBC"/>
    <w:rsid w:val="00D72D1B"/>
    <w:rsid w:val="00D72DBA"/>
    <w:rsid w:val="00D72DFA"/>
    <w:rsid w:val="00D72E8A"/>
    <w:rsid w:val="00D72EC3"/>
    <w:rsid w:val="00D72FB3"/>
    <w:rsid w:val="00D73054"/>
    <w:rsid w:val="00D73205"/>
    <w:rsid w:val="00D73313"/>
    <w:rsid w:val="00D73326"/>
    <w:rsid w:val="00D7335C"/>
    <w:rsid w:val="00D73417"/>
    <w:rsid w:val="00D738F6"/>
    <w:rsid w:val="00D7395E"/>
    <w:rsid w:val="00D73B04"/>
    <w:rsid w:val="00D73B12"/>
    <w:rsid w:val="00D73B79"/>
    <w:rsid w:val="00D73C42"/>
    <w:rsid w:val="00D73D1D"/>
    <w:rsid w:val="00D73E48"/>
    <w:rsid w:val="00D7421E"/>
    <w:rsid w:val="00D74238"/>
    <w:rsid w:val="00D7424C"/>
    <w:rsid w:val="00D7429F"/>
    <w:rsid w:val="00D742A6"/>
    <w:rsid w:val="00D743FC"/>
    <w:rsid w:val="00D74423"/>
    <w:rsid w:val="00D744C8"/>
    <w:rsid w:val="00D744D5"/>
    <w:rsid w:val="00D744FB"/>
    <w:rsid w:val="00D74686"/>
    <w:rsid w:val="00D746A6"/>
    <w:rsid w:val="00D746CC"/>
    <w:rsid w:val="00D746D8"/>
    <w:rsid w:val="00D7470D"/>
    <w:rsid w:val="00D74721"/>
    <w:rsid w:val="00D7478A"/>
    <w:rsid w:val="00D7485C"/>
    <w:rsid w:val="00D74903"/>
    <w:rsid w:val="00D7492D"/>
    <w:rsid w:val="00D74A21"/>
    <w:rsid w:val="00D74A71"/>
    <w:rsid w:val="00D74A99"/>
    <w:rsid w:val="00D74AD9"/>
    <w:rsid w:val="00D74B79"/>
    <w:rsid w:val="00D74D4B"/>
    <w:rsid w:val="00D74DB5"/>
    <w:rsid w:val="00D74E01"/>
    <w:rsid w:val="00D74E10"/>
    <w:rsid w:val="00D74FB0"/>
    <w:rsid w:val="00D7500B"/>
    <w:rsid w:val="00D7504B"/>
    <w:rsid w:val="00D75074"/>
    <w:rsid w:val="00D7508D"/>
    <w:rsid w:val="00D751B5"/>
    <w:rsid w:val="00D751D3"/>
    <w:rsid w:val="00D75351"/>
    <w:rsid w:val="00D753C9"/>
    <w:rsid w:val="00D75571"/>
    <w:rsid w:val="00D755D0"/>
    <w:rsid w:val="00D756D8"/>
    <w:rsid w:val="00D75738"/>
    <w:rsid w:val="00D757C3"/>
    <w:rsid w:val="00D757CD"/>
    <w:rsid w:val="00D75A12"/>
    <w:rsid w:val="00D75A8C"/>
    <w:rsid w:val="00D75B6F"/>
    <w:rsid w:val="00D75BFB"/>
    <w:rsid w:val="00D75C14"/>
    <w:rsid w:val="00D75C72"/>
    <w:rsid w:val="00D75D87"/>
    <w:rsid w:val="00D75DD4"/>
    <w:rsid w:val="00D75EF3"/>
    <w:rsid w:val="00D75F43"/>
    <w:rsid w:val="00D75F89"/>
    <w:rsid w:val="00D75FA9"/>
    <w:rsid w:val="00D76002"/>
    <w:rsid w:val="00D76035"/>
    <w:rsid w:val="00D76206"/>
    <w:rsid w:val="00D76376"/>
    <w:rsid w:val="00D7638B"/>
    <w:rsid w:val="00D7649E"/>
    <w:rsid w:val="00D76616"/>
    <w:rsid w:val="00D76892"/>
    <w:rsid w:val="00D76901"/>
    <w:rsid w:val="00D76997"/>
    <w:rsid w:val="00D769EC"/>
    <w:rsid w:val="00D76A33"/>
    <w:rsid w:val="00D76AE4"/>
    <w:rsid w:val="00D76BE5"/>
    <w:rsid w:val="00D76C69"/>
    <w:rsid w:val="00D76CAE"/>
    <w:rsid w:val="00D76D47"/>
    <w:rsid w:val="00D76D93"/>
    <w:rsid w:val="00D76DD6"/>
    <w:rsid w:val="00D76EA2"/>
    <w:rsid w:val="00D76F3F"/>
    <w:rsid w:val="00D76FB0"/>
    <w:rsid w:val="00D77065"/>
    <w:rsid w:val="00D770A7"/>
    <w:rsid w:val="00D772CB"/>
    <w:rsid w:val="00D772DC"/>
    <w:rsid w:val="00D77389"/>
    <w:rsid w:val="00D7748E"/>
    <w:rsid w:val="00D774AF"/>
    <w:rsid w:val="00D774D1"/>
    <w:rsid w:val="00D776AC"/>
    <w:rsid w:val="00D77713"/>
    <w:rsid w:val="00D77748"/>
    <w:rsid w:val="00D77774"/>
    <w:rsid w:val="00D777A2"/>
    <w:rsid w:val="00D777F2"/>
    <w:rsid w:val="00D77A2A"/>
    <w:rsid w:val="00D77A30"/>
    <w:rsid w:val="00D77A63"/>
    <w:rsid w:val="00D77AB3"/>
    <w:rsid w:val="00D77B3E"/>
    <w:rsid w:val="00D77B8E"/>
    <w:rsid w:val="00D77C12"/>
    <w:rsid w:val="00D77D45"/>
    <w:rsid w:val="00D77D62"/>
    <w:rsid w:val="00D77DD4"/>
    <w:rsid w:val="00D77E36"/>
    <w:rsid w:val="00D77E67"/>
    <w:rsid w:val="00D77EF4"/>
    <w:rsid w:val="00D77F1C"/>
    <w:rsid w:val="00D77FC3"/>
    <w:rsid w:val="00D77FD3"/>
    <w:rsid w:val="00D801CF"/>
    <w:rsid w:val="00D801FA"/>
    <w:rsid w:val="00D80319"/>
    <w:rsid w:val="00D8043D"/>
    <w:rsid w:val="00D80618"/>
    <w:rsid w:val="00D806AE"/>
    <w:rsid w:val="00D806C1"/>
    <w:rsid w:val="00D808CB"/>
    <w:rsid w:val="00D80910"/>
    <w:rsid w:val="00D809BE"/>
    <w:rsid w:val="00D80A86"/>
    <w:rsid w:val="00D80B82"/>
    <w:rsid w:val="00D80C3E"/>
    <w:rsid w:val="00D80E51"/>
    <w:rsid w:val="00D80E72"/>
    <w:rsid w:val="00D80E8C"/>
    <w:rsid w:val="00D80ED3"/>
    <w:rsid w:val="00D8107D"/>
    <w:rsid w:val="00D812E6"/>
    <w:rsid w:val="00D8145D"/>
    <w:rsid w:val="00D814BE"/>
    <w:rsid w:val="00D8168B"/>
    <w:rsid w:val="00D81721"/>
    <w:rsid w:val="00D8176F"/>
    <w:rsid w:val="00D81820"/>
    <w:rsid w:val="00D8185A"/>
    <w:rsid w:val="00D81976"/>
    <w:rsid w:val="00D81A5F"/>
    <w:rsid w:val="00D81CF8"/>
    <w:rsid w:val="00D81D20"/>
    <w:rsid w:val="00D81D53"/>
    <w:rsid w:val="00D81DE2"/>
    <w:rsid w:val="00D81F1B"/>
    <w:rsid w:val="00D81F39"/>
    <w:rsid w:val="00D81FF2"/>
    <w:rsid w:val="00D82095"/>
    <w:rsid w:val="00D8209D"/>
    <w:rsid w:val="00D82145"/>
    <w:rsid w:val="00D8219F"/>
    <w:rsid w:val="00D821AC"/>
    <w:rsid w:val="00D82466"/>
    <w:rsid w:val="00D824C3"/>
    <w:rsid w:val="00D828A4"/>
    <w:rsid w:val="00D8290F"/>
    <w:rsid w:val="00D82A08"/>
    <w:rsid w:val="00D82B22"/>
    <w:rsid w:val="00D82C39"/>
    <w:rsid w:val="00D82C56"/>
    <w:rsid w:val="00D82D25"/>
    <w:rsid w:val="00D82DC4"/>
    <w:rsid w:val="00D82E6A"/>
    <w:rsid w:val="00D82E6D"/>
    <w:rsid w:val="00D82F57"/>
    <w:rsid w:val="00D82FC1"/>
    <w:rsid w:val="00D8306C"/>
    <w:rsid w:val="00D830E5"/>
    <w:rsid w:val="00D830EA"/>
    <w:rsid w:val="00D83187"/>
    <w:rsid w:val="00D83290"/>
    <w:rsid w:val="00D8331E"/>
    <w:rsid w:val="00D83329"/>
    <w:rsid w:val="00D83378"/>
    <w:rsid w:val="00D8341B"/>
    <w:rsid w:val="00D83481"/>
    <w:rsid w:val="00D83563"/>
    <w:rsid w:val="00D8362E"/>
    <w:rsid w:val="00D8369E"/>
    <w:rsid w:val="00D836C8"/>
    <w:rsid w:val="00D8370E"/>
    <w:rsid w:val="00D83764"/>
    <w:rsid w:val="00D83892"/>
    <w:rsid w:val="00D83976"/>
    <w:rsid w:val="00D8397E"/>
    <w:rsid w:val="00D83A29"/>
    <w:rsid w:val="00D83A43"/>
    <w:rsid w:val="00D83BA7"/>
    <w:rsid w:val="00D83BBA"/>
    <w:rsid w:val="00D83BC0"/>
    <w:rsid w:val="00D83C00"/>
    <w:rsid w:val="00D83C90"/>
    <w:rsid w:val="00D83CDC"/>
    <w:rsid w:val="00D83CFC"/>
    <w:rsid w:val="00D83D7D"/>
    <w:rsid w:val="00D83DE9"/>
    <w:rsid w:val="00D83E54"/>
    <w:rsid w:val="00D83ED1"/>
    <w:rsid w:val="00D83F0A"/>
    <w:rsid w:val="00D83F53"/>
    <w:rsid w:val="00D840C6"/>
    <w:rsid w:val="00D841E4"/>
    <w:rsid w:val="00D84479"/>
    <w:rsid w:val="00D8455B"/>
    <w:rsid w:val="00D846DB"/>
    <w:rsid w:val="00D84713"/>
    <w:rsid w:val="00D847A4"/>
    <w:rsid w:val="00D848B1"/>
    <w:rsid w:val="00D848DB"/>
    <w:rsid w:val="00D84939"/>
    <w:rsid w:val="00D84967"/>
    <w:rsid w:val="00D84A3E"/>
    <w:rsid w:val="00D84AD6"/>
    <w:rsid w:val="00D84BFF"/>
    <w:rsid w:val="00D84C4E"/>
    <w:rsid w:val="00D84C52"/>
    <w:rsid w:val="00D84CB1"/>
    <w:rsid w:val="00D84E0A"/>
    <w:rsid w:val="00D84ED1"/>
    <w:rsid w:val="00D84F13"/>
    <w:rsid w:val="00D850A8"/>
    <w:rsid w:val="00D85140"/>
    <w:rsid w:val="00D851AC"/>
    <w:rsid w:val="00D852C2"/>
    <w:rsid w:val="00D85323"/>
    <w:rsid w:val="00D8545F"/>
    <w:rsid w:val="00D85518"/>
    <w:rsid w:val="00D8561D"/>
    <w:rsid w:val="00D85648"/>
    <w:rsid w:val="00D856D3"/>
    <w:rsid w:val="00D857D2"/>
    <w:rsid w:val="00D857F5"/>
    <w:rsid w:val="00D85A81"/>
    <w:rsid w:val="00D85A9E"/>
    <w:rsid w:val="00D85AC3"/>
    <w:rsid w:val="00D85C5E"/>
    <w:rsid w:val="00D85C80"/>
    <w:rsid w:val="00D85CA3"/>
    <w:rsid w:val="00D85D04"/>
    <w:rsid w:val="00D85D47"/>
    <w:rsid w:val="00D85D5D"/>
    <w:rsid w:val="00D85E36"/>
    <w:rsid w:val="00D85FDF"/>
    <w:rsid w:val="00D861B0"/>
    <w:rsid w:val="00D86266"/>
    <w:rsid w:val="00D8628E"/>
    <w:rsid w:val="00D86349"/>
    <w:rsid w:val="00D864A3"/>
    <w:rsid w:val="00D8651A"/>
    <w:rsid w:val="00D865AB"/>
    <w:rsid w:val="00D866A6"/>
    <w:rsid w:val="00D86723"/>
    <w:rsid w:val="00D8680C"/>
    <w:rsid w:val="00D86BBB"/>
    <w:rsid w:val="00D86C43"/>
    <w:rsid w:val="00D86C5F"/>
    <w:rsid w:val="00D86CC9"/>
    <w:rsid w:val="00D86E3C"/>
    <w:rsid w:val="00D86F30"/>
    <w:rsid w:val="00D86F64"/>
    <w:rsid w:val="00D86F7A"/>
    <w:rsid w:val="00D87012"/>
    <w:rsid w:val="00D87122"/>
    <w:rsid w:val="00D87161"/>
    <w:rsid w:val="00D872F4"/>
    <w:rsid w:val="00D87362"/>
    <w:rsid w:val="00D878EE"/>
    <w:rsid w:val="00D8792F"/>
    <w:rsid w:val="00D8794D"/>
    <w:rsid w:val="00D87BDB"/>
    <w:rsid w:val="00D87BE9"/>
    <w:rsid w:val="00D87D6F"/>
    <w:rsid w:val="00D87D8E"/>
    <w:rsid w:val="00D87E4A"/>
    <w:rsid w:val="00D87E73"/>
    <w:rsid w:val="00D87E8B"/>
    <w:rsid w:val="00D87EDB"/>
    <w:rsid w:val="00D87FBF"/>
    <w:rsid w:val="00D90034"/>
    <w:rsid w:val="00D901B9"/>
    <w:rsid w:val="00D901C4"/>
    <w:rsid w:val="00D901F7"/>
    <w:rsid w:val="00D90265"/>
    <w:rsid w:val="00D90312"/>
    <w:rsid w:val="00D9053A"/>
    <w:rsid w:val="00D905D0"/>
    <w:rsid w:val="00D90617"/>
    <w:rsid w:val="00D9066B"/>
    <w:rsid w:val="00D907B3"/>
    <w:rsid w:val="00D90850"/>
    <w:rsid w:val="00D90A13"/>
    <w:rsid w:val="00D90A22"/>
    <w:rsid w:val="00D90A94"/>
    <w:rsid w:val="00D90B48"/>
    <w:rsid w:val="00D90BE5"/>
    <w:rsid w:val="00D90C5E"/>
    <w:rsid w:val="00D90E03"/>
    <w:rsid w:val="00D90E86"/>
    <w:rsid w:val="00D90F43"/>
    <w:rsid w:val="00D90F8C"/>
    <w:rsid w:val="00D91108"/>
    <w:rsid w:val="00D911A8"/>
    <w:rsid w:val="00D912C1"/>
    <w:rsid w:val="00D913A7"/>
    <w:rsid w:val="00D91415"/>
    <w:rsid w:val="00D914AA"/>
    <w:rsid w:val="00D91556"/>
    <w:rsid w:val="00D915D5"/>
    <w:rsid w:val="00D91619"/>
    <w:rsid w:val="00D91649"/>
    <w:rsid w:val="00D9190F"/>
    <w:rsid w:val="00D91B7C"/>
    <w:rsid w:val="00D91BA0"/>
    <w:rsid w:val="00D91DDB"/>
    <w:rsid w:val="00D91E21"/>
    <w:rsid w:val="00D91E35"/>
    <w:rsid w:val="00D91EA6"/>
    <w:rsid w:val="00D91F98"/>
    <w:rsid w:val="00D9202D"/>
    <w:rsid w:val="00D92076"/>
    <w:rsid w:val="00D92144"/>
    <w:rsid w:val="00D92181"/>
    <w:rsid w:val="00D92219"/>
    <w:rsid w:val="00D9221A"/>
    <w:rsid w:val="00D92467"/>
    <w:rsid w:val="00D92479"/>
    <w:rsid w:val="00D924AE"/>
    <w:rsid w:val="00D92640"/>
    <w:rsid w:val="00D9290E"/>
    <w:rsid w:val="00D92946"/>
    <w:rsid w:val="00D92B92"/>
    <w:rsid w:val="00D92D94"/>
    <w:rsid w:val="00D92E68"/>
    <w:rsid w:val="00D92F6F"/>
    <w:rsid w:val="00D9305C"/>
    <w:rsid w:val="00D930EF"/>
    <w:rsid w:val="00D93159"/>
    <w:rsid w:val="00D93194"/>
    <w:rsid w:val="00D931A1"/>
    <w:rsid w:val="00D93258"/>
    <w:rsid w:val="00D93350"/>
    <w:rsid w:val="00D935A0"/>
    <w:rsid w:val="00D935A8"/>
    <w:rsid w:val="00D935BA"/>
    <w:rsid w:val="00D9368E"/>
    <w:rsid w:val="00D93754"/>
    <w:rsid w:val="00D93767"/>
    <w:rsid w:val="00D939A4"/>
    <w:rsid w:val="00D93AEE"/>
    <w:rsid w:val="00D93B33"/>
    <w:rsid w:val="00D93B95"/>
    <w:rsid w:val="00D93BC0"/>
    <w:rsid w:val="00D93BEA"/>
    <w:rsid w:val="00D93E5F"/>
    <w:rsid w:val="00D93E7A"/>
    <w:rsid w:val="00D93F4C"/>
    <w:rsid w:val="00D93F85"/>
    <w:rsid w:val="00D9402E"/>
    <w:rsid w:val="00D9405F"/>
    <w:rsid w:val="00D9414B"/>
    <w:rsid w:val="00D941E0"/>
    <w:rsid w:val="00D94278"/>
    <w:rsid w:val="00D94361"/>
    <w:rsid w:val="00D94455"/>
    <w:rsid w:val="00D94510"/>
    <w:rsid w:val="00D94534"/>
    <w:rsid w:val="00D9479C"/>
    <w:rsid w:val="00D94894"/>
    <w:rsid w:val="00D949A2"/>
    <w:rsid w:val="00D94A6E"/>
    <w:rsid w:val="00D94B45"/>
    <w:rsid w:val="00D94BD2"/>
    <w:rsid w:val="00D94D03"/>
    <w:rsid w:val="00D94DCB"/>
    <w:rsid w:val="00D94E18"/>
    <w:rsid w:val="00D94E9D"/>
    <w:rsid w:val="00D94EE1"/>
    <w:rsid w:val="00D94FCB"/>
    <w:rsid w:val="00D95034"/>
    <w:rsid w:val="00D95114"/>
    <w:rsid w:val="00D95161"/>
    <w:rsid w:val="00D95499"/>
    <w:rsid w:val="00D954C1"/>
    <w:rsid w:val="00D955BF"/>
    <w:rsid w:val="00D955E6"/>
    <w:rsid w:val="00D95709"/>
    <w:rsid w:val="00D95821"/>
    <w:rsid w:val="00D95859"/>
    <w:rsid w:val="00D9587F"/>
    <w:rsid w:val="00D958E0"/>
    <w:rsid w:val="00D95929"/>
    <w:rsid w:val="00D95BAA"/>
    <w:rsid w:val="00D95C34"/>
    <w:rsid w:val="00D95D91"/>
    <w:rsid w:val="00D95EB8"/>
    <w:rsid w:val="00D960AC"/>
    <w:rsid w:val="00D96205"/>
    <w:rsid w:val="00D96221"/>
    <w:rsid w:val="00D96387"/>
    <w:rsid w:val="00D963A8"/>
    <w:rsid w:val="00D963CA"/>
    <w:rsid w:val="00D963CF"/>
    <w:rsid w:val="00D9647A"/>
    <w:rsid w:val="00D964A4"/>
    <w:rsid w:val="00D964BD"/>
    <w:rsid w:val="00D9656B"/>
    <w:rsid w:val="00D9672F"/>
    <w:rsid w:val="00D9678A"/>
    <w:rsid w:val="00D96933"/>
    <w:rsid w:val="00D96A36"/>
    <w:rsid w:val="00D96AEC"/>
    <w:rsid w:val="00D96BD8"/>
    <w:rsid w:val="00D96C5E"/>
    <w:rsid w:val="00D96C6D"/>
    <w:rsid w:val="00D96D4F"/>
    <w:rsid w:val="00D96DF8"/>
    <w:rsid w:val="00D97013"/>
    <w:rsid w:val="00D9702C"/>
    <w:rsid w:val="00D97064"/>
    <w:rsid w:val="00D9717A"/>
    <w:rsid w:val="00D972D7"/>
    <w:rsid w:val="00D975B5"/>
    <w:rsid w:val="00D9760A"/>
    <w:rsid w:val="00D97676"/>
    <w:rsid w:val="00D9772E"/>
    <w:rsid w:val="00D97752"/>
    <w:rsid w:val="00D978DD"/>
    <w:rsid w:val="00D978E4"/>
    <w:rsid w:val="00D9798F"/>
    <w:rsid w:val="00D97A87"/>
    <w:rsid w:val="00D97BB2"/>
    <w:rsid w:val="00D97C14"/>
    <w:rsid w:val="00D97C3F"/>
    <w:rsid w:val="00D97E9D"/>
    <w:rsid w:val="00D97F2D"/>
    <w:rsid w:val="00D97F9F"/>
    <w:rsid w:val="00DA00EB"/>
    <w:rsid w:val="00DA02DB"/>
    <w:rsid w:val="00DA0375"/>
    <w:rsid w:val="00DA038A"/>
    <w:rsid w:val="00DA0511"/>
    <w:rsid w:val="00DA094A"/>
    <w:rsid w:val="00DA098C"/>
    <w:rsid w:val="00DA0A69"/>
    <w:rsid w:val="00DA0B2C"/>
    <w:rsid w:val="00DA1051"/>
    <w:rsid w:val="00DA138C"/>
    <w:rsid w:val="00DA1428"/>
    <w:rsid w:val="00DA1501"/>
    <w:rsid w:val="00DA167F"/>
    <w:rsid w:val="00DA16A1"/>
    <w:rsid w:val="00DA16E6"/>
    <w:rsid w:val="00DA1729"/>
    <w:rsid w:val="00DA1759"/>
    <w:rsid w:val="00DA1766"/>
    <w:rsid w:val="00DA197F"/>
    <w:rsid w:val="00DA1AE4"/>
    <w:rsid w:val="00DA1B9A"/>
    <w:rsid w:val="00DA1DAC"/>
    <w:rsid w:val="00DA1DC4"/>
    <w:rsid w:val="00DA1DC8"/>
    <w:rsid w:val="00DA209E"/>
    <w:rsid w:val="00DA2309"/>
    <w:rsid w:val="00DA233A"/>
    <w:rsid w:val="00DA23EC"/>
    <w:rsid w:val="00DA23F4"/>
    <w:rsid w:val="00DA244F"/>
    <w:rsid w:val="00DA24C5"/>
    <w:rsid w:val="00DA252B"/>
    <w:rsid w:val="00DA2672"/>
    <w:rsid w:val="00DA284D"/>
    <w:rsid w:val="00DA29EE"/>
    <w:rsid w:val="00DA2A94"/>
    <w:rsid w:val="00DA2AB6"/>
    <w:rsid w:val="00DA2BC3"/>
    <w:rsid w:val="00DA2C82"/>
    <w:rsid w:val="00DA2CEA"/>
    <w:rsid w:val="00DA2E34"/>
    <w:rsid w:val="00DA2E68"/>
    <w:rsid w:val="00DA2E96"/>
    <w:rsid w:val="00DA2ECE"/>
    <w:rsid w:val="00DA2FC4"/>
    <w:rsid w:val="00DA3044"/>
    <w:rsid w:val="00DA3105"/>
    <w:rsid w:val="00DA31D3"/>
    <w:rsid w:val="00DA3256"/>
    <w:rsid w:val="00DA32C2"/>
    <w:rsid w:val="00DA33B6"/>
    <w:rsid w:val="00DA3466"/>
    <w:rsid w:val="00DA35E2"/>
    <w:rsid w:val="00DA3617"/>
    <w:rsid w:val="00DA363A"/>
    <w:rsid w:val="00DA36F6"/>
    <w:rsid w:val="00DA3752"/>
    <w:rsid w:val="00DA3869"/>
    <w:rsid w:val="00DA3985"/>
    <w:rsid w:val="00DA3AAE"/>
    <w:rsid w:val="00DA3B2C"/>
    <w:rsid w:val="00DA3B4C"/>
    <w:rsid w:val="00DA3C2A"/>
    <w:rsid w:val="00DA3C34"/>
    <w:rsid w:val="00DA3C74"/>
    <w:rsid w:val="00DA3CD3"/>
    <w:rsid w:val="00DA3CD5"/>
    <w:rsid w:val="00DA3D44"/>
    <w:rsid w:val="00DA3D60"/>
    <w:rsid w:val="00DA3EFA"/>
    <w:rsid w:val="00DA3F80"/>
    <w:rsid w:val="00DA42FF"/>
    <w:rsid w:val="00DA4435"/>
    <w:rsid w:val="00DA4630"/>
    <w:rsid w:val="00DA46C6"/>
    <w:rsid w:val="00DA478C"/>
    <w:rsid w:val="00DA491B"/>
    <w:rsid w:val="00DA4966"/>
    <w:rsid w:val="00DA4D22"/>
    <w:rsid w:val="00DA4F49"/>
    <w:rsid w:val="00DA50DB"/>
    <w:rsid w:val="00DA5112"/>
    <w:rsid w:val="00DA52B0"/>
    <w:rsid w:val="00DA531F"/>
    <w:rsid w:val="00DA534D"/>
    <w:rsid w:val="00DA5370"/>
    <w:rsid w:val="00DA5387"/>
    <w:rsid w:val="00DA53AF"/>
    <w:rsid w:val="00DA5593"/>
    <w:rsid w:val="00DA5625"/>
    <w:rsid w:val="00DA5814"/>
    <w:rsid w:val="00DA583D"/>
    <w:rsid w:val="00DA58C8"/>
    <w:rsid w:val="00DA58DC"/>
    <w:rsid w:val="00DA5943"/>
    <w:rsid w:val="00DA595B"/>
    <w:rsid w:val="00DA5A09"/>
    <w:rsid w:val="00DA5A1C"/>
    <w:rsid w:val="00DA5A34"/>
    <w:rsid w:val="00DA5AF2"/>
    <w:rsid w:val="00DA5BE2"/>
    <w:rsid w:val="00DA5CEF"/>
    <w:rsid w:val="00DA5EC8"/>
    <w:rsid w:val="00DA5F2F"/>
    <w:rsid w:val="00DA5FE4"/>
    <w:rsid w:val="00DA605D"/>
    <w:rsid w:val="00DA61C6"/>
    <w:rsid w:val="00DA61D2"/>
    <w:rsid w:val="00DA61DC"/>
    <w:rsid w:val="00DA6227"/>
    <w:rsid w:val="00DA6233"/>
    <w:rsid w:val="00DA62EB"/>
    <w:rsid w:val="00DA6300"/>
    <w:rsid w:val="00DA63CF"/>
    <w:rsid w:val="00DA65D4"/>
    <w:rsid w:val="00DA667E"/>
    <w:rsid w:val="00DA67C3"/>
    <w:rsid w:val="00DA6881"/>
    <w:rsid w:val="00DA68A1"/>
    <w:rsid w:val="00DA68B3"/>
    <w:rsid w:val="00DA68EE"/>
    <w:rsid w:val="00DA691D"/>
    <w:rsid w:val="00DA6979"/>
    <w:rsid w:val="00DA69EE"/>
    <w:rsid w:val="00DA6C34"/>
    <w:rsid w:val="00DA6D9C"/>
    <w:rsid w:val="00DA6DB6"/>
    <w:rsid w:val="00DA6F68"/>
    <w:rsid w:val="00DA7056"/>
    <w:rsid w:val="00DA70C0"/>
    <w:rsid w:val="00DA7144"/>
    <w:rsid w:val="00DA72A5"/>
    <w:rsid w:val="00DA7319"/>
    <w:rsid w:val="00DA73EF"/>
    <w:rsid w:val="00DA749D"/>
    <w:rsid w:val="00DA7530"/>
    <w:rsid w:val="00DA7857"/>
    <w:rsid w:val="00DA7895"/>
    <w:rsid w:val="00DA78B3"/>
    <w:rsid w:val="00DA79C1"/>
    <w:rsid w:val="00DA7A87"/>
    <w:rsid w:val="00DA7A95"/>
    <w:rsid w:val="00DA7BFC"/>
    <w:rsid w:val="00DA7C41"/>
    <w:rsid w:val="00DA7DEE"/>
    <w:rsid w:val="00DA7E6E"/>
    <w:rsid w:val="00DA7E8F"/>
    <w:rsid w:val="00DA7FF9"/>
    <w:rsid w:val="00DB0052"/>
    <w:rsid w:val="00DB009C"/>
    <w:rsid w:val="00DB00ED"/>
    <w:rsid w:val="00DB0104"/>
    <w:rsid w:val="00DB0330"/>
    <w:rsid w:val="00DB04A7"/>
    <w:rsid w:val="00DB0523"/>
    <w:rsid w:val="00DB0560"/>
    <w:rsid w:val="00DB05FD"/>
    <w:rsid w:val="00DB05FF"/>
    <w:rsid w:val="00DB060D"/>
    <w:rsid w:val="00DB0614"/>
    <w:rsid w:val="00DB064B"/>
    <w:rsid w:val="00DB06F0"/>
    <w:rsid w:val="00DB07B9"/>
    <w:rsid w:val="00DB07CA"/>
    <w:rsid w:val="00DB0876"/>
    <w:rsid w:val="00DB08C8"/>
    <w:rsid w:val="00DB0AB1"/>
    <w:rsid w:val="00DB0D14"/>
    <w:rsid w:val="00DB0E95"/>
    <w:rsid w:val="00DB101E"/>
    <w:rsid w:val="00DB114A"/>
    <w:rsid w:val="00DB1311"/>
    <w:rsid w:val="00DB168E"/>
    <w:rsid w:val="00DB16AB"/>
    <w:rsid w:val="00DB1782"/>
    <w:rsid w:val="00DB18B8"/>
    <w:rsid w:val="00DB1A0B"/>
    <w:rsid w:val="00DB1AFD"/>
    <w:rsid w:val="00DB1B3A"/>
    <w:rsid w:val="00DB1B65"/>
    <w:rsid w:val="00DB1B70"/>
    <w:rsid w:val="00DB1C81"/>
    <w:rsid w:val="00DB1D1C"/>
    <w:rsid w:val="00DB1D53"/>
    <w:rsid w:val="00DB1E8D"/>
    <w:rsid w:val="00DB1F27"/>
    <w:rsid w:val="00DB1F8F"/>
    <w:rsid w:val="00DB1F94"/>
    <w:rsid w:val="00DB1FD1"/>
    <w:rsid w:val="00DB2018"/>
    <w:rsid w:val="00DB224E"/>
    <w:rsid w:val="00DB2354"/>
    <w:rsid w:val="00DB2404"/>
    <w:rsid w:val="00DB2636"/>
    <w:rsid w:val="00DB26E5"/>
    <w:rsid w:val="00DB2780"/>
    <w:rsid w:val="00DB27AE"/>
    <w:rsid w:val="00DB2826"/>
    <w:rsid w:val="00DB29A6"/>
    <w:rsid w:val="00DB29B3"/>
    <w:rsid w:val="00DB2ACE"/>
    <w:rsid w:val="00DB2EF0"/>
    <w:rsid w:val="00DB2FD7"/>
    <w:rsid w:val="00DB308C"/>
    <w:rsid w:val="00DB30B2"/>
    <w:rsid w:val="00DB31F2"/>
    <w:rsid w:val="00DB3244"/>
    <w:rsid w:val="00DB3372"/>
    <w:rsid w:val="00DB33E1"/>
    <w:rsid w:val="00DB358F"/>
    <w:rsid w:val="00DB3748"/>
    <w:rsid w:val="00DB37D8"/>
    <w:rsid w:val="00DB37E6"/>
    <w:rsid w:val="00DB381E"/>
    <w:rsid w:val="00DB3902"/>
    <w:rsid w:val="00DB3981"/>
    <w:rsid w:val="00DB3B20"/>
    <w:rsid w:val="00DB3B8C"/>
    <w:rsid w:val="00DB3BE2"/>
    <w:rsid w:val="00DB3BF3"/>
    <w:rsid w:val="00DB3CE4"/>
    <w:rsid w:val="00DB3CF9"/>
    <w:rsid w:val="00DB3D39"/>
    <w:rsid w:val="00DB3D6F"/>
    <w:rsid w:val="00DB3E32"/>
    <w:rsid w:val="00DB3F89"/>
    <w:rsid w:val="00DB40C3"/>
    <w:rsid w:val="00DB42F6"/>
    <w:rsid w:val="00DB42FE"/>
    <w:rsid w:val="00DB45C9"/>
    <w:rsid w:val="00DB4608"/>
    <w:rsid w:val="00DB4697"/>
    <w:rsid w:val="00DB4789"/>
    <w:rsid w:val="00DB478A"/>
    <w:rsid w:val="00DB47FD"/>
    <w:rsid w:val="00DB4946"/>
    <w:rsid w:val="00DB4A2E"/>
    <w:rsid w:val="00DB4A30"/>
    <w:rsid w:val="00DB4AFD"/>
    <w:rsid w:val="00DB4B2D"/>
    <w:rsid w:val="00DB4C06"/>
    <w:rsid w:val="00DB4C13"/>
    <w:rsid w:val="00DB4E47"/>
    <w:rsid w:val="00DB4F01"/>
    <w:rsid w:val="00DB4F9A"/>
    <w:rsid w:val="00DB5036"/>
    <w:rsid w:val="00DB50EF"/>
    <w:rsid w:val="00DB532A"/>
    <w:rsid w:val="00DB53A5"/>
    <w:rsid w:val="00DB53B7"/>
    <w:rsid w:val="00DB5421"/>
    <w:rsid w:val="00DB5505"/>
    <w:rsid w:val="00DB572D"/>
    <w:rsid w:val="00DB57CA"/>
    <w:rsid w:val="00DB57F3"/>
    <w:rsid w:val="00DB59F7"/>
    <w:rsid w:val="00DB5AC1"/>
    <w:rsid w:val="00DB5B82"/>
    <w:rsid w:val="00DB5B8F"/>
    <w:rsid w:val="00DB5C98"/>
    <w:rsid w:val="00DB5CF1"/>
    <w:rsid w:val="00DB5F2E"/>
    <w:rsid w:val="00DB5F60"/>
    <w:rsid w:val="00DB6047"/>
    <w:rsid w:val="00DB61A1"/>
    <w:rsid w:val="00DB6256"/>
    <w:rsid w:val="00DB62B7"/>
    <w:rsid w:val="00DB6382"/>
    <w:rsid w:val="00DB66C2"/>
    <w:rsid w:val="00DB682C"/>
    <w:rsid w:val="00DB6968"/>
    <w:rsid w:val="00DB6989"/>
    <w:rsid w:val="00DB6A0A"/>
    <w:rsid w:val="00DB6A9B"/>
    <w:rsid w:val="00DB6B6E"/>
    <w:rsid w:val="00DB6C06"/>
    <w:rsid w:val="00DB6DE2"/>
    <w:rsid w:val="00DB6E8A"/>
    <w:rsid w:val="00DB6EE2"/>
    <w:rsid w:val="00DB6F95"/>
    <w:rsid w:val="00DB6FC3"/>
    <w:rsid w:val="00DB700E"/>
    <w:rsid w:val="00DB7092"/>
    <w:rsid w:val="00DB712C"/>
    <w:rsid w:val="00DB713A"/>
    <w:rsid w:val="00DB72EA"/>
    <w:rsid w:val="00DB7366"/>
    <w:rsid w:val="00DB776D"/>
    <w:rsid w:val="00DB79B8"/>
    <w:rsid w:val="00DB7A92"/>
    <w:rsid w:val="00DB7AB2"/>
    <w:rsid w:val="00DB7B56"/>
    <w:rsid w:val="00DB7C75"/>
    <w:rsid w:val="00DB7D9F"/>
    <w:rsid w:val="00DB7E6B"/>
    <w:rsid w:val="00DB7FC9"/>
    <w:rsid w:val="00DC0076"/>
    <w:rsid w:val="00DC02F9"/>
    <w:rsid w:val="00DC045C"/>
    <w:rsid w:val="00DC051B"/>
    <w:rsid w:val="00DC053B"/>
    <w:rsid w:val="00DC065D"/>
    <w:rsid w:val="00DC077B"/>
    <w:rsid w:val="00DC08BE"/>
    <w:rsid w:val="00DC09A8"/>
    <w:rsid w:val="00DC09ED"/>
    <w:rsid w:val="00DC0A7D"/>
    <w:rsid w:val="00DC0C4E"/>
    <w:rsid w:val="00DC0CAA"/>
    <w:rsid w:val="00DC0D16"/>
    <w:rsid w:val="00DC0D3F"/>
    <w:rsid w:val="00DC0DB2"/>
    <w:rsid w:val="00DC1009"/>
    <w:rsid w:val="00DC1124"/>
    <w:rsid w:val="00DC112F"/>
    <w:rsid w:val="00DC1271"/>
    <w:rsid w:val="00DC12CA"/>
    <w:rsid w:val="00DC130D"/>
    <w:rsid w:val="00DC13C0"/>
    <w:rsid w:val="00DC13F3"/>
    <w:rsid w:val="00DC1504"/>
    <w:rsid w:val="00DC152E"/>
    <w:rsid w:val="00DC15D0"/>
    <w:rsid w:val="00DC18AC"/>
    <w:rsid w:val="00DC1971"/>
    <w:rsid w:val="00DC1A9D"/>
    <w:rsid w:val="00DC1B5B"/>
    <w:rsid w:val="00DC1C3F"/>
    <w:rsid w:val="00DC1D4D"/>
    <w:rsid w:val="00DC1D54"/>
    <w:rsid w:val="00DC1D5E"/>
    <w:rsid w:val="00DC1DB5"/>
    <w:rsid w:val="00DC1F57"/>
    <w:rsid w:val="00DC1F70"/>
    <w:rsid w:val="00DC1F90"/>
    <w:rsid w:val="00DC2030"/>
    <w:rsid w:val="00DC2207"/>
    <w:rsid w:val="00DC22A6"/>
    <w:rsid w:val="00DC239F"/>
    <w:rsid w:val="00DC2450"/>
    <w:rsid w:val="00DC24FB"/>
    <w:rsid w:val="00DC2558"/>
    <w:rsid w:val="00DC2597"/>
    <w:rsid w:val="00DC26D4"/>
    <w:rsid w:val="00DC288F"/>
    <w:rsid w:val="00DC291D"/>
    <w:rsid w:val="00DC296C"/>
    <w:rsid w:val="00DC2972"/>
    <w:rsid w:val="00DC2A0A"/>
    <w:rsid w:val="00DC2A0E"/>
    <w:rsid w:val="00DC2A55"/>
    <w:rsid w:val="00DC2B37"/>
    <w:rsid w:val="00DC2B3F"/>
    <w:rsid w:val="00DC2B5A"/>
    <w:rsid w:val="00DC2B6F"/>
    <w:rsid w:val="00DC2CB5"/>
    <w:rsid w:val="00DC2CD6"/>
    <w:rsid w:val="00DC2CE9"/>
    <w:rsid w:val="00DC2F49"/>
    <w:rsid w:val="00DC3154"/>
    <w:rsid w:val="00DC3194"/>
    <w:rsid w:val="00DC31DD"/>
    <w:rsid w:val="00DC32D4"/>
    <w:rsid w:val="00DC33E3"/>
    <w:rsid w:val="00DC33F5"/>
    <w:rsid w:val="00DC348B"/>
    <w:rsid w:val="00DC356E"/>
    <w:rsid w:val="00DC365C"/>
    <w:rsid w:val="00DC36A4"/>
    <w:rsid w:val="00DC373E"/>
    <w:rsid w:val="00DC37FE"/>
    <w:rsid w:val="00DC39DF"/>
    <w:rsid w:val="00DC3D99"/>
    <w:rsid w:val="00DC3DC9"/>
    <w:rsid w:val="00DC3ED3"/>
    <w:rsid w:val="00DC3F34"/>
    <w:rsid w:val="00DC3FB8"/>
    <w:rsid w:val="00DC3FCB"/>
    <w:rsid w:val="00DC3FDA"/>
    <w:rsid w:val="00DC4120"/>
    <w:rsid w:val="00DC41B6"/>
    <w:rsid w:val="00DC4246"/>
    <w:rsid w:val="00DC42DE"/>
    <w:rsid w:val="00DC4367"/>
    <w:rsid w:val="00DC4402"/>
    <w:rsid w:val="00DC443D"/>
    <w:rsid w:val="00DC4506"/>
    <w:rsid w:val="00DC464B"/>
    <w:rsid w:val="00DC468D"/>
    <w:rsid w:val="00DC46AB"/>
    <w:rsid w:val="00DC4711"/>
    <w:rsid w:val="00DC4722"/>
    <w:rsid w:val="00DC473C"/>
    <w:rsid w:val="00DC47A7"/>
    <w:rsid w:val="00DC47BF"/>
    <w:rsid w:val="00DC4808"/>
    <w:rsid w:val="00DC4844"/>
    <w:rsid w:val="00DC484B"/>
    <w:rsid w:val="00DC495F"/>
    <w:rsid w:val="00DC49DE"/>
    <w:rsid w:val="00DC4C0D"/>
    <w:rsid w:val="00DC4C31"/>
    <w:rsid w:val="00DC4C6E"/>
    <w:rsid w:val="00DC4E47"/>
    <w:rsid w:val="00DC501C"/>
    <w:rsid w:val="00DC5054"/>
    <w:rsid w:val="00DC5057"/>
    <w:rsid w:val="00DC509D"/>
    <w:rsid w:val="00DC512D"/>
    <w:rsid w:val="00DC521B"/>
    <w:rsid w:val="00DC52BF"/>
    <w:rsid w:val="00DC52F5"/>
    <w:rsid w:val="00DC5399"/>
    <w:rsid w:val="00DC5418"/>
    <w:rsid w:val="00DC54FA"/>
    <w:rsid w:val="00DC5683"/>
    <w:rsid w:val="00DC5709"/>
    <w:rsid w:val="00DC5861"/>
    <w:rsid w:val="00DC59F6"/>
    <w:rsid w:val="00DC5AC7"/>
    <w:rsid w:val="00DC5B1D"/>
    <w:rsid w:val="00DC5B2F"/>
    <w:rsid w:val="00DC5BDD"/>
    <w:rsid w:val="00DC5C25"/>
    <w:rsid w:val="00DC5C52"/>
    <w:rsid w:val="00DC5CEF"/>
    <w:rsid w:val="00DC5D46"/>
    <w:rsid w:val="00DC60F8"/>
    <w:rsid w:val="00DC61B7"/>
    <w:rsid w:val="00DC62B9"/>
    <w:rsid w:val="00DC631F"/>
    <w:rsid w:val="00DC6367"/>
    <w:rsid w:val="00DC639A"/>
    <w:rsid w:val="00DC6811"/>
    <w:rsid w:val="00DC684E"/>
    <w:rsid w:val="00DC6950"/>
    <w:rsid w:val="00DC6CFA"/>
    <w:rsid w:val="00DC6E46"/>
    <w:rsid w:val="00DC6F7A"/>
    <w:rsid w:val="00DC6FA9"/>
    <w:rsid w:val="00DC71E2"/>
    <w:rsid w:val="00DC72C0"/>
    <w:rsid w:val="00DC7607"/>
    <w:rsid w:val="00DC779E"/>
    <w:rsid w:val="00DC77C2"/>
    <w:rsid w:val="00DC7967"/>
    <w:rsid w:val="00DC79AE"/>
    <w:rsid w:val="00DC7A9A"/>
    <w:rsid w:val="00DC7B50"/>
    <w:rsid w:val="00DC7B78"/>
    <w:rsid w:val="00DC7BD3"/>
    <w:rsid w:val="00DC7E39"/>
    <w:rsid w:val="00DC7EBB"/>
    <w:rsid w:val="00DD00CC"/>
    <w:rsid w:val="00DD0219"/>
    <w:rsid w:val="00DD022A"/>
    <w:rsid w:val="00DD02A0"/>
    <w:rsid w:val="00DD02EA"/>
    <w:rsid w:val="00DD0363"/>
    <w:rsid w:val="00DD03CA"/>
    <w:rsid w:val="00DD0544"/>
    <w:rsid w:val="00DD0744"/>
    <w:rsid w:val="00DD0850"/>
    <w:rsid w:val="00DD0A4C"/>
    <w:rsid w:val="00DD0A9C"/>
    <w:rsid w:val="00DD0B31"/>
    <w:rsid w:val="00DD0CA8"/>
    <w:rsid w:val="00DD0D29"/>
    <w:rsid w:val="00DD0D7C"/>
    <w:rsid w:val="00DD0DC6"/>
    <w:rsid w:val="00DD0E03"/>
    <w:rsid w:val="00DD0F6B"/>
    <w:rsid w:val="00DD0FAD"/>
    <w:rsid w:val="00DD0FDC"/>
    <w:rsid w:val="00DD1041"/>
    <w:rsid w:val="00DD1048"/>
    <w:rsid w:val="00DD111E"/>
    <w:rsid w:val="00DD125B"/>
    <w:rsid w:val="00DD129D"/>
    <w:rsid w:val="00DD12BF"/>
    <w:rsid w:val="00DD1377"/>
    <w:rsid w:val="00DD13C1"/>
    <w:rsid w:val="00DD143C"/>
    <w:rsid w:val="00DD14A1"/>
    <w:rsid w:val="00DD1577"/>
    <w:rsid w:val="00DD15D2"/>
    <w:rsid w:val="00DD172D"/>
    <w:rsid w:val="00DD188D"/>
    <w:rsid w:val="00DD1A77"/>
    <w:rsid w:val="00DD1B16"/>
    <w:rsid w:val="00DD1DA9"/>
    <w:rsid w:val="00DD2041"/>
    <w:rsid w:val="00DD2366"/>
    <w:rsid w:val="00DD24BA"/>
    <w:rsid w:val="00DD24CC"/>
    <w:rsid w:val="00DD24E1"/>
    <w:rsid w:val="00DD24E3"/>
    <w:rsid w:val="00DD2505"/>
    <w:rsid w:val="00DD264B"/>
    <w:rsid w:val="00DD269B"/>
    <w:rsid w:val="00DD27F8"/>
    <w:rsid w:val="00DD2A14"/>
    <w:rsid w:val="00DD2C30"/>
    <w:rsid w:val="00DD2C9A"/>
    <w:rsid w:val="00DD2CAC"/>
    <w:rsid w:val="00DD2D69"/>
    <w:rsid w:val="00DD2D73"/>
    <w:rsid w:val="00DD2E29"/>
    <w:rsid w:val="00DD2E30"/>
    <w:rsid w:val="00DD2EB6"/>
    <w:rsid w:val="00DD302E"/>
    <w:rsid w:val="00DD30B9"/>
    <w:rsid w:val="00DD30FF"/>
    <w:rsid w:val="00DD3358"/>
    <w:rsid w:val="00DD336F"/>
    <w:rsid w:val="00DD370D"/>
    <w:rsid w:val="00DD38F3"/>
    <w:rsid w:val="00DD38FF"/>
    <w:rsid w:val="00DD3962"/>
    <w:rsid w:val="00DD3A76"/>
    <w:rsid w:val="00DD3B1C"/>
    <w:rsid w:val="00DD3BA8"/>
    <w:rsid w:val="00DD3E99"/>
    <w:rsid w:val="00DD3EA8"/>
    <w:rsid w:val="00DD3F80"/>
    <w:rsid w:val="00DD3F9E"/>
    <w:rsid w:val="00DD41CB"/>
    <w:rsid w:val="00DD41F8"/>
    <w:rsid w:val="00DD42F4"/>
    <w:rsid w:val="00DD44DC"/>
    <w:rsid w:val="00DD44EE"/>
    <w:rsid w:val="00DD451A"/>
    <w:rsid w:val="00DD4581"/>
    <w:rsid w:val="00DD45EA"/>
    <w:rsid w:val="00DD495E"/>
    <w:rsid w:val="00DD4CD7"/>
    <w:rsid w:val="00DD4D2B"/>
    <w:rsid w:val="00DD4E19"/>
    <w:rsid w:val="00DD4F44"/>
    <w:rsid w:val="00DD502A"/>
    <w:rsid w:val="00DD50A2"/>
    <w:rsid w:val="00DD51E3"/>
    <w:rsid w:val="00DD52B7"/>
    <w:rsid w:val="00DD52DB"/>
    <w:rsid w:val="00DD52F9"/>
    <w:rsid w:val="00DD532C"/>
    <w:rsid w:val="00DD541B"/>
    <w:rsid w:val="00DD55D1"/>
    <w:rsid w:val="00DD5691"/>
    <w:rsid w:val="00DD5736"/>
    <w:rsid w:val="00DD586A"/>
    <w:rsid w:val="00DD588E"/>
    <w:rsid w:val="00DD5922"/>
    <w:rsid w:val="00DD595C"/>
    <w:rsid w:val="00DD59D8"/>
    <w:rsid w:val="00DD5A9E"/>
    <w:rsid w:val="00DD5AB3"/>
    <w:rsid w:val="00DD5D68"/>
    <w:rsid w:val="00DD5DFD"/>
    <w:rsid w:val="00DD5F50"/>
    <w:rsid w:val="00DD5FBE"/>
    <w:rsid w:val="00DD618A"/>
    <w:rsid w:val="00DD61E4"/>
    <w:rsid w:val="00DD6242"/>
    <w:rsid w:val="00DD6295"/>
    <w:rsid w:val="00DD634F"/>
    <w:rsid w:val="00DD6408"/>
    <w:rsid w:val="00DD6434"/>
    <w:rsid w:val="00DD6457"/>
    <w:rsid w:val="00DD6548"/>
    <w:rsid w:val="00DD65E5"/>
    <w:rsid w:val="00DD65E6"/>
    <w:rsid w:val="00DD669E"/>
    <w:rsid w:val="00DD682C"/>
    <w:rsid w:val="00DD6852"/>
    <w:rsid w:val="00DD68E2"/>
    <w:rsid w:val="00DD697E"/>
    <w:rsid w:val="00DD69D4"/>
    <w:rsid w:val="00DD6AAF"/>
    <w:rsid w:val="00DD6C6B"/>
    <w:rsid w:val="00DD6DCB"/>
    <w:rsid w:val="00DD6EA5"/>
    <w:rsid w:val="00DD6F34"/>
    <w:rsid w:val="00DD6F45"/>
    <w:rsid w:val="00DD704D"/>
    <w:rsid w:val="00DD70DE"/>
    <w:rsid w:val="00DD711B"/>
    <w:rsid w:val="00DD7286"/>
    <w:rsid w:val="00DD7436"/>
    <w:rsid w:val="00DD7687"/>
    <w:rsid w:val="00DD7880"/>
    <w:rsid w:val="00DD78C5"/>
    <w:rsid w:val="00DD799B"/>
    <w:rsid w:val="00DD7AA9"/>
    <w:rsid w:val="00DD7B5C"/>
    <w:rsid w:val="00DD7C2F"/>
    <w:rsid w:val="00DD7C3A"/>
    <w:rsid w:val="00DD7D1D"/>
    <w:rsid w:val="00DD7EE9"/>
    <w:rsid w:val="00DE005F"/>
    <w:rsid w:val="00DE00B9"/>
    <w:rsid w:val="00DE00BE"/>
    <w:rsid w:val="00DE0122"/>
    <w:rsid w:val="00DE01D6"/>
    <w:rsid w:val="00DE02E1"/>
    <w:rsid w:val="00DE0425"/>
    <w:rsid w:val="00DE052C"/>
    <w:rsid w:val="00DE0838"/>
    <w:rsid w:val="00DE0A16"/>
    <w:rsid w:val="00DE0AC4"/>
    <w:rsid w:val="00DE0B32"/>
    <w:rsid w:val="00DE0B68"/>
    <w:rsid w:val="00DE0BB2"/>
    <w:rsid w:val="00DE0C55"/>
    <w:rsid w:val="00DE0C59"/>
    <w:rsid w:val="00DE0C81"/>
    <w:rsid w:val="00DE0D0B"/>
    <w:rsid w:val="00DE0EC1"/>
    <w:rsid w:val="00DE0EDA"/>
    <w:rsid w:val="00DE0F07"/>
    <w:rsid w:val="00DE0F8B"/>
    <w:rsid w:val="00DE0F96"/>
    <w:rsid w:val="00DE0FCE"/>
    <w:rsid w:val="00DE1081"/>
    <w:rsid w:val="00DE1285"/>
    <w:rsid w:val="00DE13B7"/>
    <w:rsid w:val="00DE1439"/>
    <w:rsid w:val="00DE14DE"/>
    <w:rsid w:val="00DE15DA"/>
    <w:rsid w:val="00DE1654"/>
    <w:rsid w:val="00DE16BC"/>
    <w:rsid w:val="00DE1987"/>
    <w:rsid w:val="00DE19D0"/>
    <w:rsid w:val="00DE19EE"/>
    <w:rsid w:val="00DE1C8F"/>
    <w:rsid w:val="00DE1D3B"/>
    <w:rsid w:val="00DE1D5C"/>
    <w:rsid w:val="00DE1D72"/>
    <w:rsid w:val="00DE1DD9"/>
    <w:rsid w:val="00DE1ED6"/>
    <w:rsid w:val="00DE1F84"/>
    <w:rsid w:val="00DE1FF4"/>
    <w:rsid w:val="00DE2098"/>
    <w:rsid w:val="00DE2099"/>
    <w:rsid w:val="00DE209D"/>
    <w:rsid w:val="00DE20BA"/>
    <w:rsid w:val="00DE2121"/>
    <w:rsid w:val="00DE213C"/>
    <w:rsid w:val="00DE22F4"/>
    <w:rsid w:val="00DE233F"/>
    <w:rsid w:val="00DE2443"/>
    <w:rsid w:val="00DE2544"/>
    <w:rsid w:val="00DE25F1"/>
    <w:rsid w:val="00DE2625"/>
    <w:rsid w:val="00DE26B1"/>
    <w:rsid w:val="00DE26BB"/>
    <w:rsid w:val="00DE277B"/>
    <w:rsid w:val="00DE2792"/>
    <w:rsid w:val="00DE27A6"/>
    <w:rsid w:val="00DE2899"/>
    <w:rsid w:val="00DE2983"/>
    <w:rsid w:val="00DE2A3F"/>
    <w:rsid w:val="00DE2A42"/>
    <w:rsid w:val="00DE2A6E"/>
    <w:rsid w:val="00DE2AE5"/>
    <w:rsid w:val="00DE2B42"/>
    <w:rsid w:val="00DE2BE4"/>
    <w:rsid w:val="00DE2D86"/>
    <w:rsid w:val="00DE2DCF"/>
    <w:rsid w:val="00DE2E00"/>
    <w:rsid w:val="00DE2EE2"/>
    <w:rsid w:val="00DE2F9F"/>
    <w:rsid w:val="00DE30D5"/>
    <w:rsid w:val="00DE30E4"/>
    <w:rsid w:val="00DE334E"/>
    <w:rsid w:val="00DE33FD"/>
    <w:rsid w:val="00DE34BA"/>
    <w:rsid w:val="00DE353D"/>
    <w:rsid w:val="00DE3567"/>
    <w:rsid w:val="00DE360D"/>
    <w:rsid w:val="00DE363E"/>
    <w:rsid w:val="00DE36C9"/>
    <w:rsid w:val="00DE36EA"/>
    <w:rsid w:val="00DE370D"/>
    <w:rsid w:val="00DE39A2"/>
    <w:rsid w:val="00DE3AB2"/>
    <w:rsid w:val="00DE3AF2"/>
    <w:rsid w:val="00DE3D6A"/>
    <w:rsid w:val="00DE3DB1"/>
    <w:rsid w:val="00DE3EC9"/>
    <w:rsid w:val="00DE3F7B"/>
    <w:rsid w:val="00DE402F"/>
    <w:rsid w:val="00DE429A"/>
    <w:rsid w:val="00DE4306"/>
    <w:rsid w:val="00DE430D"/>
    <w:rsid w:val="00DE472B"/>
    <w:rsid w:val="00DE476A"/>
    <w:rsid w:val="00DE4792"/>
    <w:rsid w:val="00DE47F1"/>
    <w:rsid w:val="00DE4AD7"/>
    <w:rsid w:val="00DE4B28"/>
    <w:rsid w:val="00DE4B2A"/>
    <w:rsid w:val="00DE4BBA"/>
    <w:rsid w:val="00DE4BC3"/>
    <w:rsid w:val="00DE4CD3"/>
    <w:rsid w:val="00DE4CDD"/>
    <w:rsid w:val="00DE5207"/>
    <w:rsid w:val="00DE5220"/>
    <w:rsid w:val="00DE5318"/>
    <w:rsid w:val="00DE56B8"/>
    <w:rsid w:val="00DE57B0"/>
    <w:rsid w:val="00DE57EF"/>
    <w:rsid w:val="00DE580B"/>
    <w:rsid w:val="00DE5873"/>
    <w:rsid w:val="00DE593F"/>
    <w:rsid w:val="00DE59BF"/>
    <w:rsid w:val="00DE5B1B"/>
    <w:rsid w:val="00DE5C66"/>
    <w:rsid w:val="00DE5C93"/>
    <w:rsid w:val="00DE5D66"/>
    <w:rsid w:val="00DE5D69"/>
    <w:rsid w:val="00DE5E63"/>
    <w:rsid w:val="00DE5ED3"/>
    <w:rsid w:val="00DE5F9B"/>
    <w:rsid w:val="00DE616B"/>
    <w:rsid w:val="00DE61C6"/>
    <w:rsid w:val="00DE6409"/>
    <w:rsid w:val="00DE6520"/>
    <w:rsid w:val="00DE6549"/>
    <w:rsid w:val="00DE6806"/>
    <w:rsid w:val="00DE68F7"/>
    <w:rsid w:val="00DE698A"/>
    <w:rsid w:val="00DE6BC9"/>
    <w:rsid w:val="00DE6BCA"/>
    <w:rsid w:val="00DE6C56"/>
    <w:rsid w:val="00DE6CAA"/>
    <w:rsid w:val="00DE6E80"/>
    <w:rsid w:val="00DE6E9B"/>
    <w:rsid w:val="00DE6F77"/>
    <w:rsid w:val="00DE6FE6"/>
    <w:rsid w:val="00DE7060"/>
    <w:rsid w:val="00DE73D7"/>
    <w:rsid w:val="00DE765E"/>
    <w:rsid w:val="00DE76EB"/>
    <w:rsid w:val="00DE7A13"/>
    <w:rsid w:val="00DE7B29"/>
    <w:rsid w:val="00DE7B34"/>
    <w:rsid w:val="00DE7C3D"/>
    <w:rsid w:val="00DE7F1E"/>
    <w:rsid w:val="00DE7F40"/>
    <w:rsid w:val="00DF001D"/>
    <w:rsid w:val="00DF0032"/>
    <w:rsid w:val="00DF01FB"/>
    <w:rsid w:val="00DF028C"/>
    <w:rsid w:val="00DF0344"/>
    <w:rsid w:val="00DF0486"/>
    <w:rsid w:val="00DF0571"/>
    <w:rsid w:val="00DF0617"/>
    <w:rsid w:val="00DF06AD"/>
    <w:rsid w:val="00DF0831"/>
    <w:rsid w:val="00DF09B3"/>
    <w:rsid w:val="00DF0B64"/>
    <w:rsid w:val="00DF0C35"/>
    <w:rsid w:val="00DF0C63"/>
    <w:rsid w:val="00DF0E65"/>
    <w:rsid w:val="00DF1057"/>
    <w:rsid w:val="00DF1184"/>
    <w:rsid w:val="00DF12F8"/>
    <w:rsid w:val="00DF1310"/>
    <w:rsid w:val="00DF13CA"/>
    <w:rsid w:val="00DF14F8"/>
    <w:rsid w:val="00DF15A6"/>
    <w:rsid w:val="00DF162A"/>
    <w:rsid w:val="00DF165A"/>
    <w:rsid w:val="00DF17A8"/>
    <w:rsid w:val="00DF17D6"/>
    <w:rsid w:val="00DF1B0F"/>
    <w:rsid w:val="00DF1B2D"/>
    <w:rsid w:val="00DF1B55"/>
    <w:rsid w:val="00DF1CC5"/>
    <w:rsid w:val="00DF1E8E"/>
    <w:rsid w:val="00DF1F76"/>
    <w:rsid w:val="00DF20CE"/>
    <w:rsid w:val="00DF20F7"/>
    <w:rsid w:val="00DF22BD"/>
    <w:rsid w:val="00DF2363"/>
    <w:rsid w:val="00DF237E"/>
    <w:rsid w:val="00DF24A9"/>
    <w:rsid w:val="00DF24E0"/>
    <w:rsid w:val="00DF24EC"/>
    <w:rsid w:val="00DF270C"/>
    <w:rsid w:val="00DF27A3"/>
    <w:rsid w:val="00DF282E"/>
    <w:rsid w:val="00DF2957"/>
    <w:rsid w:val="00DF2AE4"/>
    <w:rsid w:val="00DF2CE7"/>
    <w:rsid w:val="00DF2D0B"/>
    <w:rsid w:val="00DF2D10"/>
    <w:rsid w:val="00DF2D6B"/>
    <w:rsid w:val="00DF2DB9"/>
    <w:rsid w:val="00DF2F24"/>
    <w:rsid w:val="00DF3066"/>
    <w:rsid w:val="00DF30FA"/>
    <w:rsid w:val="00DF3110"/>
    <w:rsid w:val="00DF3160"/>
    <w:rsid w:val="00DF31AB"/>
    <w:rsid w:val="00DF3223"/>
    <w:rsid w:val="00DF3370"/>
    <w:rsid w:val="00DF3393"/>
    <w:rsid w:val="00DF33F5"/>
    <w:rsid w:val="00DF3440"/>
    <w:rsid w:val="00DF3474"/>
    <w:rsid w:val="00DF3504"/>
    <w:rsid w:val="00DF3519"/>
    <w:rsid w:val="00DF3638"/>
    <w:rsid w:val="00DF37E6"/>
    <w:rsid w:val="00DF3894"/>
    <w:rsid w:val="00DF3B1D"/>
    <w:rsid w:val="00DF3B22"/>
    <w:rsid w:val="00DF3BC4"/>
    <w:rsid w:val="00DF3D86"/>
    <w:rsid w:val="00DF3DFA"/>
    <w:rsid w:val="00DF3EDE"/>
    <w:rsid w:val="00DF3FB3"/>
    <w:rsid w:val="00DF4193"/>
    <w:rsid w:val="00DF41BA"/>
    <w:rsid w:val="00DF420F"/>
    <w:rsid w:val="00DF4294"/>
    <w:rsid w:val="00DF442F"/>
    <w:rsid w:val="00DF4521"/>
    <w:rsid w:val="00DF4554"/>
    <w:rsid w:val="00DF45EE"/>
    <w:rsid w:val="00DF4810"/>
    <w:rsid w:val="00DF4852"/>
    <w:rsid w:val="00DF48E3"/>
    <w:rsid w:val="00DF4ACE"/>
    <w:rsid w:val="00DF4BF4"/>
    <w:rsid w:val="00DF4C28"/>
    <w:rsid w:val="00DF4D49"/>
    <w:rsid w:val="00DF4F88"/>
    <w:rsid w:val="00DF4FE4"/>
    <w:rsid w:val="00DF4FE7"/>
    <w:rsid w:val="00DF5076"/>
    <w:rsid w:val="00DF512A"/>
    <w:rsid w:val="00DF5136"/>
    <w:rsid w:val="00DF517B"/>
    <w:rsid w:val="00DF52DD"/>
    <w:rsid w:val="00DF54E9"/>
    <w:rsid w:val="00DF55FB"/>
    <w:rsid w:val="00DF5656"/>
    <w:rsid w:val="00DF584F"/>
    <w:rsid w:val="00DF5854"/>
    <w:rsid w:val="00DF594B"/>
    <w:rsid w:val="00DF59D0"/>
    <w:rsid w:val="00DF5B1D"/>
    <w:rsid w:val="00DF5B8C"/>
    <w:rsid w:val="00DF5BDD"/>
    <w:rsid w:val="00DF5DD8"/>
    <w:rsid w:val="00DF5DF9"/>
    <w:rsid w:val="00DF5E92"/>
    <w:rsid w:val="00DF5E9A"/>
    <w:rsid w:val="00DF5FDE"/>
    <w:rsid w:val="00DF6185"/>
    <w:rsid w:val="00DF6193"/>
    <w:rsid w:val="00DF6252"/>
    <w:rsid w:val="00DF63F3"/>
    <w:rsid w:val="00DF65A5"/>
    <w:rsid w:val="00DF65F6"/>
    <w:rsid w:val="00DF668C"/>
    <w:rsid w:val="00DF6692"/>
    <w:rsid w:val="00DF66CD"/>
    <w:rsid w:val="00DF689A"/>
    <w:rsid w:val="00DF6A81"/>
    <w:rsid w:val="00DF6AA7"/>
    <w:rsid w:val="00DF6AB1"/>
    <w:rsid w:val="00DF6AC6"/>
    <w:rsid w:val="00DF6ACA"/>
    <w:rsid w:val="00DF6AFC"/>
    <w:rsid w:val="00DF6AFD"/>
    <w:rsid w:val="00DF6BE8"/>
    <w:rsid w:val="00DF6BFE"/>
    <w:rsid w:val="00DF6C39"/>
    <w:rsid w:val="00DF6CAB"/>
    <w:rsid w:val="00DF6CDD"/>
    <w:rsid w:val="00DF6CFC"/>
    <w:rsid w:val="00DF6D2D"/>
    <w:rsid w:val="00DF6DC8"/>
    <w:rsid w:val="00DF6E10"/>
    <w:rsid w:val="00DF6F46"/>
    <w:rsid w:val="00DF6FF5"/>
    <w:rsid w:val="00DF7134"/>
    <w:rsid w:val="00DF7175"/>
    <w:rsid w:val="00DF71D6"/>
    <w:rsid w:val="00DF7225"/>
    <w:rsid w:val="00DF7263"/>
    <w:rsid w:val="00DF7281"/>
    <w:rsid w:val="00DF72F2"/>
    <w:rsid w:val="00DF7331"/>
    <w:rsid w:val="00DF73A4"/>
    <w:rsid w:val="00DF73F0"/>
    <w:rsid w:val="00DF75FC"/>
    <w:rsid w:val="00DF76FE"/>
    <w:rsid w:val="00DF77B1"/>
    <w:rsid w:val="00DF785B"/>
    <w:rsid w:val="00DF791F"/>
    <w:rsid w:val="00DF7940"/>
    <w:rsid w:val="00DF79DD"/>
    <w:rsid w:val="00DF7A35"/>
    <w:rsid w:val="00DF7B89"/>
    <w:rsid w:val="00DF7C75"/>
    <w:rsid w:val="00DF7CD5"/>
    <w:rsid w:val="00DF7D89"/>
    <w:rsid w:val="00DF7DA0"/>
    <w:rsid w:val="00DF7DC5"/>
    <w:rsid w:val="00DF7E1F"/>
    <w:rsid w:val="00DF7E3E"/>
    <w:rsid w:val="00DF7EA6"/>
    <w:rsid w:val="00DF7FF3"/>
    <w:rsid w:val="00E00093"/>
    <w:rsid w:val="00E001FF"/>
    <w:rsid w:val="00E00216"/>
    <w:rsid w:val="00E0039C"/>
    <w:rsid w:val="00E00775"/>
    <w:rsid w:val="00E00AF1"/>
    <w:rsid w:val="00E00BA7"/>
    <w:rsid w:val="00E00C3A"/>
    <w:rsid w:val="00E00C66"/>
    <w:rsid w:val="00E00D29"/>
    <w:rsid w:val="00E00E60"/>
    <w:rsid w:val="00E00E81"/>
    <w:rsid w:val="00E00EBE"/>
    <w:rsid w:val="00E00F4C"/>
    <w:rsid w:val="00E011C1"/>
    <w:rsid w:val="00E01222"/>
    <w:rsid w:val="00E0127F"/>
    <w:rsid w:val="00E013BE"/>
    <w:rsid w:val="00E0153F"/>
    <w:rsid w:val="00E0164C"/>
    <w:rsid w:val="00E017E8"/>
    <w:rsid w:val="00E0180F"/>
    <w:rsid w:val="00E019A8"/>
    <w:rsid w:val="00E01A1C"/>
    <w:rsid w:val="00E01A93"/>
    <w:rsid w:val="00E01BA3"/>
    <w:rsid w:val="00E01BC7"/>
    <w:rsid w:val="00E01C5D"/>
    <w:rsid w:val="00E01E66"/>
    <w:rsid w:val="00E01F7D"/>
    <w:rsid w:val="00E02077"/>
    <w:rsid w:val="00E02088"/>
    <w:rsid w:val="00E020EE"/>
    <w:rsid w:val="00E0211B"/>
    <w:rsid w:val="00E0218D"/>
    <w:rsid w:val="00E021AD"/>
    <w:rsid w:val="00E022DE"/>
    <w:rsid w:val="00E02480"/>
    <w:rsid w:val="00E02530"/>
    <w:rsid w:val="00E02658"/>
    <w:rsid w:val="00E02665"/>
    <w:rsid w:val="00E027D4"/>
    <w:rsid w:val="00E029D9"/>
    <w:rsid w:val="00E02B94"/>
    <w:rsid w:val="00E02BEE"/>
    <w:rsid w:val="00E02C06"/>
    <w:rsid w:val="00E02CB2"/>
    <w:rsid w:val="00E02D76"/>
    <w:rsid w:val="00E02E16"/>
    <w:rsid w:val="00E0300D"/>
    <w:rsid w:val="00E030B7"/>
    <w:rsid w:val="00E03167"/>
    <w:rsid w:val="00E0320E"/>
    <w:rsid w:val="00E033F9"/>
    <w:rsid w:val="00E0341B"/>
    <w:rsid w:val="00E03488"/>
    <w:rsid w:val="00E034D7"/>
    <w:rsid w:val="00E03545"/>
    <w:rsid w:val="00E03617"/>
    <w:rsid w:val="00E036BE"/>
    <w:rsid w:val="00E03968"/>
    <w:rsid w:val="00E03D7C"/>
    <w:rsid w:val="00E03D9E"/>
    <w:rsid w:val="00E03E60"/>
    <w:rsid w:val="00E03EBC"/>
    <w:rsid w:val="00E03ECC"/>
    <w:rsid w:val="00E03FB5"/>
    <w:rsid w:val="00E03FF3"/>
    <w:rsid w:val="00E0404C"/>
    <w:rsid w:val="00E04294"/>
    <w:rsid w:val="00E042AC"/>
    <w:rsid w:val="00E04377"/>
    <w:rsid w:val="00E04442"/>
    <w:rsid w:val="00E044BD"/>
    <w:rsid w:val="00E044BF"/>
    <w:rsid w:val="00E044C2"/>
    <w:rsid w:val="00E04556"/>
    <w:rsid w:val="00E04596"/>
    <w:rsid w:val="00E0459E"/>
    <w:rsid w:val="00E045F2"/>
    <w:rsid w:val="00E046AE"/>
    <w:rsid w:val="00E046B6"/>
    <w:rsid w:val="00E046F2"/>
    <w:rsid w:val="00E047DA"/>
    <w:rsid w:val="00E047FA"/>
    <w:rsid w:val="00E0487A"/>
    <w:rsid w:val="00E04A83"/>
    <w:rsid w:val="00E04B92"/>
    <w:rsid w:val="00E04BF4"/>
    <w:rsid w:val="00E04CC8"/>
    <w:rsid w:val="00E04D5C"/>
    <w:rsid w:val="00E04D6C"/>
    <w:rsid w:val="00E04DC7"/>
    <w:rsid w:val="00E04F2B"/>
    <w:rsid w:val="00E05227"/>
    <w:rsid w:val="00E05252"/>
    <w:rsid w:val="00E056C3"/>
    <w:rsid w:val="00E0577A"/>
    <w:rsid w:val="00E0592A"/>
    <w:rsid w:val="00E05CA0"/>
    <w:rsid w:val="00E05CD3"/>
    <w:rsid w:val="00E05D67"/>
    <w:rsid w:val="00E05F07"/>
    <w:rsid w:val="00E05FB7"/>
    <w:rsid w:val="00E05FC3"/>
    <w:rsid w:val="00E05FC9"/>
    <w:rsid w:val="00E05FD2"/>
    <w:rsid w:val="00E06032"/>
    <w:rsid w:val="00E06070"/>
    <w:rsid w:val="00E06293"/>
    <w:rsid w:val="00E062B9"/>
    <w:rsid w:val="00E064C5"/>
    <w:rsid w:val="00E064D0"/>
    <w:rsid w:val="00E06594"/>
    <w:rsid w:val="00E065A9"/>
    <w:rsid w:val="00E0694B"/>
    <w:rsid w:val="00E06982"/>
    <w:rsid w:val="00E069A1"/>
    <w:rsid w:val="00E06B7E"/>
    <w:rsid w:val="00E06B98"/>
    <w:rsid w:val="00E06C23"/>
    <w:rsid w:val="00E06C73"/>
    <w:rsid w:val="00E06D07"/>
    <w:rsid w:val="00E07134"/>
    <w:rsid w:val="00E07198"/>
    <w:rsid w:val="00E0720C"/>
    <w:rsid w:val="00E07564"/>
    <w:rsid w:val="00E07727"/>
    <w:rsid w:val="00E07779"/>
    <w:rsid w:val="00E077CD"/>
    <w:rsid w:val="00E077E7"/>
    <w:rsid w:val="00E07890"/>
    <w:rsid w:val="00E078AA"/>
    <w:rsid w:val="00E07995"/>
    <w:rsid w:val="00E079E1"/>
    <w:rsid w:val="00E07AD7"/>
    <w:rsid w:val="00E07B42"/>
    <w:rsid w:val="00E07F0D"/>
    <w:rsid w:val="00E100F1"/>
    <w:rsid w:val="00E10128"/>
    <w:rsid w:val="00E10172"/>
    <w:rsid w:val="00E101C2"/>
    <w:rsid w:val="00E103F3"/>
    <w:rsid w:val="00E1054B"/>
    <w:rsid w:val="00E1057F"/>
    <w:rsid w:val="00E1061D"/>
    <w:rsid w:val="00E1061F"/>
    <w:rsid w:val="00E1065A"/>
    <w:rsid w:val="00E10856"/>
    <w:rsid w:val="00E109A6"/>
    <w:rsid w:val="00E10C8A"/>
    <w:rsid w:val="00E11071"/>
    <w:rsid w:val="00E110A8"/>
    <w:rsid w:val="00E110C0"/>
    <w:rsid w:val="00E113B4"/>
    <w:rsid w:val="00E113E5"/>
    <w:rsid w:val="00E11625"/>
    <w:rsid w:val="00E1170E"/>
    <w:rsid w:val="00E11719"/>
    <w:rsid w:val="00E11746"/>
    <w:rsid w:val="00E11AB8"/>
    <w:rsid w:val="00E11B21"/>
    <w:rsid w:val="00E11C1F"/>
    <w:rsid w:val="00E11DD8"/>
    <w:rsid w:val="00E11FDE"/>
    <w:rsid w:val="00E11FE1"/>
    <w:rsid w:val="00E121F4"/>
    <w:rsid w:val="00E12273"/>
    <w:rsid w:val="00E12400"/>
    <w:rsid w:val="00E1241A"/>
    <w:rsid w:val="00E12574"/>
    <w:rsid w:val="00E12614"/>
    <w:rsid w:val="00E12A7C"/>
    <w:rsid w:val="00E12B4B"/>
    <w:rsid w:val="00E12B90"/>
    <w:rsid w:val="00E12BCE"/>
    <w:rsid w:val="00E12D45"/>
    <w:rsid w:val="00E12D6D"/>
    <w:rsid w:val="00E12DB8"/>
    <w:rsid w:val="00E12DD0"/>
    <w:rsid w:val="00E12E41"/>
    <w:rsid w:val="00E12F4D"/>
    <w:rsid w:val="00E131F7"/>
    <w:rsid w:val="00E132AC"/>
    <w:rsid w:val="00E132CB"/>
    <w:rsid w:val="00E133C4"/>
    <w:rsid w:val="00E13406"/>
    <w:rsid w:val="00E13435"/>
    <w:rsid w:val="00E1345A"/>
    <w:rsid w:val="00E134FB"/>
    <w:rsid w:val="00E13504"/>
    <w:rsid w:val="00E13539"/>
    <w:rsid w:val="00E13699"/>
    <w:rsid w:val="00E13740"/>
    <w:rsid w:val="00E137A9"/>
    <w:rsid w:val="00E137B7"/>
    <w:rsid w:val="00E139C2"/>
    <w:rsid w:val="00E13A4A"/>
    <w:rsid w:val="00E13A62"/>
    <w:rsid w:val="00E13B98"/>
    <w:rsid w:val="00E13C61"/>
    <w:rsid w:val="00E13F5E"/>
    <w:rsid w:val="00E13FA5"/>
    <w:rsid w:val="00E13FDB"/>
    <w:rsid w:val="00E140CA"/>
    <w:rsid w:val="00E14125"/>
    <w:rsid w:val="00E14221"/>
    <w:rsid w:val="00E14266"/>
    <w:rsid w:val="00E1443C"/>
    <w:rsid w:val="00E145D3"/>
    <w:rsid w:val="00E146C5"/>
    <w:rsid w:val="00E1470B"/>
    <w:rsid w:val="00E147C5"/>
    <w:rsid w:val="00E1494F"/>
    <w:rsid w:val="00E1496C"/>
    <w:rsid w:val="00E149A6"/>
    <w:rsid w:val="00E149B8"/>
    <w:rsid w:val="00E149E6"/>
    <w:rsid w:val="00E14B2E"/>
    <w:rsid w:val="00E14B30"/>
    <w:rsid w:val="00E14B35"/>
    <w:rsid w:val="00E14D8C"/>
    <w:rsid w:val="00E14E78"/>
    <w:rsid w:val="00E14F29"/>
    <w:rsid w:val="00E14FB6"/>
    <w:rsid w:val="00E15016"/>
    <w:rsid w:val="00E1503F"/>
    <w:rsid w:val="00E150F3"/>
    <w:rsid w:val="00E15180"/>
    <w:rsid w:val="00E153CC"/>
    <w:rsid w:val="00E153E2"/>
    <w:rsid w:val="00E15412"/>
    <w:rsid w:val="00E15481"/>
    <w:rsid w:val="00E15562"/>
    <w:rsid w:val="00E1570B"/>
    <w:rsid w:val="00E15738"/>
    <w:rsid w:val="00E1574A"/>
    <w:rsid w:val="00E1577B"/>
    <w:rsid w:val="00E158BB"/>
    <w:rsid w:val="00E1599D"/>
    <w:rsid w:val="00E159BA"/>
    <w:rsid w:val="00E15CE5"/>
    <w:rsid w:val="00E15CF6"/>
    <w:rsid w:val="00E15DD9"/>
    <w:rsid w:val="00E15FD2"/>
    <w:rsid w:val="00E1614C"/>
    <w:rsid w:val="00E161B8"/>
    <w:rsid w:val="00E161FC"/>
    <w:rsid w:val="00E16248"/>
    <w:rsid w:val="00E1626A"/>
    <w:rsid w:val="00E162EC"/>
    <w:rsid w:val="00E1634A"/>
    <w:rsid w:val="00E1659C"/>
    <w:rsid w:val="00E166A8"/>
    <w:rsid w:val="00E166C4"/>
    <w:rsid w:val="00E166E1"/>
    <w:rsid w:val="00E16704"/>
    <w:rsid w:val="00E1678F"/>
    <w:rsid w:val="00E167EB"/>
    <w:rsid w:val="00E167F7"/>
    <w:rsid w:val="00E168DE"/>
    <w:rsid w:val="00E169DC"/>
    <w:rsid w:val="00E16CA5"/>
    <w:rsid w:val="00E1705E"/>
    <w:rsid w:val="00E17144"/>
    <w:rsid w:val="00E17380"/>
    <w:rsid w:val="00E173C6"/>
    <w:rsid w:val="00E17405"/>
    <w:rsid w:val="00E174B4"/>
    <w:rsid w:val="00E17643"/>
    <w:rsid w:val="00E176D4"/>
    <w:rsid w:val="00E17762"/>
    <w:rsid w:val="00E17AC6"/>
    <w:rsid w:val="00E17D40"/>
    <w:rsid w:val="00E17D78"/>
    <w:rsid w:val="00E17DC3"/>
    <w:rsid w:val="00E17E7E"/>
    <w:rsid w:val="00E17FD0"/>
    <w:rsid w:val="00E20004"/>
    <w:rsid w:val="00E20066"/>
    <w:rsid w:val="00E200CA"/>
    <w:rsid w:val="00E2026C"/>
    <w:rsid w:val="00E20364"/>
    <w:rsid w:val="00E203E0"/>
    <w:rsid w:val="00E203F7"/>
    <w:rsid w:val="00E205EB"/>
    <w:rsid w:val="00E205F3"/>
    <w:rsid w:val="00E206D4"/>
    <w:rsid w:val="00E20972"/>
    <w:rsid w:val="00E2098F"/>
    <w:rsid w:val="00E209F3"/>
    <w:rsid w:val="00E20AB5"/>
    <w:rsid w:val="00E20AC5"/>
    <w:rsid w:val="00E20CC6"/>
    <w:rsid w:val="00E20CFC"/>
    <w:rsid w:val="00E20EB6"/>
    <w:rsid w:val="00E20EE3"/>
    <w:rsid w:val="00E20EED"/>
    <w:rsid w:val="00E20F9E"/>
    <w:rsid w:val="00E20FB1"/>
    <w:rsid w:val="00E210BD"/>
    <w:rsid w:val="00E21162"/>
    <w:rsid w:val="00E2116E"/>
    <w:rsid w:val="00E213F4"/>
    <w:rsid w:val="00E2144B"/>
    <w:rsid w:val="00E2155F"/>
    <w:rsid w:val="00E2159B"/>
    <w:rsid w:val="00E215B3"/>
    <w:rsid w:val="00E216B9"/>
    <w:rsid w:val="00E218D9"/>
    <w:rsid w:val="00E2197A"/>
    <w:rsid w:val="00E21B19"/>
    <w:rsid w:val="00E21BA6"/>
    <w:rsid w:val="00E21BA8"/>
    <w:rsid w:val="00E21BB4"/>
    <w:rsid w:val="00E21C8C"/>
    <w:rsid w:val="00E21E71"/>
    <w:rsid w:val="00E21EA6"/>
    <w:rsid w:val="00E21ED4"/>
    <w:rsid w:val="00E21F78"/>
    <w:rsid w:val="00E2200E"/>
    <w:rsid w:val="00E22072"/>
    <w:rsid w:val="00E221BA"/>
    <w:rsid w:val="00E221DA"/>
    <w:rsid w:val="00E222B9"/>
    <w:rsid w:val="00E222FB"/>
    <w:rsid w:val="00E22660"/>
    <w:rsid w:val="00E2269E"/>
    <w:rsid w:val="00E226A8"/>
    <w:rsid w:val="00E22781"/>
    <w:rsid w:val="00E2279A"/>
    <w:rsid w:val="00E227DA"/>
    <w:rsid w:val="00E22948"/>
    <w:rsid w:val="00E22A4B"/>
    <w:rsid w:val="00E22ADF"/>
    <w:rsid w:val="00E22B13"/>
    <w:rsid w:val="00E22CBF"/>
    <w:rsid w:val="00E22DF8"/>
    <w:rsid w:val="00E22E46"/>
    <w:rsid w:val="00E22EE8"/>
    <w:rsid w:val="00E22F34"/>
    <w:rsid w:val="00E22F68"/>
    <w:rsid w:val="00E230DA"/>
    <w:rsid w:val="00E2313F"/>
    <w:rsid w:val="00E232D2"/>
    <w:rsid w:val="00E232F3"/>
    <w:rsid w:val="00E23303"/>
    <w:rsid w:val="00E234CC"/>
    <w:rsid w:val="00E235C3"/>
    <w:rsid w:val="00E23609"/>
    <w:rsid w:val="00E23614"/>
    <w:rsid w:val="00E23633"/>
    <w:rsid w:val="00E237CE"/>
    <w:rsid w:val="00E23894"/>
    <w:rsid w:val="00E238AA"/>
    <w:rsid w:val="00E23A0F"/>
    <w:rsid w:val="00E23A65"/>
    <w:rsid w:val="00E23AE1"/>
    <w:rsid w:val="00E23BA2"/>
    <w:rsid w:val="00E23C26"/>
    <w:rsid w:val="00E24031"/>
    <w:rsid w:val="00E2406C"/>
    <w:rsid w:val="00E240AB"/>
    <w:rsid w:val="00E24160"/>
    <w:rsid w:val="00E24174"/>
    <w:rsid w:val="00E241A4"/>
    <w:rsid w:val="00E241BA"/>
    <w:rsid w:val="00E2421F"/>
    <w:rsid w:val="00E242FC"/>
    <w:rsid w:val="00E2457A"/>
    <w:rsid w:val="00E2469B"/>
    <w:rsid w:val="00E2471D"/>
    <w:rsid w:val="00E24788"/>
    <w:rsid w:val="00E2497B"/>
    <w:rsid w:val="00E24990"/>
    <w:rsid w:val="00E24A25"/>
    <w:rsid w:val="00E24A5B"/>
    <w:rsid w:val="00E24AB0"/>
    <w:rsid w:val="00E24AC0"/>
    <w:rsid w:val="00E24AF0"/>
    <w:rsid w:val="00E24B5D"/>
    <w:rsid w:val="00E24C28"/>
    <w:rsid w:val="00E24C30"/>
    <w:rsid w:val="00E24CED"/>
    <w:rsid w:val="00E24E7E"/>
    <w:rsid w:val="00E24F8B"/>
    <w:rsid w:val="00E25027"/>
    <w:rsid w:val="00E25188"/>
    <w:rsid w:val="00E252DE"/>
    <w:rsid w:val="00E25344"/>
    <w:rsid w:val="00E25587"/>
    <w:rsid w:val="00E255A7"/>
    <w:rsid w:val="00E25723"/>
    <w:rsid w:val="00E258EE"/>
    <w:rsid w:val="00E25933"/>
    <w:rsid w:val="00E259AC"/>
    <w:rsid w:val="00E25BFC"/>
    <w:rsid w:val="00E25BFD"/>
    <w:rsid w:val="00E25C16"/>
    <w:rsid w:val="00E25DD2"/>
    <w:rsid w:val="00E25EE0"/>
    <w:rsid w:val="00E25EF5"/>
    <w:rsid w:val="00E25F1F"/>
    <w:rsid w:val="00E26109"/>
    <w:rsid w:val="00E26243"/>
    <w:rsid w:val="00E26579"/>
    <w:rsid w:val="00E265C0"/>
    <w:rsid w:val="00E2676E"/>
    <w:rsid w:val="00E2679E"/>
    <w:rsid w:val="00E268CD"/>
    <w:rsid w:val="00E26A12"/>
    <w:rsid w:val="00E26A6E"/>
    <w:rsid w:val="00E26A9E"/>
    <w:rsid w:val="00E26AFB"/>
    <w:rsid w:val="00E26BFE"/>
    <w:rsid w:val="00E26C1D"/>
    <w:rsid w:val="00E26C52"/>
    <w:rsid w:val="00E26D57"/>
    <w:rsid w:val="00E26E17"/>
    <w:rsid w:val="00E26E90"/>
    <w:rsid w:val="00E26EF2"/>
    <w:rsid w:val="00E26FD2"/>
    <w:rsid w:val="00E2711A"/>
    <w:rsid w:val="00E27212"/>
    <w:rsid w:val="00E2727A"/>
    <w:rsid w:val="00E272CD"/>
    <w:rsid w:val="00E272FB"/>
    <w:rsid w:val="00E27320"/>
    <w:rsid w:val="00E274C6"/>
    <w:rsid w:val="00E2753C"/>
    <w:rsid w:val="00E275A6"/>
    <w:rsid w:val="00E275AF"/>
    <w:rsid w:val="00E275EA"/>
    <w:rsid w:val="00E27648"/>
    <w:rsid w:val="00E27720"/>
    <w:rsid w:val="00E2778D"/>
    <w:rsid w:val="00E278F7"/>
    <w:rsid w:val="00E27A0B"/>
    <w:rsid w:val="00E27A68"/>
    <w:rsid w:val="00E27B53"/>
    <w:rsid w:val="00E27C6F"/>
    <w:rsid w:val="00E27C70"/>
    <w:rsid w:val="00E27D22"/>
    <w:rsid w:val="00E27D2C"/>
    <w:rsid w:val="00E27EF4"/>
    <w:rsid w:val="00E27F11"/>
    <w:rsid w:val="00E27F9D"/>
    <w:rsid w:val="00E3005F"/>
    <w:rsid w:val="00E30095"/>
    <w:rsid w:val="00E3010F"/>
    <w:rsid w:val="00E30185"/>
    <w:rsid w:val="00E301E9"/>
    <w:rsid w:val="00E303DC"/>
    <w:rsid w:val="00E30451"/>
    <w:rsid w:val="00E304B9"/>
    <w:rsid w:val="00E3057A"/>
    <w:rsid w:val="00E3060D"/>
    <w:rsid w:val="00E30634"/>
    <w:rsid w:val="00E30943"/>
    <w:rsid w:val="00E30982"/>
    <w:rsid w:val="00E30A45"/>
    <w:rsid w:val="00E30A7B"/>
    <w:rsid w:val="00E30AB5"/>
    <w:rsid w:val="00E30DD7"/>
    <w:rsid w:val="00E30EA4"/>
    <w:rsid w:val="00E30EB0"/>
    <w:rsid w:val="00E31198"/>
    <w:rsid w:val="00E311E4"/>
    <w:rsid w:val="00E31346"/>
    <w:rsid w:val="00E3134B"/>
    <w:rsid w:val="00E31419"/>
    <w:rsid w:val="00E3174F"/>
    <w:rsid w:val="00E31984"/>
    <w:rsid w:val="00E319DE"/>
    <w:rsid w:val="00E31A05"/>
    <w:rsid w:val="00E31BC1"/>
    <w:rsid w:val="00E31C59"/>
    <w:rsid w:val="00E31E9A"/>
    <w:rsid w:val="00E31ECE"/>
    <w:rsid w:val="00E31F24"/>
    <w:rsid w:val="00E31FD7"/>
    <w:rsid w:val="00E32053"/>
    <w:rsid w:val="00E3209D"/>
    <w:rsid w:val="00E3214B"/>
    <w:rsid w:val="00E3223C"/>
    <w:rsid w:val="00E32358"/>
    <w:rsid w:val="00E32559"/>
    <w:rsid w:val="00E325D3"/>
    <w:rsid w:val="00E3266F"/>
    <w:rsid w:val="00E3271C"/>
    <w:rsid w:val="00E32735"/>
    <w:rsid w:val="00E3274A"/>
    <w:rsid w:val="00E32912"/>
    <w:rsid w:val="00E32A35"/>
    <w:rsid w:val="00E32AFC"/>
    <w:rsid w:val="00E32BE0"/>
    <w:rsid w:val="00E32C1A"/>
    <w:rsid w:val="00E32CBC"/>
    <w:rsid w:val="00E32D7A"/>
    <w:rsid w:val="00E32DBB"/>
    <w:rsid w:val="00E32E2B"/>
    <w:rsid w:val="00E32E6A"/>
    <w:rsid w:val="00E32F86"/>
    <w:rsid w:val="00E33050"/>
    <w:rsid w:val="00E331A8"/>
    <w:rsid w:val="00E33237"/>
    <w:rsid w:val="00E33254"/>
    <w:rsid w:val="00E332AD"/>
    <w:rsid w:val="00E33327"/>
    <w:rsid w:val="00E3336F"/>
    <w:rsid w:val="00E3357F"/>
    <w:rsid w:val="00E33894"/>
    <w:rsid w:val="00E338DF"/>
    <w:rsid w:val="00E3391B"/>
    <w:rsid w:val="00E33928"/>
    <w:rsid w:val="00E3392F"/>
    <w:rsid w:val="00E33965"/>
    <w:rsid w:val="00E33B46"/>
    <w:rsid w:val="00E33BFF"/>
    <w:rsid w:val="00E33D02"/>
    <w:rsid w:val="00E33EB6"/>
    <w:rsid w:val="00E34036"/>
    <w:rsid w:val="00E34171"/>
    <w:rsid w:val="00E3429D"/>
    <w:rsid w:val="00E3438D"/>
    <w:rsid w:val="00E343CE"/>
    <w:rsid w:val="00E344D1"/>
    <w:rsid w:val="00E345D3"/>
    <w:rsid w:val="00E34650"/>
    <w:rsid w:val="00E347A9"/>
    <w:rsid w:val="00E34838"/>
    <w:rsid w:val="00E3493B"/>
    <w:rsid w:val="00E34AAF"/>
    <w:rsid w:val="00E34B64"/>
    <w:rsid w:val="00E34B77"/>
    <w:rsid w:val="00E34B8D"/>
    <w:rsid w:val="00E34C2E"/>
    <w:rsid w:val="00E34C7D"/>
    <w:rsid w:val="00E34C99"/>
    <w:rsid w:val="00E3507C"/>
    <w:rsid w:val="00E350FA"/>
    <w:rsid w:val="00E35185"/>
    <w:rsid w:val="00E3526A"/>
    <w:rsid w:val="00E35272"/>
    <w:rsid w:val="00E353E8"/>
    <w:rsid w:val="00E3549A"/>
    <w:rsid w:val="00E354AC"/>
    <w:rsid w:val="00E35697"/>
    <w:rsid w:val="00E356A9"/>
    <w:rsid w:val="00E35767"/>
    <w:rsid w:val="00E357C5"/>
    <w:rsid w:val="00E3580E"/>
    <w:rsid w:val="00E358C0"/>
    <w:rsid w:val="00E35983"/>
    <w:rsid w:val="00E35ACA"/>
    <w:rsid w:val="00E35C2B"/>
    <w:rsid w:val="00E35D1C"/>
    <w:rsid w:val="00E35D76"/>
    <w:rsid w:val="00E35DB8"/>
    <w:rsid w:val="00E35E43"/>
    <w:rsid w:val="00E35EEE"/>
    <w:rsid w:val="00E35EF4"/>
    <w:rsid w:val="00E360B7"/>
    <w:rsid w:val="00E3625A"/>
    <w:rsid w:val="00E36281"/>
    <w:rsid w:val="00E362E1"/>
    <w:rsid w:val="00E36360"/>
    <w:rsid w:val="00E364C6"/>
    <w:rsid w:val="00E364D2"/>
    <w:rsid w:val="00E367CD"/>
    <w:rsid w:val="00E367D6"/>
    <w:rsid w:val="00E369DA"/>
    <w:rsid w:val="00E36A17"/>
    <w:rsid w:val="00E36A9B"/>
    <w:rsid w:val="00E36CE2"/>
    <w:rsid w:val="00E36D90"/>
    <w:rsid w:val="00E37036"/>
    <w:rsid w:val="00E3703F"/>
    <w:rsid w:val="00E37391"/>
    <w:rsid w:val="00E374DE"/>
    <w:rsid w:val="00E374EF"/>
    <w:rsid w:val="00E375DB"/>
    <w:rsid w:val="00E3778F"/>
    <w:rsid w:val="00E377C2"/>
    <w:rsid w:val="00E378A3"/>
    <w:rsid w:val="00E37A62"/>
    <w:rsid w:val="00E37B01"/>
    <w:rsid w:val="00E37C24"/>
    <w:rsid w:val="00E37D45"/>
    <w:rsid w:val="00E37F69"/>
    <w:rsid w:val="00E37FAF"/>
    <w:rsid w:val="00E40021"/>
    <w:rsid w:val="00E400AF"/>
    <w:rsid w:val="00E4024F"/>
    <w:rsid w:val="00E40264"/>
    <w:rsid w:val="00E40305"/>
    <w:rsid w:val="00E40438"/>
    <w:rsid w:val="00E404A9"/>
    <w:rsid w:val="00E4051C"/>
    <w:rsid w:val="00E40544"/>
    <w:rsid w:val="00E40867"/>
    <w:rsid w:val="00E40909"/>
    <w:rsid w:val="00E40945"/>
    <w:rsid w:val="00E40978"/>
    <w:rsid w:val="00E40C1E"/>
    <w:rsid w:val="00E40C9B"/>
    <w:rsid w:val="00E40CB1"/>
    <w:rsid w:val="00E40D9F"/>
    <w:rsid w:val="00E40EB7"/>
    <w:rsid w:val="00E40F53"/>
    <w:rsid w:val="00E41011"/>
    <w:rsid w:val="00E410EE"/>
    <w:rsid w:val="00E41110"/>
    <w:rsid w:val="00E4126B"/>
    <w:rsid w:val="00E41280"/>
    <w:rsid w:val="00E412CB"/>
    <w:rsid w:val="00E412CC"/>
    <w:rsid w:val="00E4140E"/>
    <w:rsid w:val="00E414BF"/>
    <w:rsid w:val="00E415DA"/>
    <w:rsid w:val="00E41791"/>
    <w:rsid w:val="00E418B9"/>
    <w:rsid w:val="00E4190D"/>
    <w:rsid w:val="00E419BA"/>
    <w:rsid w:val="00E41ADC"/>
    <w:rsid w:val="00E41B60"/>
    <w:rsid w:val="00E41CCA"/>
    <w:rsid w:val="00E41CF7"/>
    <w:rsid w:val="00E41CFD"/>
    <w:rsid w:val="00E41D91"/>
    <w:rsid w:val="00E41F09"/>
    <w:rsid w:val="00E41F26"/>
    <w:rsid w:val="00E41F41"/>
    <w:rsid w:val="00E42064"/>
    <w:rsid w:val="00E421D6"/>
    <w:rsid w:val="00E42224"/>
    <w:rsid w:val="00E422AA"/>
    <w:rsid w:val="00E422E9"/>
    <w:rsid w:val="00E4234F"/>
    <w:rsid w:val="00E425B0"/>
    <w:rsid w:val="00E426E6"/>
    <w:rsid w:val="00E4284B"/>
    <w:rsid w:val="00E4290A"/>
    <w:rsid w:val="00E42A86"/>
    <w:rsid w:val="00E42B70"/>
    <w:rsid w:val="00E42CA8"/>
    <w:rsid w:val="00E42CAB"/>
    <w:rsid w:val="00E42D57"/>
    <w:rsid w:val="00E42DCB"/>
    <w:rsid w:val="00E42E99"/>
    <w:rsid w:val="00E42EEB"/>
    <w:rsid w:val="00E43177"/>
    <w:rsid w:val="00E4330A"/>
    <w:rsid w:val="00E4334E"/>
    <w:rsid w:val="00E433E6"/>
    <w:rsid w:val="00E43535"/>
    <w:rsid w:val="00E435A4"/>
    <w:rsid w:val="00E43654"/>
    <w:rsid w:val="00E43793"/>
    <w:rsid w:val="00E4391E"/>
    <w:rsid w:val="00E43996"/>
    <w:rsid w:val="00E43A6D"/>
    <w:rsid w:val="00E43B3D"/>
    <w:rsid w:val="00E43BBE"/>
    <w:rsid w:val="00E43C3A"/>
    <w:rsid w:val="00E43C56"/>
    <w:rsid w:val="00E43F63"/>
    <w:rsid w:val="00E4412F"/>
    <w:rsid w:val="00E44177"/>
    <w:rsid w:val="00E443A1"/>
    <w:rsid w:val="00E443E2"/>
    <w:rsid w:val="00E44421"/>
    <w:rsid w:val="00E44437"/>
    <w:rsid w:val="00E44545"/>
    <w:rsid w:val="00E44580"/>
    <w:rsid w:val="00E44784"/>
    <w:rsid w:val="00E44814"/>
    <w:rsid w:val="00E4481A"/>
    <w:rsid w:val="00E44853"/>
    <w:rsid w:val="00E4494A"/>
    <w:rsid w:val="00E44C9F"/>
    <w:rsid w:val="00E44EBB"/>
    <w:rsid w:val="00E44F11"/>
    <w:rsid w:val="00E4500F"/>
    <w:rsid w:val="00E4513C"/>
    <w:rsid w:val="00E45207"/>
    <w:rsid w:val="00E4542D"/>
    <w:rsid w:val="00E454AB"/>
    <w:rsid w:val="00E45587"/>
    <w:rsid w:val="00E45673"/>
    <w:rsid w:val="00E45674"/>
    <w:rsid w:val="00E456B4"/>
    <w:rsid w:val="00E45759"/>
    <w:rsid w:val="00E45985"/>
    <w:rsid w:val="00E45A2D"/>
    <w:rsid w:val="00E45CC3"/>
    <w:rsid w:val="00E45D30"/>
    <w:rsid w:val="00E45E02"/>
    <w:rsid w:val="00E4604A"/>
    <w:rsid w:val="00E46263"/>
    <w:rsid w:val="00E46289"/>
    <w:rsid w:val="00E46484"/>
    <w:rsid w:val="00E4665C"/>
    <w:rsid w:val="00E4672C"/>
    <w:rsid w:val="00E4673E"/>
    <w:rsid w:val="00E467A8"/>
    <w:rsid w:val="00E467F0"/>
    <w:rsid w:val="00E469B9"/>
    <w:rsid w:val="00E46C1D"/>
    <w:rsid w:val="00E46C40"/>
    <w:rsid w:val="00E46D80"/>
    <w:rsid w:val="00E46EB1"/>
    <w:rsid w:val="00E47036"/>
    <w:rsid w:val="00E4704F"/>
    <w:rsid w:val="00E47148"/>
    <w:rsid w:val="00E47163"/>
    <w:rsid w:val="00E472C6"/>
    <w:rsid w:val="00E47440"/>
    <w:rsid w:val="00E47493"/>
    <w:rsid w:val="00E475C3"/>
    <w:rsid w:val="00E476E6"/>
    <w:rsid w:val="00E477C3"/>
    <w:rsid w:val="00E478BF"/>
    <w:rsid w:val="00E478C8"/>
    <w:rsid w:val="00E4792A"/>
    <w:rsid w:val="00E47A1C"/>
    <w:rsid w:val="00E47D99"/>
    <w:rsid w:val="00E47F38"/>
    <w:rsid w:val="00E47F3D"/>
    <w:rsid w:val="00E47F4D"/>
    <w:rsid w:val="00E500DE"/>
    <w:rsid w:val="00E5016D"/>
    <w:rsid w:val="00E501D5"/>
    <w:rsid w:val="00E5027B"/>
    <w:rsid w:val="00E50291"/>
    <w:rsid w:val="00E502E4"/>
    <w:rsid w:val="00E50352"/>
    <w:rsid w:val="00E5036C"/>
    <w:rsid w:val="00E50456"/>
    <w:rsid w:val="00E504D2"/>
    <w:rsid w:val="00E50560"/>
    <w:rsid w:val="00E50569"/>
    <w:rsid w:val="00E506DF"/>
    <w:rsid w:val="00E506F9"/>
    <w:rsid w:val="00E50733"/>
    <w:rsid w:val="00E508EF"/>
    <w:rsid w:val="00E50B5B"/>
    <w:rsid w:val="00E50BAB"/>
    <w:rsid w:val="00E50C6D"/>
    <w:rsid w:val="00E50D8A"/>
    <w:rsid w:val="00E50DFA"/>
    <w:rsid w:val="00E50EB9"/>
    <w:rsid w:val="00E51159"/>
    <w:rsid w:val="00E511A7"/>
    <w:rsid w:val="00E512FD"/>
    <w:rsid w:val="00E5137C"/>
    <w:rsid w:val="00E5137D"/>
    <w:rsid w:val="00E51405"/>
    <w:rsid w:val="00E5148B"/>
    <w:rsid w:val="00E514DC"/>
    <w:rsid w:val="00E51525"/>
    <w:rsid w:val="00E5153A"/>
    <w:rsid w:val="00E5159F"/>
    <w:rsid w:val="00E515B6"/>
    <w:rsid w:val="00E51922"/>
    <w:rsid w:val="00E5199D"/>
    <w:rsid w:val="00E51B43"/>
    <w:rsid w:val="00E51B8A"/>
    <w:rsid w:val="00E51C0F"/>
    <w:rsid w:val="00E51C22"/>
    <w:rsid w:val="00E51CB0"/>
    <w:rsid w:val="00E51D76"/>
    <w:rsid w:val="00E51DE3"/>
    <w:rsid w:val="00E51EA8"/>
    <w:rsid w:val="00E51F6E"/>
    <w:rsid w:val="00E5211A"/>
    <w:rsid w:val="00E523D2"/>
    <w:rsid w:val="00E524EB"/>
    <w:rsid w:val="00E525D0"/>
    <w:rsid w:val="00E52757"/>
    <w:rsid w:val="00E52829"/>
    <w:rsid w:val="00E52BA0"/>
    <w:rsid w:val="00E52C43"/>
    <w:rsid w:val="00E52CA3"/>
    <w:rsid w:val="00E52DC8"/>
    <w:rsid w:val="00E52E02"/>
    <w:rsid w:val="00E52E03"/>
    <w:rsid w:val="00E52E90"/>
    <w:rsid w:val="00E52E94"/>
    <w:rsid w:val="00E52EDE"/>
    <w:rsid w:val="00E52EEA"/>
    <w:rsid w:val="00E52EF2"/>
    <w:rsid w:val="00E52F4E"/>
    <w:rsid w:val="00E52F50"/>
    <w:rsid w:val="00E52FAD"/>
    <w:rsid w:val="00E53066"/>
    <w:rsid w:val="00E530A8"/>
    <w:rsid w:val="00E530CC"/>
    <w:rsid w:val="00E53217"/>
    <w:rsid w:val="00E53263"/>
    <w:rsid w:val="00E5346D"/>
    <w:rsid w:val="00E53554"/>
    <w:rsid w:val="00E5366A"/>
    <w:rsid w:val="00E536B8"/>
    <w:rsid w:val="00E5383C"/>
    <w:rsid w:val="00E53A0A"/>
    <w:rsid w:val="00E53C24"/>
    <w:rsid w:val="00E53D75"/>
    <w:rsid w:val="00E53F88"/>
    <w:rsid w:val="00E53FDB"/>
    <w:rsid w:val="00E54066"/>
    <w:rsid w:val="00E541A7"/>
    <w:rsid w:val="00E543FE"/>
    <w:rsid w:val="00E544A5"/>
    <w:rsid w:val="00E54567"/>
    <w:rsid w:val="00E54642"/>
    <w:rsid w:val="00E54663"/>
    <w:rsid w:val="00E54843"/>
    <w:rsid w:val="00E54869"/>
    <w:rsid w:val="00E54895"/>
    <w:rsid w:val="00E54992"/>
    <w:rsid w:val="00E54C06"/>
    <w:rsid w:val="00E54C90"/>
    <w:rsid w:val="00E54D44"/>
    <w:rsid w:val="00E54E28"/>
    <w:rsid w:val="00E54E4E"/>
    <w:rsid w:val="00E54EFF"/>
    <w:rsid w:val="00E54F0A"/>
    <w:rsid w:val="00E54FA4"/>
    <w:rsid w:val="00E55039"/>
    <w:rsid w:val="00E552AF"/>
    <w:rsid w:val="00E552B1"/>
    <w:rsid w:val="00E553E3"/>
    <w:rsid w:val="00E55531"/>
    <w:rsid w:val="00E5560D"/>
    <w:rsid w:val="00E55915"/>
    <w:rsid w:val="00E559C1"/>
    <w:rsid w:val="00E55B82"/>
    <w:rsid w:val="00E55BC6"/>
    <w:rsid w:val="00E55C03"/>
    <w:rsid w:val="00E55D03"/>
    <w:rsid w:val="00E55D62"/>
    <w:rsid w:val="00E55DC4"/>
    <w:rsid w:val="00E55E51"/>
    <w:rsid w:val="00E55F06"/>
    <w:rsid w:val="00E55FEC"/>
    <w:rsid w:val="00E56034"/>
    <w:rsid w:val="00E5603A"/>
    <w:rsid w:val="00E562F1"/>
    <w:rsid w:val="00E56535"/>
    <w:rsid w:val="00E56574"/>
    <w:rsid w:val="00E566CB"/>
    <w:rsid w:val="00E5679F"/>
    <w:rsid w:val="00E5690A"/>
    <w:rsid w:val="00E5694A"/>
    <w:rsid w:val="00E56990"/>
    <w:rsid w:val="00E569A5"/>
    <w:rsid w:val="00E569AB"/>
    <w:rsid w:val="00E56C1B"/>
    <w:rsid w:val="00E56D25"/>
    <w:rsid w:val="00E56DC7"/>
    <w:rsid w:val="00E56DDD"/>
    <w:rsid w:val="00E56DE7"/>
    <w:rsid w:val="00E56EC2"/>
    <w:rsid w:val="00E56EE1"/>
    <w:rsid w:val="00E573AF"/>
    <w:rsid w:val="00E57548"/>
    <w:rsid w:val="00E57639"/>
    <w:rsid w:val="00E5779D"/>
    <w:rsid w:val="00E577A9"/>
    <w:rsid w:val="00E577FA"/>
    <w:rsid w:val="00E57815"/>
    <w:rsid w:val="00E57822"/>
    <w:rsid w:val="00E57909"/>
    <w:rsid w:val="00E57B6D"/>
    <w:rsid w:val="00E57C80"/>
    <w:rsid w:val="00E57D21"/>
    <w:rsid w:val="00E57E02"/>
    <w:rsid w:val="00E57EDE"/>
    <w:rsid w:val="00E6015B"/>
    <w:rsid w:val="00E60171"/>
    <w:rsid w:val="00E60179"/>
    <w:rsid w:val="00E6025C"/>
    <w:rsid w:val="00E604C7"/>
    <w:rsid w:val="00E604F1"/>
    <w:rsid w:val="00E607E0"/>
    <w:rsid w:val="00E60A34"/>
    <w:rsid w:val="00E60A9E"/>
    <w:rsid w:val="00E60B62"/>
    <w:rsid w:val="00E60CD6"/>
    <w:rsid w:val="00E60CD8"/>
    <w:rsid w:val="00E60EA6"/>
    <w:rsid w:val="00E60EC7"/>
    <w:rsid w:val="00E60F29"/>
    <w:rsid w:val="00E60F2B"/>
    <w:rsid w:val="00E610A5"/>
    <w:rsid w:val="00E61134"/>
    <w:rsid w:val="00E61266"/>
    <w:rsid w:val="00E614B4"/>
    <w:rsid w:val="00E615EE"/>
    <w:rsid w:val="00E61697"/>
    <w:rsid w:val="00E61779"/>
    <w:rsid w:val="00E6183F"/>
    <w:rsid w:val="00E618AC"/>
    <w:rsid w:val="00E61942"/>
    <w:rsid w:val="00E61B73"/>
    <w:rsid w:val="00E61D0F"/>
    <w:rsid w:val="00E61F22"/>
    <w:rsid w:val="00E61F95"/>
    <w:rsid w:val="00E61FB5"/>
    <w:rsid w:val="00E61FBE"/>
    <w:rsid w:val="00E61FE7"/>
    <w:rsid w:val="00E62028"/>
    <w:rsid w:val="00E6217B"/>
    <w:rsid w:val="00E62187"/>
    <w:rsid w:val="00E621CF"/>
    <w:rsid w:val="00E62273"/>
    <w:rsid w:val="00E62459"/>
    <w:rsid w:val="00E624E5"/>
    <w:rsid w:val="00E624F8"/>
    <w:rsid w:val="00E625CA"/>
    <w:rsid w:val="00E629CF"/>
    <w:rsid w:val="00E62A66"/>
    <w:rsid w:val="00E62B9D"/>
    <w:rsid w:val="00E62BF6"/>
    <w:rsid w:val="00E62C07"/>
    <w:rsid w:val="00E62D72"/>
    <w:rsid w:val="00E62D90"/>
    <w:rsid w:val="00E62DA4"/>
    <w:rsid w:val="00E62DAF"/>
    <w:rsid w:val="00E62E43"/>
    <w:rsid w:val="00E62FD0"/>
    <w:rsid w:val="00E630B5"/>
    <w:rsid w:val="00E631FE"/>
    <w:rsid w:val="00E63242"/>
    <w:rsid w:val="00E632BB"/>
    <w:rsid w:val="00E63371"/>
    <w:rsid w:val="00E633B5"/>
    <w:rsid w:val="00E633D2"/>
    <w:rsid w:val="00E63469"/>
    <w:rsid w:val="00E634B8"/>
    <w:rsid w:val="00E6351F"/>
    <w:rsid w:val="00E63542"/>
    <w:rsid w:val="00E636E7"/>
    <w:rsid w:val="00E6373C"/>
    <w:rsid w:val="00E6374A"/>
    <w:rsid w:val="00E63795"/>
    <w:rsid w:val="00E63834"/>
    <w:rsid w:val="00E63A66"/>
    <w:rsid w:val="00E63BA3"/>
    <w:rsid w:val="00E63BB3"/>
    <w:rsid w:val="00E63CE9"/>
    <w:rsid w:val="00E63D16"/>
    <w:rsid w:val="00E63EC4"/>
    <w:rsid w:val="00E63ED4"/>
    <w:rsid w:val="00E6403E"/>
    <w:rsid w:val="00E6416A"/>
    <w:rsid w:val="00E64193"/>
    <w:rsid w:val="00E64239"/>
    <w:rsid w:val="00E64263"/>
    <w:rsid w:val="00E642A9"/>
    <w:rsid w:val="00E642E5"/>
    <w:rsid w:val="00E6430C"/>
    <w:rsid w:val="00E643AB"/>
    <w:rsid w:val="00E64492"/>
    <w:rsid w:val="00E644FE"/>
    <w:rsid w:val="00E64571"/>
    <w:rsid w:val="00E645F5"/>
    <w:rsid w:val="00E6476E"/>
    <w:rsid w:val="00E647EE"/>
    <w:rsid w:val="00E6487F"/>
    <w:rsid w:val="00E64917"/>
    <w:rsid w:val="00E64C03"/>
    <w:rsid w:val="00E64C90"/>
    <w:rsid w:val="00E64CDE"/>
    <w:rsid w:val="00E64D45"/>
    <w:rsid w:val="00E64EA3"/>
    <w:rsid w:val="00E64EC5"/>
    <w:rsid w:val="00E64ED0"/>
    <w:rsid w:val="00E64ED8"/>
    <w:rsid w:val="00E64F6F"/>
    <w:rsid w:val="00E6502F"/>
    <w:rsid w:val="00E650CA"/>
    <w:rsid w:val="00E650F9"/>
    <w:rsid w:val="00E65109"/>
    <w:rsid w:val="00E6526D"/>
    <w:rsid w:val="00E6547E"/>
    <w:rsid w:val="00E6553A"/>
    <w:rsid w:val="00E655FD"/>
    <w:rsid w:val="00E6574C"/>
    <w:rsid w:val="00E6576F"/>
    <w:rsid w:val="00E6593F"/>
    <w:rsid w:val="00E6595C"/>
    <w:rsid w:val="00E659B6"/>
    <w:rsid w:val="00E659CE"/>
    <w:rsid w:val="00E65A19"/>
    <w:rsid w:val="00E65A3A"/>
    <w:rsid w:val="00E65C01"/>
    <w:rsid w:val="00E65D40"/>
    <w:rsid w:val="00E65E07"/>
    <w:rsid w:val="00E65E2E"/>
    <w:rsid w:val="00E66296"/>
    <w:rsid w:val="00E662F5"/>
    <w:rsid w:val="00E6639A"/>
    <w:rsid w:val="00E6649A"/>
    <w:rsid w:val="00E66515"/>
    <w:rsid w:val="00E66531"/>
    <w:rsid w:val="00E665F9"/>
    <w:rsid w:val="00E6676C"/>
    <w:rsid w:val="00E66964"/>
    <w:rsid w:val="00E6699C"/>
    <w:rsid w:val="00E669EF"/>
    <w:rsid w:val="00E66B7D"/>
    <w:rsid w:val="00E66CD3"/>
    <w:rsid w:val="00E66D60"/>
    <w:rsid w:val="00E66E58"/>
    <w:rsid w:val="00E6705D"/>
    <w:rsid w:val="00E6706D"/>
    <w:rsid w:val="00E671AC"/>
    <w:rsid w:val="00E6734A"/>
    <w:rsid w:val="00E6748E"/>
    <w:rsid w:val="00E674F6"/>
    <w:rsid w:val="00E67522"/>
    <w:rsid w:val="00E6753D"/>
    <w:rsid w:val="00E67578"/>
    <w:rsid w:val="00E6759B"/>
    <w:rsid w:val="00E675B4"/>
    <w:rsid w:val="00E67629"/>
    <w:rsid w:val="00E67709"/>
    <w:rsid w:val="00E67976"/>
    <w:rsid w:val="00E679E6"/>
    <w:rsid w:val="00E67ACC"/>
    <w:rsid w:val="00E67B51"/>
    <w:rsid w:val="00E67DE8"/>
    <w:rsid w:val="00E67F27"/>
    <w:rsid w:val="00E67F37"/>
    <w:rsid w:val="00E67F46"/>
    <w:rsid w:val="00E67F53"/>
    <w:rsid w:val="00E701B7"/>
    <w:rsid w:val="00E70444"/>
    <w:rsid w:val="00E704C2"/>
    <w:rsid w:val="00E704FD"/>
    <w:rsid w:val="00E7062A"/>
    <w:rsid w:val="00E70756"/>
    <w:rsid w:val="00E70944"/>
    <w:rsid w:val="00E70ABE"/>
    <w:rsid w:val="00E70AD5"/>
    <w:rsid w:val="00E70B7C"/>
    <w:rsid w:val="00E70C45"/>
    <w:rsid w:val="00E70CBA"/>
    <w:rsid w:val="00E70D0E"/>
    <w:rsid w:val="00E70D30"/>
    <w:rsid w:val="00E70DF0"/>
    <w:rsid w:val="00E70E3D"/>
    <w:rsid w:val="00E70E68"/>
    <w:rsid w:val="00E70E79"/>
    <w:rsid w:val="00E70FED"/>
    <w:rsid w:val="00E71013"/>
    <w:rsid w:val="00E71024"/>
    <w:rsid w:val="00E71047"/>
    <w:rsid w:val="00E71090"/>
    <w:rsid w:val="00E711C6"/>
    <w:rsid w:val="00E71257"/>
    <w:rsid w:val="00E7136F"/>
    <w:rsid w:val="00E713BD"/>
    <w:rsid w:val="00E715F3"/>
    <w:rsid w:val="00E716A5"/>
    <w:rsid w:val="00E718C5"/>
    <w:rsid w:val="00E71900"/>
    <w:rsid w:val="00E71961"/>
    <w:rsid w:val="00E719A1"/>
    <w:rsid w:val="00E71A16"/>
    <w:rsid w:val="00E71E33"/>
    <w:rsid w:val="00E72163"/>
    <w:rsid w:val="00E721A5"/>
    <w:rsid w:val="00E721AE"/>
    <w:rsid w:val="00E72496"/>
    <w:rsid w:val="00E72583"/>
    <w:rsid w:val="00E72699"/>
    <w:rsid w:val="00E72731"/>
    <w:rsid w:val="00E72B11"/>
    <w:rsid w:val="00E72C38"/>
    <w:rsid w:val="00E72C99"/>
    <w:rsid w:val="00E72D03"/>
    <w:rsid w:val="00E72E0A"/>
    <w:rsid w:val="00E72F14"/>
    <w:rsid w:val="00E72F53"/>
    <w:rsid w:val="00E7311D"/>
    <w:rsid w:val="00E731FF"/>
    <w:rsid w:val="00E732EB"/>
    <w:rsid w:val="00E7356D"/>
    <w:rsid w:val="00E736C5"/>
    <w:rsid w:val="00E73733"/>
    <w:rsid w:val="00E7377A"/>
    <w:rsid w:val="00E7378C"/>
    <w:rsid w:val="00E7388E"/>
    <w:rsid w:val="00E73A3A"/>
    <w:rsid w:val="00E73AB5"/>
    <w:rsid w:val="00E73B53"/>
    <w:rsid w:val="00E73BE4"/>
    <w:rsid w:val="00E73D21"/>
    <w:rsid w:val="00E73D64"/>
    <w:rsid w:val="00E73D7A"/>
    <w:rsid w:val="00E73E00"/>
    <w:rsid w:val="00E73F0A"/>
    <w:rsid w:val="00E73FAC"/>
    <w:rsid w:val="00E7407E"/>
    <w:rsid w:val="00E740D0"/>
    <w:rsid w:val="00E7418C"/>
    <w:rsid w:val="00E744B9"/>
    <w:rsid w:val="00E7471B"/>
    <w:rsid w:val="00E7499D"/>
    <w:rsid w:val="00E749DB"/>
    <w:rsid w:val="00E74A3E"/>
    <w:rsid w:val="00E74CBA"/>
    <w:rsid w:val="00E74CE9"/>
    <w:rsid w:val="00E74FA2"/>
    <w:rsid w:val="00E75026"/>
    <w:rsid w:val="00E7508A"/>
    <w:rsid w:val="00E75131"/>
    <w:rsid w:val="00E75184"/>
    <w:rsid w:val="00E751CB"/>
    <w:rsid w:val="00E75271"/>
    <w:rsid w:val="00E75458"/>
    <w:rsid w:val="00E7556D"/>
    <w:rsid w:val="00E755BB"/>
    <w:rsid w:val="00E75619"/>
    <w:rsid w:val="00E756B2"/>
    <w:rsid w:val="00E757F4"/>
    <w:rsid w:val="00E75856"/>
    <w:rsid w:val="00E758CF"/>
    <w:rsid w:val="00E75947"/>
    <w:rsid w:val="00E75B55"/>
    <w:rsid w:val="00E75BA0"/>
    <w:rsid w:val="00E75C9C"/>
    <w:rsid w:val="00E75D33"/>
    <w:rsid w:val="00E75D8B"/>
    <w:rsid w:val="00E75DCC"/>
    <w:rsid w:val="00E75F60"/>
    <w:rsid w:val="00E75FE4"/>
    <w:rsid w:val="00E760CA"/>
    <w:rsid w:val="00E7629E"/>
    <w:rsid w:val="00E763A7"/>
    <w:rsid w:val="00E76567"/>
    <w:rsid w:val="00E7656D"/>
    <w:rsid w:val="00E7658C"/>
    <w:rsid w:val="00E76595"/>
    <w:rsid w:val="00E765B5"/>
    <w:rsid w:val="00E766C5"/>
    <w:rsid w:val="00E7671D"/>
    <w:rsid w:val="00E76736"/>
    <w:rsid w:val="00E7681B"/>
    <w:rsid w:val="00E76892"/>
    <w:rsid w:val="00E76A62"/>
    <w:rsid w:val="00E76AAE"/>
    <w:rsid w:val="00E76C19"/>
    <w:rsid w:val="00E76C29"/>
    <w:rsid w:val="00E76F34"/>
    <w:rsid w:val="00E77128"/>
    <w:rsid w:val="00E7718D"/>
    <w:rsid w:val="00E7719A"/>
    <w:rsid w:val="00E772D4"/>
    <w:rsid w:val="00E7733E"/>
    <w:rsid w:val="00E7738E"/>
    <w:rsid w:val="00E773D3"/>
    <w:rsid w:val="00E7740D"/>
    <w:rsid w:val="00E77505"/>
    <w:rsid w:val="00E77519"/>
    <w:rsid w:val="00E7752D"/>
    <w:rsid w:val="00E77835"/>
    <w:rsid w:val="00E77871"/>
    <w:rsid w:val="00E778AC"/>
    <w:rsid w:val="00E77A76"/>
    <w:rsid w:val="00E77A7B"/>
    <w:rsid w:val="00E77A7C"/>
    <w:rsid w:val="00E77B75"/>
    <w:rsid w:val="00E77C4A"/>
    <w:rsid w:val="00E77CDC"/>
    <w:rsid w:val="00E77CE9"/>
    <w:rsid w:val="00E77D60"/>
    <w:rsid w:val="00E77D70"/>
    <w:rsid w:val="00E77E5B"/>
    <w:rsid w:val="00E80095"/>
    <w:rsid w:val="00E800CA"/>
    <w:rsid w:val="00E800EA"/>
    <w:rsid w:val="00E801EC"/>
    <w:rsid w:val="00E80297"/>
    <w:rsid w:val="00E803BE"/>
    <w:rsid w:val="00E8045B"/>
    <w:rsid w:val="00E804C3"/>
    <w:rsid w:val="00E80571"/>
    <w:rsid w:val="00E8085C"/>
    <w:rsid w:val="00E80875"/>
    <w:rsid w:val="00E8095E"/>
    <w:rsid w:val="00E80A1A"/>
    <w:rsid w:val="00E80A30"/>
    <w:rsid w:val="00E80AAE"/>
    <w:rsid w:val="00E80B07"/>
    <w:rsid w:val="00E80B2A"/>
    <w:rsid w:val="00E80D7F"/>
    <w:rsid w:val="00E80DCB"/>
    <w:rsid w:val="00E80E45"/>
    <w:rsid w:val="00E81061"/>
    <w:rsid w:val="00E810DB"/>
    <w:rsid w:val="00E8112D"/>
    <w:rsid w:val="00E813D9"/>
    <w:rsid w:val="00E8146D"/>
    <w:rsid w:val="00E81702"/>
    <w:rsid w:val="00E817A4"/>
    <w:rsid w:val="00E818C8"/>
    <w:rsid w:val="00E81A65"/>
    <w:rsid w:val="00E81B77"/>
    <w:rsid w:val="00E81B90"/>
    <w:rsid w:val="00E81BBB"/>
    <w:rsid w:val="00E81C4E"/>
    <w:rsid w:val="00E81C60"/>
    <w:rsid w:val="00E81CEC"/>
    <w:rsid w:val="00E81D26"/>
    <w:rsid w:val="00E81D3E"/>
    <w:rsid w:val="00E81D71"/>
    <w:rsid w:val="00E81DE6"/>
    <w:rsid w:val="00E81E17"/>
    <w:rsid w:val="00E81EBE"/>
    <w:rsid w:val="00E81FC0"/>
    <w:rsid w:val="00E82152"/>
    <w:rsid w:val="00E821BF"/>
    <w:rsid w:val="00E822FB"/>
    <w:rsid w:val="00E8240F"/>
    <w:rsid w:val="00E82443"/>
    <w:rsid w:val="00E82558"/>
    <w:rsid w:val="00E82650"/>
    <w:rsid w:val="00E827E9"/>
    <w:rsid w:val="00E8286C"/>
    <w:rsid w:val="00E828BE"/>
    <w:rsid w:val="00E82A0E"/>
    <w:rsid w:val="00E82A33"/>
    <w:rsid w:val="00E82ACC"/>
    <w:rsid w:val="00E82BCE"/>
    <w:rsid w:val="00E82D17"/>
    <w:rsid w:val="00E82D27"/>
    <w:rsid w:val="00E82DB1"/>
    <w:rsid w:val="00E82DD3"/>
    <w:rsid w:val="00E82E05"/>
    <w:rsid w:val="00E82EAE"/>
    <w:rsid w:val="00E82F24"/>
    <w:rsid w:val="00E830E8"/>
    <w:rsid w:val="00E83149"/>
    <w:rsid w:val="00E831C3"/>
    <w:rsid w:val="00E83236"/>
    <w:rsid w:val="00E832B8"/>
    <w:rsid w:val="00E83322"/>
    <w:rsid w:val="00E83393"/>
    <w:rsid w:val="00E833EF"/>
    <w:rsid w:val="00E836F6"/>
    <w:rsid w:val="00E8370A"/>
    <w:rsid w:val="00E83780"/>
    <w:rsid w:val="00E837D9"/>
    <w:rsid w:val="00E837E7"/>
    <w:rsid w:val="00E83803"/>
    <w:rsid w:val="00E838FF"/>
    <w:rsid w:val="00E83A55"/>
    <w:rsid w:val="00E83A7D"/>
    <w:rsid w:val="00E83CE2"/>
    <w:rsid w:val="00E83D3C"/>
    <w:rsid w:val="00E83E1B"/>
    <w:rsid w:val="00E83E48"/>
    <w:rsid w:val="00E83F00"/>
    <w:rsid w:val="00E83F55"/>
    <w:rsid w:val="00E83FD4"/>
    <w:rsid w:val="00E840B6"/>
    <w:rsid w:val="00E841DC"/>
    <w:rsid w:val="00E84303"/>
    <w:rsid w:val="00E84333"/>
    <w:rsid w:val="00E8442B"/>
    <w:rsid w:val="00E84481"/>
    <w:rsid w:val="00E84539"/>
    <w:rsid w:val="00E8453C"/>
    <w:rsid w:val="00E84609"/>
    <w:rsid w:val="00E84627"/>
    <w:rsid w:val="00E84A46"/>
    <w:rsid w:val="00E84AF0"/>
    <w:rsid w:val="00E84AFB"/>
    <w:rsid w:val="00E84C1C"/>
    <w:rsid w:val="00E84CF0"/>
    <w:rsid w:val="00E84D09"/>
    <w:rsid w:val="00E84D0F"/>
    <w:rsid w:val="00E84D36"/>
    <w:rsid w:val="00E84D37"/>
    <w:rsid w:val="00E84E32"/>
    <w:rsid w:val="00E84EC2"/>
    <w:rsid w:val="00E84EF8"/>
    <w:rsid w:val="00E84F9F"/>
    <w:rsid w:val="00E85021"/>
    <w:rsid w:val="00E850A9"/>
    <w:rsid w:val="00E850D2"/>
    <w:rsid w:val="00E8511F"/>
    <w:rsid w:val="00E851B3"/>
    <w:rsid w:val="00E852DE"/>
    <w:rsid w:val="00E85503"/>
    <w:rsid w:val="00E855E7"/>
    <w:rsid w:val="00E857A0"/>
    <w:rsid w:val="00E857AA"/>
    <w:rsid w:val="00E857B2"/>
    <w:rsid w:val="00E8597C"/>
    <w:rsid w:val="00E85A4D"/>
    <w:rsid w:val="00E85A92"/>
    <w:rsid w:val="00E85ABC"/>
    <w:rsid w:val="00E85AD7"/>
    <w:rsid w:val="00E85AF9"/>
    <w:rsid w:val="00E85F69"/>
    <w:rsid w:val="00E85FE3"/>
    <w:rsid w:val="00E86051"/>
    <w:rsid w:val="00E862D5"/>
    <w:rsid w:val="00E86354"/>
    <w:rsid w:val="00E864B5"/>
    <w:rsid w:val="00E86507"/>
    <w:rsid w:val="00E8668A"/>
    <w:rsid w:val="00E8689E"/>
    <w:rsid w:val="00E8698E"/>
    <w:rsid w:val="00E86A47"/>
    <w:rsid w:val="00E86C48"/>
    <w:rsid w:val="00E86C73"/>
    <w:rsid w:val="00E8705D"/>
    <w:rsid w:val="00E870AA"/>
    <w:rsid w:val="00E87292"/>
    <w:rsid w:val="00E872BF"/>
    <w:rsid w:val="00E872D2"/>
    <w:rsid w:val="00E872F8"/>
    <w:rsid w:val="00E87357"/>
    <w:rsid w:val="00E87466"/>
    <w:rsid w:val="00E874AE"/>
    <w:rsid w:val="00E8758E"/>
    <w:rsid w:val="00E875B0"/>
    <w:rsid w:val="00E87747"/>
    <w:rsid w:val="00E877D5"/>
    <w:rsid w:val="00E878D9"/>
    <w:rsid w:val="00E878EA"/>
    <w:rsid w:val="00E87914"/>
    <w:rsid w:val="00E87BB2"/>
    <w:rsid w:val="00E87BB3"/>
    <w:rsid w:val="00E87CDD"/>
    <w:rsid w:val="00E87D2C"/>
    <w:rsid w:val="00E87F0E"/>
    <w:rsid w:val="00E87F9C"/>
    <w:rsid w:val="00E900EA"/>
    <w:rsid w:val="00E90230"/>
    <w:rsid w:val="00E90259"/>
    <w:rsid w:val="00E902D3"/>
    <w:rsid w:val="00E903DF"/>
    <w:rsid w:val="00E903F7"/>
    <w:rsid w:val="00E9052A"/>
    <w:rsid w:val="00E90536"/>
    <w:rsid w:val="00E9057A"/>
    <w:rsid w:val="00E90623"/>
    <w:rsid w:val="00E906BE"/>
    <w:rsid w:val="00E90727"/>
    <w:rsid w:val="00E9081D"/>
    <w:rsid w:val="00E908F6"/>
    <w:rsid w:val="00E90A2C"/>
    <w:rsid w:val="00E90C7E"/>
    <w:rsid w:val="00E90D38"/>
    <w:rsid w:val="00E90D5E"/>
    <w:rsid w:val="00E90D6C"/>
    <w:rsid w:val="00E90D89"/>
    <w:rsid w:val="00E90DF2"/>
    <w:rsid w:val="00E91016"/>
    <w:rsid w:val="00E910A0"/>
    <w:rsid w:val="00E913D0"/>
    <w:rsid w:val="00E91408"/>
    <w:rsid w:val="00E9149D"/>
    <w:rsid w:val="00E9153F"/>
    <w:rsid w:val="00E9155C"/>
    <w:rsid w:val="00E915F7"/>
    <w:rsid w:val="00E916AA"/>
    <w:rsid w:val="00E916E8"/>
    <w:rsid w:val="00E916EB"/>
    <w:rsid w:val="00E91716"/>
    <w:rsid w:val="00E9178E"/>
    <w:rsid w:val="00E919A3"/>
    <w:rsid w:val="00E919D1"/>
    <w:rsid w:val="00E91C4D"/>
    <w:rsid w:val="00E91D2B"/>
    <w:rsid w:val="00E92029"/>
    <w:rsid w:val="00E92092"/>
    <w:rsid w:val="00E92163"/>
    <w:rsid w:val="00E9221D"/>
    <w:rsid w:val="00E9222D"/>
    <w:rsid w:val="00E922A1"/>
    <w:rsid w:val="00E9238A"/>
    <w:rsid w:val="00E92423"/>
    <w:rsid w:val="00E9253B"/>
    <w:rsid w:val="00E92554"/>
    <w:rsid w:val="00E9256D"/>
    <w:rsid w:val="00E925FE"/>
    <w:rsid w:val="00E92634"/>
    <w:rsid w:val="00E926E5"/>
    <w:rsid w:val="00E92723"/>
    <w:rsid w:val="00E92777"/>
    <w:rsid w:val="00E92799"/>
    <w:rsid w:val="00E929A7"/>
    <w:rsid w:val="00E92A14"/>
    <w:rsid w:val="00E92AA9"/>
    <w:rsid w:val="00E92BEE"/>
    <w:rsid w:val="00E92BFA"/>
    <w:rsid w:val="00E92D54"/>
    <w:rsid w:val="00E92D8D"/>
    <w:rsid w:val="00E92E6E"/>
    <w:rsid w:val="00E92ED1"/>
    <w:rsid w:val="00E92F22"/>
    <w:rsid w:val="00E92F58"/>
    <w:rsid w:val="00E9300E"/>
    <w:rsid w:val="00E93022"/>
    <w:rsid w:val="00E930C9"/>
    <w:rsid w:val="00E93199"/>
    <w:rsid w:val="00E93217"/>
    <w:rsid w:val="00E9321F"/>
    <w:rsid w:val="00E9333D"/>
    <w:rsid w:val="00E935BB"/>
    <w:rsid w:val="00E935FB"/>
    <w:rsid w:val="00E9363C"/>
    <w:rsid w:val="00E939B2"/>
    <w:rsid w:val="00E93B01"/>
    <w:rsid w:val="00E93B80"/>
    <w:rsid w:val="00E93B93"/>
    <w:rsid w:val="00E93CBB"/>
    <w:rsid w:val="00E93D19"/>
    <w:rsid w:val="00E93D39"/>
    <w:rsid w:val="00E93D91"/>
    <w:rsid w:val="00E93E3D"/>
    <w:rsid w:val="00E93E66"/>
    <w:rsid w:val="00E93EE6"/>
    <w:rsid w:val="00E93F59"/>
    <w:rsid w:val="00E94037"/>
    <w:rsid w:val="00E940F2"/>
    <w:rsid w:val="00E94120"/>
    <w:rsid w:val="00E941EA"/>
    <w:rsid w:val="00E942E6"/>
    <w:rsid w:val="00E94308"/>
    <w:rsid w:val="00E94329"/>
    <w:rsid w:val="00E9436A"/>
    <w:rsid w:val="00E94418"/>
    <w:rsid w:val="00E9454D"/>
    <w:rsid w:val="00E94651"/>
    <w:rsid w:val="00E946D1"/>
    <w:rsid w:val="00E94764"/>
    <w:rsid w:val="00E9482F"/>
    <w:rsid w:val="00E948D0"/>
    <w:rsid w:val="00E948F9"/>
    <w:rsid w:val="00E94BFD"/>
    <w:rsid w:val="00E94D88"/>
    <w:rsid w:val="00E94DAD"/>
    <w:rsid w:val="00E94DC3"/>
    <w:rsid w:val="00E9509A"/>
    <w:rsid w:val="00E950F0"/>
    <w:rsid w:val="00E95139"/>
    <w:rsid w:val="00E95151"/>
    <w:rsid w:val="00E9529D"/>
    <w:rsid w:val="00E9529E"/>
    <w:rsid w:val="00E952BC"/>
    <w:rsid w:val="00E9558B"/>
    <w:rsid w:val="00E955CA"/>
    <w:rsid w:val="00E9586A"/>
    <w:rsid w:val="00E959C6"/>
    <w:rsid w:val="00E95B96"/>
    <w:rsid w:val="00E95BE2"/>
    <w:rsid w:val="00E95D66"/>
    <w:rsid w:val="00E95DCE"/>
    <w:rsid w:val="00E95FAC"/>
    <w:rsid w:val="00E96098"/>
    <w:rsid w:val="00E960A6"/>
    <w:rsid w:val="00E96205"/>
    <w:rsid w:val="00E962B4"/>
    <w:rsid w:val="00E962DB"/>
    <w:rsid w:val="00E9645D"/>
    <w:rsid w:val="00E964A8"/>
    <w:rsid w:val="00E964E8"/>
    <w:rsid w:val="00E9651C"/>
    <w:rsid w:val="00E9655F"/>
    <w:rsid w:val="00E96581"/>
    <w:rsid w:val="00E96626"/>
    <w:rsid w:val="00E9665B"/>
    <w:rsid w:val="00E966FE"/>
    <w:rsid w:val="00E967B8"/>
    <w:rsid w:val="00E967DB"/>
    <w:rsid w:val="00E9687B"/>
    <w:rsid w:val="00E9697B"/>
    <w:rsid w:val="00E96B2D"/>
    <w:rsid w:val="00E96BFF"/>
    <w:rsid w:val="00E96C0D"/>
    <w:rsid w:val="00E96C4E"/>
    <w:rsid w:val="00E96C4F"/>
    <w:rsid w:val="00E96CAB"/>
    <w:rsid w:val="00E96D5C"/>
    <w:rsid w:val="00E96F64"/>
    <w:rsid w:val="00E97196"/>
    <w:rsid w:val="00E971CC"/>
    <w:rsid w:val="00E972EF"/>
    <w:rsid w:val="00E97539"/>
    <w:rsid w:val="00E97540"/>
    <w:rsid w:val="00E9761F"/>
    <w:rsid w:val="00E976ED"/>
    <w:rsid w:val="00E9798D"/>
    <w:rsid w:val="00E97AB0"/>
    <w:rsid w:val="00E97B26"/>
    <w:rsid w:val="00E97BD2"/>
    <w:rsid w:val="00E97C04"/>
    <w:rsid w:val="00E97C79"/>
    <w:rsid w:val="00E97F83"/>
    <w:rsid w:val="00E97FF6"/>
    <w:rsid w:val="00EA0038"/>
    <w:rsid w:val="00EA0517"/>
    <w:rsid w:val="00EA0534"/>
    <w:rsid w:val="00EA05EA"/>
    <w:rsid w:val="00EA060F"/>
    <w:rsid w:val="00EA07F9"/>
    <w:rsid w:val="00EA081A"/>
    <w:rsid w:val="00EA083A"/>
    <w:rsid w:val="00EA08C9"/>
    <w:rsid w:val="00EA0A31"/>
    <w:rsid w:val="00EA0A42"/>
    <w:rsid w:val="00EA0B35"/>
    <w:rsid w:val="00EA0C93"/>
    <w:rsid w:val="00EA0EFB"/>
    <w:rsid w:val="00EA0FB7"/>
    <w:rsid w:val="00EA13CB"/>
    <w:rsid w:val="00EA147D"/>
    <w:rsid w:val="00EA15B6"/>
    <w:rsid w:val="00EA1611"/>
    <w:rsid w:val="00EA17C0"/>
    <w:rsid w:val="00EA1887"/>
    <w:rsid w:val="00EA18B8"/>
    <w:rsid w:val="00EA190A"/>
    <w:rsid w:val="00EA1915"/>
    <w:rsid w:val="00EA1975"/>
    <w:rsid w:val="00EA1A64"/>
    <w:rsid w:val="00EA1CC5"/>
    <w:rsid w:val="00EA1CDE"/>
    <w:rsid w:val="00EA1E81"/>
    <w:rsid w:val="00EA1EE2"/>
    <w:rsid w:val="00EA1EFB"/>
    <w:rsid w:val="00EA1F6F"/>
    <w:rsid w:val="00EA1FA7"/>
    <w:rsid w:val="00EA202F"/>
    <w:rsid w:val="00EA203B"/>
    <w:rsid w:val="00EA2060"/>
    <w:rsid w:val="00EA2147"/>
    <w:rsid w:val="00EA2250"/>
    <w:rsid w:val="00EA2640"/>
    <w:rsid w:val="00EA2698"/>
    <w:rsid w:val="00EA2829"/>
    <w:rsid w:val="00EA2AD0"/>
    <w:rsid w:val="00EA2C84"/>
    <w:rsid w:val="00EA2DB8"/>
    <w:rsid w:val="00EA2E54"/>
    <w:rsid w:val="00EA2F74"/>
    <w:rsid w:val="00EA30FC"/>
    <w:rsid w:val="00EA320F"/>
    <w:rsid w:val="00EA3213"/>
    <w:rsid w:val="00EA32AB"/>
    <w:rsid w:val="00EA3369"/>
    <w:rsid w:val="00EA347F"/>
    <w:rsid w:val="00EA34ED"/>
    <w:rsid w:val="00EA368D"/>
    <w:rsid w:val="00EA3700"/>
    <w:rsid w:val="00EA3895"/>
    <w:rsid w:val="00EA389E"/>
    <w:rsid w:val="00EA38DC"/>
    <w:rsid w:val="00EA397D"/>
    <w:rsid w:val="00EA398C"/>
    <w:rsid w:val="00EA39FB"/>
    <w:rsid w:val="00EA3CF6"/>
    <w:rsid w:val="00EA3D5B"/>
    <w:rsid w:val="00EA3DC6"/>
    <w:rsid w:val="00EA3DD0"/>
    <w:rsid w:val="00EA405D"/>
    <w:rsid w:val="00EA4220"/>
    <w:rsid w:val="00EA4276"/>
    <w:rsid w:val="00EA4372"/>
    <w:rsid w:val="00EA4516"/>
    <w:rsid w:val="00EA4665"/>
    <w:rsid w:val="00EA469E"/>
    <w:rsid w:val="00EA46D9"/>
    <w:rsid w:val="00EA47C4"/>
    <w:rsid w:val="00EA480B"/>
    <w:rsid w:val="00EA48A6"/>
    <w:rsid w:val="00EA4984"/>
    <w:rsid w:val="00EA4A07"/>
    <w:rsid w:val="00EA4A29"/>
    <w:rsid w:val="00EA4A2D"/>
    <w:rsid w:val="00EA4C5D"/>
    <w:rsid w:val="00EA4CEF"/>
    <w:rsid w:val="00EA4D56"/>
    <w:rsid w:val="00EA4F8C"/>
    <w:rsid w:val="00EA5046"/>
    <w:rsid w:val="00EA50D6"/>
    <w:rsid w:val="00EA5133"/>
    <w:rsid w:val="00EA51DD"/>
    <w:rsid w:val="00EA5473"/>
    <w:rsid w:val="00EA55A7"/>
    <w:rsid w:val="00EA5664"/>
    <w:rsid w:val="00EA5785"/>
    <w:rsid w:val="00EA5790"/>
    <w:rsid w:val="00EA57AE"/>
    <w:rsid w:val="00EA57F0"/>
    <w:rsid w:val="00EA5848"/>
    <w:rsid w:val="00EA5908"/>
    <w:rsid w:val="00EA597E"/>
    <w:rsid w:val="00EA59AB"/>
    <w:rsid w:val="00EA59F2"/>
    <w:rsid w:val="00EA5ABF"/>
    <w:rsid w:val="00EA5AF1"/>
    <w:rsid w:val="00EA5AF5"/>
    <w:rsid w:val="00EA5C80"/>
    <w:rsid w:val="00EA5CEA"/>
    <w:rsid w:val="00EA5D3A"/>
    <w:rsid w:val="00EA5D78"/>
    <w:rsid w:val="00EA5D95"/>
    <w:rsid w:val="00EA5E6E"/>
    <w:rsid w:val="00EA60DA"/>
    <w:rsid w:val="00EA6111"/>
    <w:rsid w:val="00EA6132"/>
    <w:rsid w:val="00EA617D"/>
    <w:rsid w:val="00EA63A1"/>
    <w:rsid w:val="00EA6472"/>
    <w:rsid w:val="00EA6561"/>
    <w:rsid w:val="00EA66EC"/>
    <w:rsid w:val="00EA68AD"/>
    <w:rsid w:val="00EA6953"/>
    <w:rsid w:val="00EA6A5B"/>
    <w:rsid w:val="00EA6A74"/>
    <w:rsid w:val="00EA6A78"/>
    <w:rsid w:val="00EA6A7D"/>
    <w:rsid w:val="00EA6C66"/>
    <w:rsid w:val="00EA6E48"/>
    <w:rsid w:val="00EA6ECA"/>
    <w:rsid w:val="00EA6F6C"/>
    <w:rsid w:val="00EA7014"/>
    <w:rsid w:val="00EA704D"/>
    <w:rsid w:val="00EA70FD"/>
    <w:rsid w:val="00EA71B4"/>
    <w:rsid w:val="00EA728F"/>
    <w:rsid w:val="00EA7315"/>
    <w:rsid w:val="00EA7461"/>
    <w:rsid w:val="00EA7474"/>
    <w:rsid w:val="00EA749D"/>
    <w:rsid w:val="00EA74E5"/>
    <w:rsid w:val="00EA7734"/>
    <w:rsid w:val="00EA779B"/>
    <w:rsid w:val="00EA77B1"/>
    <w:rsid w:val="00EA77B4"/>
    <w:rsid w:val="00EA7B37"/>
    <w:rsid w:val="00EA7B67"/>
    <w:rsid w:val="00EA7BA8"/>
    <w:rsid w:val="00EA7CC3"/>
    <w:rsid w:val="00EA7D8A"/>
    <w:rsid w:val="00EA7EAB"/>
    <w:rsid w:val="00EB009C"/>
    <w:rsid w:val="00EB00D9"/>
    <w:rsid w:val="00EB01A5"/>
    <w:rsid w:val="00EB0227"/>
    <w:rsid w:val="00EB0290"/>
    <w:rsid w:val="00EB02DD"/>
    <w:rsid w:val="00EB02F9"/>
    <w:rsid w:val="00EB035B"/>
    <w:rsid w:val="00EB0393"/>
    <w:rsid w:val="00EB03DE"/>
    <w:rsid w:val="00EB072E"/>
    <w:rsid w:val="00EB07EF"/>
    <w:rsid w:val="00EB0B93"/>
    <w:rsid w:val="00EB0BDE"/>
    <w:rsid w:val="00EB0C52"/>
    <w:rsid w:val="00EB0DB8"/>
    <w:rsid w:val="00EB12A1"/>
    <w:rsid w:val="00EB12FD"/>
    <w:rsid w:val="00EB1366"/>
    <w:rsid w:val="00EB13D8"/>
    <w:rsid w:val="00EB13DB"/>
    <w:rsid w:val="00EB1461"/>
    <w:rsid w:val="00EB1514"/>
    <w:rsid w:val="00EB16D9"/>
    <w:rsid w:val="00EB197F"/>
    <w:rsid w:val="00EB19A4"/>
    <w:rsid w:val="00EB1A1B"/>
    <w:rsid w:val="00EB1B1C"/>
    <w:rsid w:val="00EB1B38"/>
    <w:rsid w:val="00EB1C22"/>
    <w:rsid w:val="00EB1CA1"/>
    <w:rsid w:val="00EB1CC1"/>
    <w:rsid w:val="00EB1CD3"/>
    <w:rsid w:val="00EB1DE7"/>
    <w:rsid w:val="00EB209A"/>
    <w:rsid w:val="00EB209D"/>
    <w:rsid w:val="00EB20C6"/>
    <w:rsid w:val="00EB20FE"/>
    <w:rsid w:val="00EB211C"/>
    <w:rsid w:val="00EB22C8"/>
    <w:rsid w:val="00EB22EF"/>
    <w:rsid w:val="00EB22FC"/>
    <w:rsid w:val="00EB233F"/>
    <w:rsid w:val="00EB243F"/>
    <w:rsid w:val="00EB2445"/>
    <w:rsid w:val="00EB2483"/>
    <w:rsid w:val="00EB24A7"/>
    <w:rsid w:val="00EB24FC"/>
    <w:rsid w:val="00EB256E"/>
    <w:rsid w:val="00EB26E2"/>
    <w:rsid w:val="00EB275A"/>
    <w:rsid w:val="00EB28DB"/>
    <w:rsid w:val="00EB295D"/>
    <w:rsid w:val="00EB2A61"/>
    <w:rsid w:val="00EB2AD6"/>
    <w:rsid w:val="00EB2B26"/>
    <w:rsid w:val="00EB2C6B"/>
    <w:rsid w:val="00EB2C86"/>
    <w:rsid w:val="00EB2D94"/>
    <w:rsid w:val="00EB2D97"/>
    <w:rsid w:val="00EB2DD3"/>
    <w:rsid w:val="00EB2F39"/>
    <w:rsid w:val="00EB2F44"/>
    <w:rsid w:val="00EB2FE8"/>
    <w:rsid w:val="00EB30CA"/>
    <w:rsid w:val="00EB325A"/>
    <w:rsid w:val="00EB326C"/>
    <w:rsid w:val="00EB32DC"/>
    <w:rsid w:val="00EB32E5"/>
    <w:rsid w:val="00EB3328"/>
    <w:rsid w:val="00EB33E1"/>
    <w:rsid w:val="00EB356D"/>
    <w:rsid w:val="00EB35AE"/>
    <w:rsid w:val="00EB386E"/>
    <w:rsid w:val="00EB38EE"/>
    <w:rsid w:val="00EB3923"/>
    <w:rsid w:val="00EB3970"/>
    <w:rsid w:val="00EB3987"/>
    <w:rsid w:val="00EB39E4"/>
    <w:rsid w:val="00EB3C00"/>
    <w:rsid w:val="00EB3CFE"/>
    <w:rsid w:val="00EB3D2C"/>
    <w:rsid w:val="00EB3F6F"/>
    <w:rsid w:val="00EB4574"/>
    <w:rsid w:val="00EB470F"/>
    <w:rsid w:val="00EB48B5"/>
    <w:rsid w:val="00EB4A34"/>
    <w:rsid w:val="00EB4B74"/>
    <w:rsid w:val="00EB4B83"/>
    <w:rsid w:val="00EB4C0F"/>
    <w:rsid w:val="00EB4C45"/>
    <w:rsid w:val="00EB4CC8"/>
    <w:rsid w:val="00EB4DA0"/>
    <w:rsid w:val="00EB4E9A"/>
    <w:rsid w:val="00EB514D"/>
    <w:rsid w:val="00EB51A1"/>
    <w:rsid w:val="00EB51E3"/>
    <w:rsid w:val="00EB5332"/>
    <w:rsid w:val="00EB53C5"/>
    <w:rsid w:val="00EB5454"/>
    <w:rsid w:val="00EB5680"/>
    <w:rsid w:val="00EB573A"/>
    <w:rsid w:val="00EB593E"/>
    <w:rsid w:val="00EB5A25"/>
    <w:rsid w:val="00EB5A78"/>
    <w:rsid w:val="00EB5C4B"/>
    <w:rsid w:val="00EB5C95"/>
    <w:rsid w:val="00EB5D72"/>
    <w:rsid w:val="00EB5DB8"/>
    <w:rsid w:val="00EB5F18"/>
    <w:rsid w:val="00EB6097"/>
    <w:rsid w:val="00EB6099"/>
    <w:rsid w:val="00EB626C"/>
    <w:rsid w:val="00EB62DB"/>
    <w:rsid w:val="00EB655C"/>
    <w:rsid w:val="00EB65A3"/>
    <w:rsid w:val="00EB665E"/>
    <w:rsid w:val="00EB672E"/>
    <w:rsid w:val="00EB679B"/>
    <w:rsid w:val="00EB67A6"/>
    <w:rsid w:val="00EB67A7"/>
    <w:rsid w:val="00EB68DE"/>
    <w:rsid w:val="00EB6988"/>
    <w:rsid w:val="00EB69AF"/>
    <w:rsid w:val="00EB6A2A"/>
    <w:rsid w:val="00EB6A2D"/>
    <w:rsid w:val="00EB6A32"/>
    <w:rsid w:val="00EB6A91"/>
    <w:rsid w:val="00EB6AE2"/>
    <w:rsid w:val="00EB6CB3"/>
    <w:rsid w:val="00EB6E29"/>
    <w:rsid w:val="00EB71A4"/>
    <w:rsid w:val="00EB7313"/>
    <w:rsid w:val="00EB73B4"/>
    <w:rsid w:val="00EB747B"/>
    <w:rsid w:val="00EB75A5"/>
    <w:rsid w:val="00EB787A"/>
    <w:rsid w:val="00EB79FB"/>
    <w:rsid w:val="00EB7B0D"/>
    <w:rsid w:val="00EB7BAD"/>
    <w:rsid w:val="00EB7C02"/>
    <w:rsid w:val="00EB7C89"/>
    <w:rsid w:val="00EB7D5C"/>
    <w:rsid w:val="00EB7D78"/>
    <w:rsid w:val="00EB7DE3"/>
    <w:rsid w:val="00EB7DEB"/>
    <w:rsid w:val="00EB7DF1"/>
    <w:rsid w:val="00EB7EBD"/>
    <w:rsid w:val="00EB7EF2"/>
    <w:rsid w:val="00EB7F46"/>
    <w:rsid w:val="00EB7FAE"/>
    <w:rsid w:val="00EC005C"/>
    <w:rsid w:val="00EC0268"/>
    <w:rsid w:val="00EC0322"/>
    <w:rsid w:val="00EC032E"/>
    <w:rsid w:val="00EC04C6"/>
    <w:rsid w:val="00EC05AD"/>
    <w:rsid w:val="00EC05EA"/>
    <w:rsid w:val="00EC0664"/>
    <w:rsid w:val="00EC069E"/>
    <w:rsid w:val="00EC0795"/>
    <w:rsid w:val="00EC08C4"/>
    <w:rsid w:val="00EC0926"/>
    <w:rsid w:val="00EC0B6F"/>
    <w:rsid w:val="00EC0D79"/>
    <w:rsid w:val="00EC0DFE"/>
    <w:rsid w:val="00EC0E07"/>
    <w:rsid w:val="00EC0F50"/>
    <w:rsid w:val="00EC0F80"/>
    <w:rsid w:val="00EC0FB4"/>
    <w:rsid w:val="00EC0FE4"/>
    <w:rsid w:val="00EC10A5"/>
    <w:rsid w:val="00EC124B"/>
    <w:rsid w:val="00EC1269"/>
    <w:rsid w:val="00EC12A1"/>
    <w:rsid w:val="00EC14E7"/>
    <w:rsid w:val="00EC15AB"/>
    <w:rsid w:val="00EC1638"/>
    <w:rsid w:val="00EC16E7"/>
    <w:rsid w:val="00EC1706"/>
    <w:rsid w:val="00EC1845"/>
    <w:rsid w:val="00EC18E5"/>
    <w:rsid w:val="00EC19B6"/>
    <w:rsid w:val="00EC1AF8"/>
    <w:rsid w:val="00EC1B40"/>
    <w:rsid w:val="00EC1C3E"/>
    <w:rsid w:val="00EC1C46"/>
    <w:rsid w:val="00EC1CE7"/>
    <w:rsid w:val="00EC1D5B"/>
    <w:rsid w:val="00EC1E68"/>
    <w:rsid w:val="00EC1ECD"/>
    <w:rsid w:val="00EC1FAA"/>
    <w:rsid w:val="00EC206B"/>
    <w:rsid w:val="00EC20DC"/>
    <w:rsid w:val="00EC226D"/>
    <w:rsid w:val="00EC22B3"/>
    <w:rsid w:val="00EC22C3"/>
    <w:rsid w:val="00EC2344"/>
    <w:rsid w:val="00EC237F"/>
    <w:rsid w:val="00EC2391"/>
    <w:rsid w:val="00EC24A6"/>
    <w:rsid w:val="00EC265C"/>
    <w:rsid w:val="00EC2986"/>
    <w:rsid w:val="00EC2A19"/>
    <w:rsid w:val="00EC2B28"/>
    <w:rsid w:val="00EC2B63"/>
    <w:rsid w:val="00EC2BAD"/>
    <w:rsid w:val="00EC2D1E"/>
    <w:rsid w:val="00EC2D29"/>
    <w:rsid w:val="00EC2E53"/>
    <w:rsid w:val="00EC2F80"/>
    <w:rsid w:val="00EC32F3"/>
    <w:rsid w:val="00EC345E"/>
    <w:rsid w:val="00EC348A"/>
    <w:rsid w:val="00EC34FF"/>
    <w:rsid w:val="00EC3608"/>
    <w:rsid w:val="00EC361D"/>
    <w:rsid w:val="00EC37CF"/>
    <w:rsid w:val="00EC3C64"/>
    <w:rsid w:val="00EC3C81"/>
    <w:rsid w:val="00EC3CB2"/>
    <w:rsid w:val="00EC3DBB"/>
    <w:rsid w:val="00EC3EC5"/>
    <w:rsid w:val="00EC3F2D"/>
    <w:rsid w:val="00EC3FB3"/>
    <w:rsid w:val="00EC3FD8"/>
    <w:rsid w:val="00EC4022"/>
    <w:rsid w:val="00EC40CB"/>
    <w:rsid w:val="00EC4133"/>
    <w:rsid w:val="00EC421A"/>
    <w:rsid w:val="00EC430C"/>
    <w:rsid w:val="00EC43FA"/>
    <w:rsid w:val="00EC4415"/>
    <w:rsid w:val="00EC4494"/>
    <w:rsid w:val="00EC4511"/>
    <w:rsid w:val="00EC458E"/>
    <w:rsid w:val="00EC45B3"/>
    <w:rsid w:val="00EC4615"/>
    <w:rsid w:val="00EC46F0"/>
    <w:rsid w:val="00EC47B9"/>
    <w:rsid w:val="00EC48BD"/>
    <w:rsid w:val="00EC4903"/>
    <w:rsid w:val="00EC49D6"/>
    <w:rsid w:val="00EC4A1F"/>
    <w:rsid w:val="00EC4A52"/>
    <w:rsid w:val="00EC4A9D"/>
    <w:rsid w:val="00EC4AA1"/>
    <w:rsid w:val="00EC4AC5"/>
    <w:rsid w:val="00EC4B1A"/>
    <w:rsid w:val="00EC4B76"/>
    <w:rsid w:val="00EC4E30"/>
    <w:rsid w:val="00EC4EFD"/>
    <w:rsid w:val="00EC4F87"/>
    <w:rsid w:val="00EC501E"/>
    <w:rsid w:val="00EC519C"/>
    <w:rsid w:val="00EC51E1"/>
    <w:rsid w:val="00EC55B9"/>
    <w:rsid w:val="00EC575D"/>
    <w:rsid w:val="00EC58C1"/>
    <w:rsid w:val="00EC590A"/>
    <w:rsid w:val="00EC59E3"/>
    <w:rsid w:val="00EC59F2"/>
    <w:rsid w:val="00EC5A69"/>
    <w:rsid w:val="00EC5AD6"/>
    <w:rsid w:val="00EC5B07"/>
    <w:rsid w:val="00EC5D4F"/>
    <w:rsid w:val="00EC5FAA"/>
    <w:rsid w:val="00EC5FD8"/>
    <w:rsid w:val="00EC64DD"/>
    <w:rsid w:val="00EC6557"/>
    <w:rsid w:val="00EC6783"/>
    <w:rsid w:val="00EC6787"/>
    <w:rsid w:val="00EC67A9"/>
    <w:rsid w:val="00EC682B"/>
    <w:rsid w:val="00EC6854"/>
    <w:rsid w:val="00EC6911"/>
    <w:rsid w:val="00EC69C9"/>
    <w:rsid w:val="00EC69EC"/>
    <w:rsid w:val="00EC6A0D"/>
    <w:rsid w:val="00EC6A83"/>
    <w:rsid w:val="00EC6AF5"/>
    <w:rsid w:val="00EC6B0A"/>
    <w:rsid w:val="00EC6E36"/>
    <w:rsid w:val="00EC6E72"/>
    <w:rsid w:val="00EC6F31"/>
    <w:rsid w:val="00EC6F50"/>
    <w:rsid w:val="00EC737C"/>
    <w:rsid w:val="00EC73AC"/>
    <w:rsid w:val="00EC7449"/>
    <w:rsid w:val="00EC7662"/>
    <w:rsid w:val="00EC785B"/>
    <w:rsid w:val="00EC786B"/>
    <w:rsid w:val="00EC793A"/>
    <w:rsid w:val="00EC7A67"/>
    <w:rsid w:val="00EC7B17"/>
    <w:rsid w:val="00EC7B2A"/>
    <w:rsid w:val="00EC7B7B"/>
    <w:rsid w:val="00EC7C04"/>
    <w:rsid w:val="00EC7C18"/>
    <w:rsid w:val="00EC7C4F"/>
    <w:rsid w:val="00EC7C5E"/>
    <w:rsid w:val="00EC7D2F"/>
    <w:rsid w:val="00EC7EB7"/>
    <w:rsid w:val="00ED011B"/>
    <w:rsid w:val="00ED023D"/>
    <w:rsid w:val="00ED033F"/>
    <w:rsid w:val="00ED05AA"/>
    <w:rsid w:val="00ED0633"/>
    <w:rsid w:val="00ED0673"/>
    <w:rsid w:val="00ED06D6"/>
    <w:rsid w:val="00ED0A14"/>
    <w:rsid w:val="00ED0C14"/>
    <w:rsid w:val="00ED0C43"/>
    <w:rsid w:val="00ED0C6D"/>
    <w:rsid w:val="00ED0C86"/>
    <w:rsid w:val="00ED0E93"/>
    <w:rsid w:val="00ED0EAE"/>
    <w:rsid w:val="00ED0FD0"/>
    <w:rsid w:val="00ED101C"/>
    <w:rsid w:val="00ED11F9"/>
    <w:rsid w:val="00ED12B7"/>
    <w:rsid w:val="00ED12CF"/>
    <w:rsid w:val="00ED142A"/>
    <w:rsid w:val="00ED153C"/>
    <w:rsid w:val="00ED1678"/>
    <w:rsid w:val="00ED16EB"/>
    <w:rsid w:val="00ED1934"/>
    <w:rsid w:val="00ED1C68"/>
    <w:rsid w:val="00ED1DD8"/>
    <w:rsid w:val="00ED216E"/>
    <w:rsid w:val="00ED2194"/>
    <w:rsid w:val="00ED2275"/>
    <w:rsid w:val="00ED2345"/>
    <w:rsid w:val="00ED2414"/>
    <w:rsid w:val="00ED243A"/>
    <w:rsid w:val="00ED24ED"/>
    <w:rsid w:val="00ED25EE"/>
    <w:rsid w:val="00ED2673"/>
    <w:rsid w:val="00ED27A4"/>
    <w:rsid w:val="00ED2941"/>
    <w:rsid w:val="00ED2983"/>
    <w:rsid w:val="00ED29EB"/>
    <w:rsid w:val="00ED2B11"/>
    <w:rsid w:val="00ED2D4F"/>
    <w:rsid w:val="00ED2E93"/>
    <w:rsid w:val="00ED2F38"/>
    <w:rsid w:val="00ED2F45"/>
    <w:rsid w:val="00ED2F4D"/>
    <w:rsid w:val="00ED2F4E"/>
    <w:rsid w:val="00ED2F5E"/>
    <w:rsid w:val="00ED2F88"/>
    <w:rsid w:val="00ED3063"/>
    <w:rsid w:val="00ED3132"/>
    <w:rsid w:val="00ED3160"/>
    <w:rsid w:val="00ED3468"/>
    <w:rsid w:val="00ED34AC"/>
    <w:rsid w:val="00ED358D"/>
    <w:rsid w:val="00ED3620"/>
    <w:rsid w:val="00ED3698"/>
    <w:rsid w:val="00ED375C"/>
    <w:rsid w:val="00ED37C9"/>
    <w:rsid w:val="00ED3803"/>
    <w:rsid w:val="00ED381C"/>
    <w:rsid w:val="00ED39A9"/>
    <w:rsid w:val="00ED39D1"/>
    <w:rsid w:val="00ED39EB"/>
    <w:rsid w:val="00ED39F8"/>
    <w:rsid w:val="00ED3A1B"/>
    <w:rsid w:val="00ED3A6B"/>
    <w:rsid w:val="00ED3B24"/>
    <w:rsid w:val="00ED3BF0"/>
    <w:rsid w:val="00ED3C67"/>
    <w:rsid w:val="00ED3C84"/>
    <w:rsid w:val="00ED3CEE"/>
    <w:rsid w:val="00ED3DBC"/>
    <w:rsid w:val="00ED3EBE"/>
    <w:rsid w:val="00ED3F06"/>
    <w:rsid w:val="00ED40D4"/>
    <w:rsid w:val="00ED41D2"/>
    <w:rsid w:val="00ED4299"/>
    <w:rsid w:val="00ED4316"/>
    <w:rsid w:val="00ED4317"/>
    <w:rsid w:val="00ED44A6"/>
    <w:rsid w:val="00ED44D9"/>
    <w:rsid w:val="00ED44E0"/>
    <w:rsid w:val="00ED45AF"/>
    <w:rsid w:val="00ED4655"/>
    <w:rsid w:val="00ED47EE"/>
    <w:rsid w:val="00ED493B"/>
    <w:rsid w:val="00ED4B75"/>
    <w:rsid w:val="00ED4B84"/>
    <w:rsid w:val="00ED4B88"/>
    <w:rsid w:val="00ED4B93"/>
    <w:rsid w:val="00ED4C41"/>
    <w:rsid w:val="00ED4E36"/>
    <w:rsid w:val="00ED4E49"/>
    <w:rsid w:val="00ED4F7E"/>
    <w:rsid w:val="00ED4F81"/>
    <w:rsid w:val="00ED5039"/>
    <w:rsid w:val="00ED5105"/>
    <w:rsid w:val="00ED51CD"/>
    <w:rsid w:val="00ED51D9"/>
    <w:rsid w:val="00ED5212"/>
    <w:rsid w:val="00ED546C"/>
    <w:rsid w:val="00ED5522"/>
    <w:rsid w:val="00ED552E"/>
    <w:rsid w:val="00ED5575"/>
    <w:rsid w:val="00ED564F"/>
    <w:rsid w:val="00ED5692"/>
    <w:rsid w:val="00ED572A"/>
    <w:rsid w:val="00ED57FE"/>
    <w:rsid w:val="00ED58A4"/>
    <w:rsid w:val="00ED591A"/>
    <w:rsid w:val="00ED5AA8"/>
    <w:rsid w:val="00ED5C5A"/>
    <w:rsid w:val="00ED5CFE"/>
    <w:rsid w:val="00ED5EF5"/>
    <w:rsid w:val="00ED5F73"/>
    <w:rsid w:val="00ED6038"/>
    <w:rsid w:val="00ED606B"/>
    <w:rsid w:val="00ED6077"/>
    <w:rsid w:val="00ED607D"/>
    <w:rsid w:val="00ED60C1"/>
    <w:rsid w:val="00ED61AC"/>
    <w:rsid w:val="00ED61B4"/>
    <w:rsid w:val="00ED630E"/>
    <w:rsid w:val="00ED6323"/>
    <w:rsid w:val="00ED638D"/>
    <w:rsid w:val="00ED6421"/>
    <w:rsid w:val="00ED6471"/>
    <w:rsid w:val="00ED649E"/>
    <w:rsid w:val="00ED65B2"/>
    <w:rsid w:val="00ED6693"/>
    <w:rsid w:val="00ED6764"/>
    <w:rsid w:val="00ED681B"/>
    <w:rsid w:val="00ED68BE"/>
    <w:rsid w:val="00ED697F"/>
    <w:rsid w:val="00ED6A1D"/>
    <w:rsid w:val="00ED6BDE"/>
    <w:rsid w:val="00ED6C78"/>
    <w:rsid w:val="00ED6CDC"/>
    <w:rsid w:val="00ED6D35"/>
    <w:rsid w:val="00ED6EBC"/>
    <w:rsid w:val="00ED6F5C"/>
    <w:rsid w:val="00ED6F88"/>
    <w:rsid w:val="00ED6F99"/>
    <w:rsid w:val="00ED6FC3"/>
    <w:rsid w:val="00ED700E"/>
    <w:rsid w:val="00ED704B"/>
    <w:rsid w:val="00ED704F"/>
    <w:rsid w:val="00ED70A0"/>
    <w:rsid w:val="00ED715C"/>
    <w:rsid w:val="00ED71A0"/>
    <w:rsid w:val="00ED71B7"/>
    <w:rsid w:val="00ED733C"/>
    <w:rsid w:val="00ED73EF"/>
    <w:rsid w:val="00ED74BB"/>
    <w:rsid w:val="00ED754B"/>
    <w:rsid w:val="00ED75B5"/>
    <w:rsid w:val="00ED7636"/>
    <w:rsid w:val="00ED775D"/>
    <w:rsid w:val="00ED795B"/>
    <w:rsid w:val="00ED7AC4"/>
    <w:rsid w:val="00ED7AF7"/>
    <w:rsid w:val="00ED7B95"/>
    <w:rsid w:val="00ED7BAB"/>
    <w:rsid w:val="00ED7C2D"/>
    <w:rsid w:val="00ED7CEC"/>
    <w:rsid w:val="00ED7D5A"/>
    <w:rsid w:val="00ED7DED"/>
    <w:rsid w:val="00EE00F1"/>
    <w:rsid w:val="00EE01BF"/>
    <w:rsid w:val="00EE01F0"/>
    <w:rsid w:val="00EE0373"/>
    <w:rsid w:val="00EE051A"/>
    <w:rsid w:val="00EE060F"/>
    <w:rsid w:val="00EE0654"/>
    <w:rsid w:val="00EE06F2"/>
    <w:rsid w:val="00EE07EB"/>
    <w:rsid w:val="00EE080B"/>
    <w:rsid w:val="00EE08E2"/>
    <w:rsid w:val="00EE09B4"/>
    <w:rsid w:val="00EE0A3C"/>
    <w:rsid w:val="00EE0B22"/>
    <w:rsid w:val="00EE0B51"/>
    <w:rsid w:val="00EE0BF9"/>
    <w:rsid w:val="00EE0DFB"/>
    <w:rsid w:val="00EE0E9F"/>
    <w:rsid w:val="00EE0F6C"/>
    <w:rsid w:val="00EE10E9"/>
    <w:rsid w:val="00EE110D"/>
    <w:rsid w:val="00EE111A"/>
    <w:rsid w:val="00EE118B"/>
    <w:rsid w:val="00EE11AF"/>
    <w:rsid w:val="00EE1369"/>
    <w:rsid w:val="00EE13DE"/>
    <w:rsid w:val="00EE1420"/>
    <w:rsid w:val="00EE160C"/>
    <w:rsid w:val="00EE1664"/>
    <w:rsid w:val="00EE1AEE"/>
    <w:rsid w:val="00EE1B3D"/>
    <w:rsid w:val="00EE1D99"/>
    <w:rsid w:val="00EE1E2B"/>
    <w:rsid w:val="00EE1E35"/>
    <w:rsid w:val="00EE1F94"/>
    <w:rsid w:val="00EE1FDD"/>
    <w:rsid w:val="00EE200D"/>
    <w:rsid w:val="00EE207A"/>
    <w:rsid w:val="00EE20A6"/>
    <w:rsid w:val="00EE211F"/>
    <w:rsid w:val="00EE21A7"/>
    <w:rsid w:val="00EE21E8"/>
    <w:rsid w:val="00EE222F"/>
    <w:rsid w:val="00EE23D6"/>
    <w:rsid w:val="00EE24F2"/>
    <w:rsid w:val="00EE261B"/>
    <w:rsid w:val="00EE2621"/>
    <w:rsid w:val="00EE296A"/>
    <w:rsid w:val="00EE2B23"/>
    <w:rsid w:val="00EE2C6F"/>
    <w:rsid w:val="00EE2D37"/>
    <w:rsid w:val="00EE2D97"/>
    <w:rsid w:val="00EE2E05"/>
    <w:rsid w:val="00EE2E41"/>
    <w:rsid w:val="00EE2ED3"/>
    <w:rsid w:val="00EE2F0F"/>
    <w:rsid w:val="00EE3047"/>
    <w:rsid w:val="00EE3073"/>
    <w:rsid w:val="00EE331E"/>
    <w:rsid w:val="00EE3366"/>
    <w:rsid w:val="00EE33BB"/>
    <w:rsid w:val="00EE33D0"/>
    <w:rsid w:val="00EE341C"/>
    <w:rsid w:val="00EE3570"/>
    <w:rsid w:val="00EE3573"/>
    <w:rsid w:val="00EE36CA"/>
    <w:rsid w:val="00EE38E3"/>
    <w:rsid w:val="00EE3A4B"/>
    <w:rsid w:val="00EE3ADC"/>
    <w:rsid w:val="00EE3AE6"/>
    <w:rsid w:val="00EE3B49"/>
    <w:rsid w:val="00EE3C9F"/>
    <w:rsid w:val="00EE3D0F"/>
    <w:rsid w:val="00EE3D3D"/>
    <w:rsid w:val="00EE3D8B"/>
    <w:rsid w:val="00EE3F08"/>
    <w:rsid w:val="00EE3F0C"/>
    <w:rsid w:val="00EE3F8E"/>
    <w:rsid w:val="00EE411D"/>
    <w:rsid w:val="00EE4122"/>
    <w:rsid w:val="00EE4232"/>
    <w:rsid w:val="00EE43B5"/>
    <w:rsid w:val="00EE4549"/>
    <w:rsid w:val="00EE47E3"/>
    <w:rsid w:val="00EE487D"/>
    <w:rsid w:val="00EE49A4"/>
    <w:rsid w:val="00EE49CA"/>
    <w:rsid w:val="00EE49F0"/>
    <w:rsid w:val="00EE4A3F"/>
    <w:rsid w:val="00EE4A48"/>
    <w:rsid w:val="00EE4B50"/>
    <w:rsid w:val="00EE4B65"/>
    <w:rsid w:val="00EE4B90"/>
    <w:rsid w:val="00EE4BAB"/>
    <w:rsid w:val="00EE4E75"/>
    <w:rsid w:val="00EE4EB7"/>
    <w:rsid w:val="00EE4EFF"/>
    <w:rsid w:val="00EE4FA9"/>
    <w:rsid w:val="00EE4FE0"/>
    <w:rsid w:val="00EE505E"/>
    <w:rsid w:val="00EE50B7"/>
    <w:rsid w:val="00EE5104"/>
    <w:rsid w:val="00EE516F"/>
    <w:rsid w:val="00EE5183"/>
    <w:rsid w:val="00EE53A7"/>
    <w:rsid w:val="00EE53E0"/>
    <w:rsid w:val="00EE550C"/>
    <w:rsid w:val="00EE5663"/>
    <w:rsid w:val="00EE592D"/>
    <w:rsid w:val="00EE5A0B"/>
    <w:rsid w:val="00EE5B73"/>
    <w:rsid w:val="00EE5D71"/>
    <w:rsid w:val="00EE5DAB"/>
    <w:rsid w:val="00EE5DDD"/>
    <w:rsid w:val="00EE5DE7"/>
    <w:rsid w:val="00EE5F2D"/>
    <w:rsid w:val="00EE5F30"/>
    <w:rsid w:val="00EE5F5E"/>
    <w:rsid w:val="00EE5F9C"/>
    <w:rsid w:val="00EE60BE"/>
    <w:rsid w:val="00EE61BB"/>
    <w:rsid w:val="00EE62A1"/>
    <w:rsid w:val="00EE62FC"/>
    <w:rsid w:val="00EE6301"/>
    <w:rsid w:val="00EE63E9"/>
    <w:rsid w:val="00EE643F"/>
    <w:rsid w:val="00EE645B"/>
    <w:rsid w:val="00EE64AA"/>
    <w:rsid w:val="00EE64BD"/>
    <w:rsid w:val="00EE64FD"/>
    <w:rsid w:val="00EE6549"/>
    <w:rsid w:val="00EE65C9"/>
    <w:rsid w:val="00EE669D"/>
    <w:rsid w:val="00EE66DB"/>
    <w:rsid w:val="00EE6724"/>
    <w:rsid w:val="00EE688C"/>
    <w:rsid w:val="00EE6895"/>
    <w:rsid w:val="00EE6A14"/>
    <w:rsid w:val="00EE6A1C"/>
    <w:rsid w:val="00EE6B11"/>
    <w:rsid w:val="00EE6D7E"/>
    <w:rsid w:val="00EE6DD4"/>
    <w:rsid w:val="00EE6E3C"/>
    <w:rsid w:val="00EE6E44"/>
    <w:rsid w:val="00EE6EE3"/>
    <w:rsid w:val="00EE701B"/>
    <w:rsid w:val="00EE70F5"/>
    <w:rsid w:val="00EE7173"/>
    <w:rsid w:val="00EE71B3"/>
    <w:rsid w:val="00EE731F"/>
    <w:rsid w:val="00EE7429"/>
    <w:rsid w:val="00EE7692"/>
    <w:rsid w:val="00EE76DC"/>
    <w:rsid w:val="00EE76E9"/>
    <w:rsid w:val="00EE7985"/>
    <w:rsid w:val="00EE7A30"/>
    <w:rsid w:val="00EE7AC0"/>
    <w:rsid w:val="00EE7AEF"/>
    <w:rsid w:val="00EE7B72"/>
    <w:rsid w:val="00EE7B8A"/>
    <w:rsid w:val="00EE7C0F"/>
    <w:rsid w:val="00EE7D9C"/>
    <w:rsid w:val="00EE7E64"/>
    <w:rsid w:val="00EF008B"/>
    <w:rsid w:val="00EF0214"/>
    <w:rsid w:val="00EF0310"/>
    <w:rsid w:val="00EF0324"/>
    <w:rsid w:val="00EF0559"/>
    <w:rsid w:val="00EF060D"/>
    <w:rsid w:val="00EF069F"/>
    <w:rsid w:val="00EF06CF"/>
    <w:rsid w:val="00EF07F1"/>
    <w:rsid w:val="00EF083A"/>
    <w:rsid w:val="00EF0855"/>
    <w:rsid w:val="00EF08E4"/>
    <w:rsid w:val="00EF0986"/>
    <w:rsid w:val="00EF09DB"/>
    <w:rsid w:val="00EF0B90"/>
    <w:rsid w:val="00EF0BC8"/>
    <w:rsid w:val="00EF0DE4"/>
    <w:rsid w:val="00EF1047"/>
    <w:rsid w:val="00EF1152"/>
    <w:rsid w:val="00EF1179"/>
    <w:rsid w:val="00EF11BE"/>
    <w:rsid w:val="00EF1272"/>
    <w:rsid w:val="00EF13A5"/>
    <w:rsid w:val="00EF147C"/>
    <w:rsid w:val="00EF1650"/>
    <w:rsid w:val="00EF16C8"/>
    <w:rsid w:val="00EF1736"/>
    <w:rsid w:val="00EF1872"/>
    <w:rsid w:val="00EF1951"/>
    <w:rsid w:val="00EF19DC"/>
    <w:rsid w:val="00EF1AA0"/>
    <w:rsid w:val="00EF1E25"/>
    <w:rsid w:val="00EF1E49"/>
    <w:rsid w:val="00EF1F2C"/>
    <w:rsid w:val="00EF1F65"/>
    <w:rsid w:val="00EF1F8A"/>
    <w:rsid w:val="00EF1FE0"/>
    <w:rsid w:val="00EF20E2"/>
    <w:rsid w:val="00EF2107"/>
    <w:rsid w:val="00EF2157"/>
    <w:rsid w:val="00EF2207"/>
    <w:rsid w:val="00EF2250"/>
    <w:rsid w:val="00EF2266"/>
    <w:rsid w:val="00EF22D3"/>
    <w:rsid w:val="00EF2322"/>
    <w:rsid w:val="00EF2405"/>
    <w:rsid w:val="00EF2449"/>
    <w:rsid w:val="00EF24DF"/>
    <w:rsid w:val="00EF24F0"/>
    <w:rsid w:val="00EF25D3"/>
    <w:rsid w:val="00EF272F"/>
    <w:rsid w:val="00EF278D"/>
    <w:rsid w:val="00EF2805"/>
    <w:rsid w:val="00EF280C"/>
    <w:rsid w:val="00EF2901"/>
    <w:rsid w:val="00EF2A54"/>
    <w:rsid w:val="00EF2A5D"/>
    <w:rsid w:val="00EF2D29"/>
    <w:rsid w:val="00EF313E"/>
    <w:rsid w:val="00EF3280"/>
    <w:rsid w:val="00EF3327"/>
    <w:rsid w:val="00EF33A6"/>
    <w:rsid w:val="00EF3406"/>
    <w:rsid w:val="00EF3454"/>
    <w:rsid w:val="00EF3458"/>
    <w:rsid w:val="00EF3603"/>
    <w:rsid w:val="00EF3663"/>
    <w:rsid w:val="00EF3686"/>
    <w:rsid w:val="00EF36E1"/>
    <w:rsid w:val="00EF36EF"/>
    <w:rsid w:val="00EF3923"/>
    <w:rsid w:val="00EF39B2"/>
    <w:rsid w:val="00EF39C6"/>
    <w:rsid w:val="00EF3A20"/>
    <w:rsid w:val="00EF3A7D"/>
    <w:rsid w:val="00EF3A82"/>
    <w:rsid w:val="00EF3C50"/>
    <w:rsid w:val="00EF3C99"/>
    <w:rsid w:val="00EF3D9E"/>
    <w:rsid w:val="00EF3ED9"/>
    <w:rsid w:val="00EF3F6F"/>
    <w:rsid w:val="00EF400F"/>
    <w:rsid w:val="00EF4194"/>
    <w:rsid w:val="00EF41A6"/>
    <w:rsid w:val="00EF4247"/>
    <w:rsid w:val="00EF4293"/>
    <w:rsid w:val="00EF4367"/>
    <w:rsid w:val="00EF4436"/>
    <w:rsid w:val="00EF475C"/>
    <w:rsid w:val="00EF47E6"/>
    <w:rsid w:val="00EF4835"/>
    <w:rsid w:val="00EF4A51"/>
    <w:rsid w:val="00EF4AAF"/>
    <w:rsid w:val="00EF4BFE"/>
    <w:rsid w:val="00EF4D40"/>
    <w:rsid w:val="00EF4E70"/>
    <w:rsid w:val="00EF5032"/>
    <w:rsid w:val="00EF5161"/>
    <w:rsid w:val="00EF5195"/>
    <w:rsid w:val="00EF5265"/>
    <w:rsid w:val="00EF54EE"/>
    <w:rsid w:val="00EF5673"/>
    <w:rsid w:val="00EF5862"/>
    <w:rsid w:val="00EF5924"/>
    <w:rsid w:val="00EF598A"/>
    <w:rsid w:val="00EF59F6"/>
    <w:rsid w:val="00EF5A19"/>
    <w:rsid w:val="00EF5A1F"/>
    <w:rsid w:val="00EF5AC0"/>
    <w:rsid w:val="00EF5B5D"/>
    <w:rsid w:val="00EF5B6F"/>
    <w:rsid w:val="00EF5CD0"/>
    <w:rsid w:val="00EF5DDA"/>
    <w:rsid w:val="00EF5DF9"/>
    <w:rsid w:val="00EF5FC0"/>
    <w:rsid w:val="00EF5FDC"/>
    <w:rsid w:val="00EF6026"/>
    <w:rsid w:val="00EF60C1"/>
    <w:rsid w:val="00EF6149"/>
    <w:rsid w:val="00EF61CD"/>
    <w:rsid w:val="00EF63E7"/>
    <w:rsid w:val="00EF6424"/>
    <w:rsid w:val="00EF6503"/>
    <w:rsid w:val="00EF65E0"/>
    <w:rsid w:val="00EF661D"/>
    <w:rsid w:val="00EF66CE"/>
    <w:rsid w:val="00EF6764"/>
    <w:rsid w:val="00EF677C"/>
    <w:rsid w:val="00EF6A57"/>
    <w:rsid w:val="00EF6A81"/>
    <w:rsid w:val="00EF6B9B"/>
    <w:rsid w:val="00EF6D1B"/>
    <w:rsid w:val="00EF6D45"/>
    <w:rsid w:val="00EF6D6A"/>
    <w:rsid w:val="00EF6F32"/>
    <w:rsid w:val="00EF7040"/>
    <w:rsid w:val="00EF7085"/>
    <w:rsid w:val="00EF7179"/>
    <w:rsid w:val="00EF71D7"/>
    <w:rsid w:val="00EF731E"/>
    <w:rsid w:val="00EF7368"/>
    <w:rsid w:val="00EF7497"/>
    <w:rsid w:val="00EF768E"/>
    <w:rsid w:val="00EF771D"/>
    <w:rsid w:val="00EF7755"/>
    <w:rsid w:val="00EF77EC"/>
    <w:rsid w:val="00EF7B41"/>
    <w:rsid w:val="00EF7B90"/>
    <w:rsid w:val="00EF7BC2"/>
    <w:rsid w:val="00EF7BE8"/>
    <w:rsid w:val="00EF7C00"/>
    <w:rsid w:val="00EF7C15"/>
    <w:rsid w:val="00EF7CF0"/>
    <w:rsid w:val="00EF7E0F"/>
    <w:rsid w:val="00EF7E96"/>
    <w:rsid w:val="00F00223"/>
    <w:rsid w:val="00F00382"/>
    <w:rsid w:val="00F006C1"/>
    <w:rsid w:val="00F007DE"/>
    <w:rsid w:val="00F00828"/>
    <w:rsid w:val="00F0083D"/>
    <w:rsid w:val="00F009F5"/>
    <w:rsid w:val="00F00A9D"/>
    <w:rsid w:val="00F00AE5"/>
    <w:rsid w:val="00F00AE9"/>
    <w:rsid w:val="00F00BBD"/>
    <w:rsid w:val="00F00C9C"/>
    <w:rsid w:val="00F00EA6"/>
    <w:rsid w:val="00F00FCC"/>
    <w:rsid w:val="00F01090"/>
    <w:rsid w:val="00F010CE"/>
    <w:rsid w:val="00F010E0"/>
    <w:rsid w:val="00F010F3"/>
    <w:rsid w:val="00F0129E"/>
    <w:rsid w:val="00F0145B"/>
    <w:rsid w:val="00F017C1"/>
    <w:rsid w:val="00F01886"/>
    <w:rsid w:val="00F01A9A"/>
    <w:rsid w:val="00F01C52"/>
    <w:rsid w:val="00F01F1D"/>
    <w:rsid w:val="00F01FC5"/>
    <w:rsid w:val="00F021A3"/>
    <w:rsid w:val="00F0221D"/>
    <w:rsid w:val="00F02227"/>
    <w:rsid w:val="00F022C6"/>
    <w:rsid w:val="00F0238B"/>
    <w:rsid w:val="00F02418"/>
    <w:rsid w:val="00F02470"/>
    <w:rsid w:val="00F02542"/>
    <w:rsid w:val="00F025B9"/>
    <w:rsid w:val="00F025CE"/>
    <w:rsid w:val="00F02634"/>
    <w:rsid w:val="00F02653"/>
    <w:rsid w:val="00F026C7"/>
    <w:rsid w:val="00F02801"/>
    <w:rsid w:val="00F02890"/>
    <w:rsid w:val="00F029BF"/>
    <w:rsid w:val="00F02AC7"/>
    <w:rsid w:val="00F02ACA"/>
    <w:rsid w:val="00F02B7A"/>
    <w:rsid w:val="00F02CA2"/>
    <w:rsid w:val="00F02DBE"/>
    <w:rsid w:val="00F030AB"/>
    <w:rsid w:val="00F030FD"/>
    <w:rsid w:val="00F031EF"/>
    <w:rsid w:val="00F0325C"/>
    <w:rsid w:val="00F03276"/>
    <w:rsid w:val="00F034CF"/>
    <w:rsid w:val="00F0362D"/>
    <w:rsid w:val="00F03646"/>
    <w:rsid w:val="00F03C84"/>
    <w:rsid w:val="00F03D19"/>
    <w:rsid w:val="00F03D43"/>
    <w:rsid w:val="00F03EA8"/>
    <w:rsid w:val="00F03F64"/>
    <w:rsid w:val="00F04028"/>
    <w:rsid w:val="00F0411B"/>
    <w:rsid w:val="00F042BB"/>
    <w:rsid w:val="00F04325"/>
    <w:rsid w:val="00F0437D"/>
    <w:rsid w:val="00F0440E"/>
    <w:rsid w:val="00F044D9"/>
    <w:rsid w:val="00F045A1"/>
    <w:rsid w:val="00F046EB"/>
    <w:rsid w:val="00F04702"/>
    <w:rsid w:val="00F0486A"/>
    <w:rsid w:val="00F04B04"/>
    <w:rsid w:val="00F04B3A"/>
    <w:rsid w:val="00F04BD5"/>
    <w:rsid w:val="00F04C3A"/>
    <w:rsid w:val="00F04CC8"/>
    <w:rsid w:val="00F04CF2"/>
    <w:rsid w:val="00F04DFE"/>
    <w:rsid w:val="00F04E1F"/>
    <w:rsid w:val="00F04E32"/>
    <w:rsid w:val="00F04E35"/>
    <w:rsid w:val="00F04E39"/>
    <w:rsid w:val="00F04F46"/>
    <w:rsid w:val="00F0508C"/>
    <w:rsid w:val="00F0516B"/>
    <w:rsid w:val="00F0524C"/>
    <w:rsid w:val="00F05763"/>
    <w:rsid w:val="00F059FB"/>
    <w:rsid w:val="00F05A24"/>
    <w:rsid w:val="00F05ADF"/>
    <w:rsid w:val="00F05B11"/>
    <w:rsid w:val="00F05B75"/>
    <w:rsid w:val="00F05BEB"/>
    <w:rsid w:val="00F05C60"/>
    <w:rsid w:val="00F05E2C"/>
    <w:rsid w:val="00F062C8"/>
    <w:rsid w:val="00F06406"/>
    <w:rsid w:val="00F0643F"/>
    <w:rsid w:val="00F06581"/>
    <w:rsid w:val="00F0658C"/>
    <w:rsid w:val="00F065BD"/>
    <w:rsid w:val="00F06609"/>
    <w:rsid w:val="00F067E1"/>
    <w:rsid w:val="00F06810"/>
    <w:rsid w:val="00F0684B"/>
    <w:rsid w:val="00F068DE"/>
    <w:rsid w:val="00F06932"/>
    <w:rsid w:val="00F06ACA"/>
    <w:rsid w:val="00F06BDB"/>
    <w:rsid w:val="00F06C49"/>
    <w:rsid w:val="00F06C8D"/>
    <w:rsid w:val="00F06D4A"/>
    <w:rsid w:val="00F06D66"/>
    <w:rsid w:val="00F06D8B"/>
    <w:rsid w:val="00F070AD"/>
    <w:rsid w:val="00F07153"/>
    <w:rsid w:val="00F0740A"/>
    <w:rsid w:val="00F07411"/>
    <w:rsid w:val="00F074CD"/>
    <w:rsid w:val="00F075B2"/>
    <w:rsid w:val="00F075BC"/>
    <w:rsid w:val="00F07649"/>
    <w:rsid w:val="00F0767B"/>
    <w:rsid w:val="00F0783A"/>
    <w:rsid w:val="00F0783E"/>
    <w:rsid w:val="00F07880"/>
    <w:rsid w:val="00F0794D"/>
    <w:rsid w:val="00F07B30"/>
    <w:rsid w:val="00F07B38"/>
    <w:rsid w:val="00F07CA1"/>
    <w:rsid w:val="00F07CF1"/>
    <w:rsid w:val="00F07D1F"/>
    <w:rsid w:val="00F07E76"/>
    <w:rsid w:val="00F07E93"/>
    <w:rsid w:val="00F07F04"/>
    <w:rsid w:val="00F07F09"/>
    <w:rsid w:val="00F07F3B"/>
    <w:rsid w:val="00F100FA"/>
    <w:rsid w:val="00F10193"/>
    <w:rsid w:val="00F1020D"/>
    <w:rsid w:val="00F105DB"/>
    <w:rsid w:val="00F1061F"/>
    <w:rsid w:val="00F106C5"/>
    <w:rsid w:val="00F106D3"/>
    <w:rsid w:val="00F108EB"/>
    <w:rsid w:val="00F10957"/>
    <w:rsid w:val="00F109B8"/>
    <w:rsid w:val="00F109E2"/>
    <w:rsid w:val="00F109EE"/>
    <w:rsid w:val="00F10ADC"/>
    <w:rsid w:val="00F10B11"/>
    <w:rsid w:val="00F10B25"/>
    <w:rsid w:val="00F10BBA"/>
    <w:rsid w:val="00F10CF3"/>
    <w:rsid w:val="00F10D36"/>
    <w:rsid w:val="00F10F79"/>
    <w:rsid w:val="00F110C9"/>
    <w:rsid w:val="00F1111B"/>
    <w:rsid w:val="00F11173"/>
    <w:rsid w:val="00F111D3"/>
    <w:rsid w:val="00F112D6"/>
    <w:rsid w:val="00F113EB"/>
    <w:rsid w:val="00F11432"/>
    <w:rsid w:val="00F1145C"/>
    <w:rsid w:val="00F115B0"/>
    <w:rsid w:val="00F115B6"/>
    <w:rsid w:val="00F11713"/>
    <w:rsid w:val="00F11798"/>
    <w:rsid w:val="00F1179A"/>
    <w:rsid w:val="00F117BB"/>
    <w:rsid w:val="00F11815"/>
    <w:rsid w:val="00F11860"/>
    <w:rsid w:val="00F11970"/>
    <w:rsid w:val="00F119E8"/>
    <w:rsid w:val="00F11A16"/>
    <w:rsid w:val="00F11ADB"/>
    <w:rsid w:val="00F11AE3"/>
    <w:rsid w:val="00F11CFB"/>
    <w:rsid w:val="00F11D21"/>
    <w:rsid w:val="00F120A6"/>
    <w:rsid w:val="00F120AD"/>
    <w:rsid w:val="00F120FD"/>
    <w:rsid w:val="00F1212F"/>
    <w:rsid w:val="00F122C0"/>
    <w:rsid w:val="00F1274D"/>
    <w:rsid w:val="00F12817"/>
    <w:rsid w:val="00F1281B"/>
    <w:rsid w:val="00F12A7B"/>
    <w:rsid w:val="00F12AAF"/>
    <w:rsid w:val="00F12B67"/>
    <w:rsid w:val="00F12C2A"/>
    <w:rsid w:val="00F12CDC"/>
    <w:rsid w:val="00F12CE2"/>
    <w:rsid w:val="00F12D92"/>
    <w:rsid w:val="00F12EDC"/>
    <w:rsid w:val="00F12FBB"/>
    <w:rsid w:val="00F131A0"/>
    <w:rsid w:val="00F131A9"/>
    <w:rsid w:val="00F131CD"/>
    <w:rsid w:val="00F13472"/>
    <w:rsid w:val="00F13580"/>
    <w:rsid w:val="00F135D5"/>
    <w:rsid w:val="00F136A7"/>
    <w:rsid w:val="00F137A6"/>
    <w:rsid w:val="00F13849"/>
    <w:rsid w:val="00F1398F"/>
    <w:rsid w:val="00F139AE"/>
    <w:rsid w:val="00F13BAD"/>
    <w:rsid w:val="00F13BDF"/>
    <w:rsid w:val="00F13DB5"/>
    <w:rsid w:val="00F13E12"/>
    <w:rsid w:val="00F13F85"/>
    <w:rsid w:val="00F14510"/>
    <w:rsid w:val="00F146AD"/>
    <w:rsid w:val="00F147DE"/>
    <w:rsid w:val="00F14824"/>
    <w:rsid w:val="00F14969"/>
    <w:rsid w:val="00F149BB"/>
    <w:rsid w:val="00F149FF"/>
    <w:rsid w:val="00F14A40"/>
    <w:rsid w:val="00F14ACA"/>
    <w:rsid w:val="00F14C05"/>
    <w:rsid w:val="00F14C5C"/>
    <w:rsid w:val="00F14C8F"/>
    <w:rsid w:val="00F14CAE"/>
    <w:rsid w:val="00F14E69"/>
    <w:rsid w:val="00F14ECC"/>
    <w:rsid w:val="00F1516F"/>
    <w:rsid w:val="00F151D2"/>
    <w:rsid w:val="00F151E0"/>
    <w:rsid w:val="00F15489"/>
    <w:rsid w:val="00F1549F"/>
    <w:rsid w:val="00F1557D"/>
    <w:rsid w:val="00F1564E"/>
    <w:rsid w:val="00F157E8"/>
    <w:rsid w:val="00F15865"/>
    <w:rsid w:val="00F15889"/>
    <w:rsid w:val="00F15D08"/>
    <w:rsid w:val="00F15D09"/>
    <w:rsid w:val="00F15DBD"/>
    <w:rsid w:val="00F15E12"/>
    <w:rsid w:val="00F15EB9"/>
    <w:rsid w:val="00F16149"/>
    <w:rsid w:val="00F16153"/>
    <w:rsid w:val="00F1615A"/>
    <w:rsid w:val="00F1615E"/>
    <w:rsid w:val="00F16211"/>
    <w:rsid w:val="00F1623C"/>
    <w:rsid w:val="00F16478"/>
    <w:rsid w:val="00F1647B"/>
    <w:rsid w:val="00F16525"/>
    <w:rsid w:val="00F16568"/>
    <w:rsid w:val="00F165B0"/>
    <w:rsid w:val="00F165BE"/>
    <w:rsid w:val="00F16788"/>
    <w:rsid w:val="00F167A4"/>
    <w:rsid w:val="00F167C9"/>
    <w:rsid w:val="00F168B5"/>
    <w:rsid w:val="00F1694F"/>
    <w:rsid w:val="00F16B0F"/>
    <w:rsid w:val="00F16B7A"/>
    <w:rsid w:val="00F16BBB"/>
    <w:rsid w:val="00F16BDB"/>
    <w:rsid w:val="00F16BF4"/>
    <w:rsid w:val="00F16C54"/>
    <w:rsid w:val="00F16D0D"/>
    <w:rsid w:val="00F16E12"/>
    <w:rsid w:val="00F16E37"/>
    <w:rsid w:val="00F16F3B"/>
    <w:rsid w:val="00F17024"/>
    <w:rsid w:val="00F171CB"/>
    <w:rsid w:val="00F1722D"/>
    <w:rsid w:val="00F1725C"/>
    <w:rsid w:val="00F1725D"/>
    <w:rsid w:val="00F17278"/>
    <w:rsid w:val="00F1733B"/>
    <w:rsid w:val="00F17655"/>
    <w:rsid w:val="00F176AC"/>
    <w:rsid w:val="00F17744"/>
    <w:rsid w:val="00F17756"/>
    <w:rsid w:val="00F177AC"/>
    <w:rsid w:val="00F1781B"/>
    <w:rsid w:val="00F17825"/>
    <w:rsid w:val="00F178FE"/>
    <w:rsid w:val="00F17950"/>
    <w:rsid w:val="00F179FE"/>
    <w:rsid w:val="00F17AF4"/>
    <w:rsid w:val="00F17B9E"/>
    <w:rsid w:val="00F17C26"/>
    <w:rsid w:val="00F17CC5"/>
    <w:rsid w:val="00F17D2D"/>
    <w:rsid w:val="00F17D35"/>
    <w:rsid w:val="00F17D38"/>
    <w:rsid w:val="00F17DD5"/>
    <w:rsid w:val="00F17FAB"/>
    <w:rsid w:val="00F17FFB"/>
    <w:rsid w:val="00F200A2"/>
    <w:rsid w:val="00F200F6"/>
    <w:rsid w:val="00F2021F"/>
    <w:rsid w:val="00F202A7"/>
    <w:rsid w:val="00F204B2"/>
    <w:rsid w:val="00F20615"/>
    <w:rsid w:val="00F20892"/>
    <w:rsid w:val="00F208C8"/>
    <w:rsid w:val="00F2094A"/>
    <w:rsid w:val="00F209C8"/>
    <w:rsid w:val="00F20A12"/>
    <w:rsid w:val="00F20A2A"/>
    <w:rsid w:val="00F20B46"/>
    <w:rsid w:val="00F20CD4"/>
    <w:rsid w:val="00F20D30"/>
    <w:rsid w:val="00F20D8A"/>
    <w:rsid w:val="00F20E25"/>
    <w:rsid w:val="00F20EDD"/>
    <w:rsid w:val="00F214A9"/>
    <w:rsid w:val="00F2151E"/>
    <w:rsid w:val="00F2172C"/>
    <w:rsid w:val="00F218B8"/>
    <w:rsid w:val="00F21909"/>
    <w:rsid w:val="00F219B1"/>
    <w:rsid w:val="00F219F4"/>
    <w:rsid w:val="00F221AC"/>
    <w:rsid w:val="00F22209"/>
    <w:rsid w:val="00F223FC"/>
    <w:rsid w:val="00F224B7"/>
    <w:rsid w:val="00F225D5"/>
    <w:rsid w:val="00F22701"/>
    <w:rsid w:val="00F22882"/>
    <w:rsid w:val="00F228E3"/>
    <w:rsid w:val="00F22974"/>
    <w:rsid w:val="00F229BF"/>
    <w:rsid w:val="00F22B10"/>
    <w:rsid w:val="00F22B53"/>
    <w:rsid w:val="00F22BE4"/>
    <w:rsid w:val="00F22C6B"/>
    <w:rsid w:val="00F22E4C"/>
    <w:rsid w:val="00F22E86"/>
    <w:rsid w:val="00F22EE3"/>
    <w:rsid w:val="00F23208"/>
    <w:rsid w:val="00F23258"/>
    <w:rsid w:val="00F232D6"/>
    <w:rsid w:val="00F2340A"/>
    <w:rsid w:val="00F2357D"/>
    <w:rsid w:val="00F2358C"/>
    <w:rsid w:val="00F236E1"/>
    <w:rsid w:val="00F237AE"/>
    <w:rsid w:val="00F237D0"/>
    <w:rsid w:val="00F23834"/>
    <w:rsid w:val="00F238DC"/>
    <w:rsid w:val="00F23977"/>
    <w:rsid w:val="00F23985"/>
    <w:rsid w:val="00F239B4"/>
    <w:rsid w:val="00F23C29"/>
    <w:rsid w:val="00F23C2D"/>
    <w:rsid w:val="00F23C4E"/>
    <w:rsid w:val="00F23C7B"/>
    <w:rsid w:val="00F23C96"/>
    <w:rsid w:val="00F23DFF"/>
    <w:rsid w:val="00F23E23"/>
    <w:rsid w:val="00F23E8E"/>
    <w:rsid w:val="00F23E93"/>
    <w:rsid w:val="00F2400D"/>
    <w:rsid w:val="00F2405F"/>
    <w:rsid w:val="00F2417F"/>
    <w:rsid w:val="00F241A8"/>
    <w:rsid w:val="00F241F6"/>
    <w:rsid w:val="00F242DC"/>
    <w:rsid w:val="00F2430B"/>
    <w:rsid w:val="00F243D5"/>
    <w:rsid w:val="00F245F2"/>
    <w:rsid w:val="00F246A5"/>
    <w:rsid w:val="00F246E2"/>
    <w:rsid w:val="00F24782"/>
    <w:rsid w:val="00F24820"/>
    <w:rsid w:val="00F249BD"/>
    <w:rsid w:val="00F24AD2"/>
    <w:rsid w:val="00F24AE9"/>
    <w:rsid w:val="00F24BA5"/>
    <w:rsid w:val="00F24CAA"/>
    <w:rsid w:val="00F24CCD"/>
    <w:rsid w:val="00F24E0F"/>
    <w:rsid w:val="00F24E2A"/>
    <w:rsid w:val="00F24E91"/>
    <w:rsid w:val="00F24ED1"/>
    <w:rsid w:val="00F24F8C"/>
    <w:rsid w:val="00F2509A"/>
    <w:rsid w:val="00F251AF"/>
    <w:rsid w:val="00F2531D"/>
    <w:rsid w:val="00F25353"/>
    <w:rsid w:val="00F253AC"/>
    <w:rsid w:val="00F253DA"/>
    <w:rsid w:val="00F25419"/>
    <w:rsid w:val="00F255E7"/>
    <w:rsid w:val="00F255F4"/>
    <w:rsid w:val="00F25601"/>
    <w:rsid w:val="00F25629"/>
    <w:rsid w:val="00F25739"/>
    <w:rsid w:val="00F257B7"/>
    <w:rsid w:val="00F25872"/>
    <w:rsid w:val="00F25952"/>
    <w:rsid w:val="00F25AD3"/>
    <w:rsid w:val="00F25B80"/>
    <w:rsid w:val="00F25FAE"/>
    <w:rsid w:val="00F2605E"/>
    <w:rsid w:val="00F260A2"/>
    <w:rsid w:val="00F2625F"/>
    <w:rsid w:val="00F2632C"/>
    <w:rsid w:val="00F263C1"/>
    <w:rsid w:val="00F26553"/>
    <w:rsid w:val="00F265A7"/>
    <w:rsid w:val="00F266B5"/>
    <w:rsid w:val="00F2679D"/>
    <w:rsid w:val="00F26820"/>
    <w:rsid w:val="00F2686A"/>
    <w:rsid w:val="00F26A6D"/>
    <w:rsid w:val="00F26B30"/>
    <w:rsid w:val="00F26B85"/>
    <w:rsid w:val="00F26DBD"/>
    <w:rsid w:val="00F26DBE"/>
    <w:rsid w:val="00F26E7B"/>
    <w:rsid w:val="00F26E8E"/>
    <w:rsid w:val="00F26EF9"/>
    <w:rsid w:val="00F2700C"/>
    <w:rsid w:val="00F27082"/>
    <w:rsid w:val="00F27169"/>
    <w:rsid w:val="00F27420"/>
    <w:rsid w:val="00F27469"/>
    <w:rsid w:val="00F2748B"/>
    <w:rsid w:val="00F2755E"/>
    <w:rsid w:val="00F275BA"/>
    <w:rsid w:val="00F27654"/>
    <w:rsid w:val="00F27754"/>
    <w:rsid w:val="00F2787E"/>
    <w:rsid w:val="00F278B7"/>
    <w:rsid w:val="00F279DA"/>
    <w:rsid w:val="00F27A0A"/>
    <w:rsid w:val="00F27ABD"/>
    <w:rsid w:val="00F27B05"/>
    <w:rsid w:val="00F27B21"/>
    <w:rsid w:val="00F27B35"/>
    <w:rsid w:val="00F27C6E"/>
    <w:rsid w:val="00F27E36"/>
    <w:rsid w:val="00F27F1F"/>
    <w:rsid w:val="00F300FD"/>
    <w:rsid w:val="00F301A3"/>
    <w:rsid w:val="00F30289"/>
    <w:rsid w:val="00F30398"/>
    <w:rsid w:val="00F303C6"/>
    <w:rsid w:val="00F303E6"/>
    <w:rsid w:val="00F30549"/>
    <w:rsid w:val="00F30661"/>
    <w:rsid w:val="00F3075C"/>
    <w:rsid w:val="00F30865"/>
    <w:rsid w:val="00F308B9"/>
    <w:rsid w:val="00F30975"/>
    <w:rsid w:val="00F30A9F"/>
    <w:rsid w:val="00F30B29"/>
    <w:rsid w:val="00F30C23"/>
    <w:rsid w:val="00F30D8E"/>
    <w:rsid w:val="00F30DAD"/>
    <w:rsid w:val="00F30E24"/>
    <w:rsid w:val="00F3114A"/>
    <w:rsid w:val="00F31164"/>
    <w:rsid w:val="00F311FD"/>
    <w:rsid w:val="00F3126D"/>
    <w:rsid w:val="00F31354"/>
    <w:rsid w:val="00F3146E"/>
    <w:rsid w:val="00F31772"/>
    <w:rsid w:val="00F31877"/>
    <w:rsid w:val="00F319CC"/>
    <w:rsid w:val="00F31B40"/>
    <w:rsid w:val="00F31B47"/>
    <w:rsid w:val="00F31B61"/>
    <w:rsid w:val="00F31B64"/>
    <w:rsid w:val="00F31C47"/>
    <w:rsid w:val="00F31CE2"/>
    <w:rsid w:val="00F31DA1"/>
    <w:rsid w:val="00F31DB0"/>
    <w:rsid w:val="00F31E1D"/>
    <w:rsid w:val="00F31E2D"/>
    <w:rsid w:val="00F31E30"/>
    <w:rsid w:val="00F31EC8"/>
    <w:rsid w:val="00F31F57"/>
    <w:rsid w:val="00F31FBB"/>
    <w:rsid w:val="00F31FF4"/>
    <w:rsid w:val="00F324EE"/>
    <w:rsid w:val="00F325D4"/>
    <w:rsid w:val="00F32607"/>
    <w:rsid w:val="00F32663"/>
    <w:rsid w:val="00F32712"/>
    <w:rsid w:val="00F3274B"/>
    <w:rsid w:val="00F32792"/>
    <w:rsid w:val="00F32898"/>
    <w:rsid w:val="00F32918"/>
    <w:rsid w:val="00F32979"/>
    <w:rsid w:val="00F32B06"/>
    <w:rsid w:val="00F32CE6"/>
    <w:rsid w:val="00F32D97"/>
    <w:rsid w:val="00F32E81"/>
    <w:rsid w:val="00F32EDC"/>
    <w:rsid w:val="00F32FF8"/>
    <w:rsid w:val="00F3308E"/>
    <w:rsid w:val="00F330FC"/>
    <w:rsid w:val="00F33199"/>
    <w:rsid w:val="00F331D1"/>
    <w:rsid w:val="00F3331E"/>
    <w:rsid w:val="00F333C8"/>
    <w:rsid w:val="00F33473"/>
    <w:rsid w:val="00F33547"/>
    <w:rsid w:val="00F3357C"/>
    <w:rsid w:val="00F33670"/>
    <w:rsid w:val="00F336C1"/>
    <w:rsid w:val="00F3375B"/>
    <w:rsid w:val="00F3376D"/>
    <w:rsid w:val="00F337AF"/>
    <w:rsid w:val="00F337BF"/>
    <w:rsid w:val="00F337E3"/>
    <w:rsid w:val="00F3386A"/>
    <w:rsid w:val="00F33909"/>
    <w:rsid w:val="00F33A1B"/>
    <w:rsid w:val="00F33AEC"/>
    <w:rsid w:val="00F33BAC"/>
    <w:rsid w:val="00F33C4F"/>
    <w:rsid w:val="00F33CDB"/>
    <w:rsid w:val="00F33E54"/>
    <w:rsid w:val="00F33E76"/>
    <w:rsid w:val="00F33EEA"/>
    <w:rsid w:val="00F33F87"/>
    <w:rsid w:val="00F33FED"/>
    <w:rsid w:val="00F34010"/>
    <w:rsid w:val="00F340F8"/>
    <w:rsid w:val="00F34158"/>
    <w:rsid w:val="00F342C2"/>
    <w:rsid w:val="00F342CA"/>
    <w:rsid w:val="00F344E5"/>
    <w:rsid w:val="00F345D0"/>
    <w:rsid w:val="00F345ED"/>
    <w:rsid w:val="00F3469E"/>
    <w:rsid w:val="00F3475D"/>
    <w:rsid w:val="00F3476A"/>
    <w:rsid w:val="00F3485C"/>
    <w:rsid w:val="00F34918"/>
    <w:rsid w:val="00F34995"/>
    <w:rsid w:val="00F349DA"/>
    <w:rsid w:val="00F34B93"/>
    <w:rsid w:val="00F34CAF"/>
    <w:rsid w:val="00F34D89"/>
    <w:rsid w:val="00F34E9C"/>
    <w:rsid w:val="00F34EA8"/>
    <w:rsid w:val="00F34EDC"/>
    <w:rsid w:val="00F34EE9"/>
    <w:rsid w:val="00F34F60"/>
    <w:rsid w:val="00F350C3"/>
    <w:rsid w:val="00F3510E"/>
    <w:rsid w:val="00F351C1"/>
    <w:rsid w:val="00F3522A"/>
    <w:rsid w:val="00F35231"/>
    <w:rsid w:val="00F35616"/>
    <w:rsid w:val="00F35686"/>
    <w:rsid w:val="00F3571E"/>
    <w:rsid w:val="00F35784"/>
    <w:rsid w:val="00F35896"/>
    <w:rsid w:val="00F359E8"/>
    <w:rsid w:val="00F35A6C"/>
    <w:rsid w:val="00F35AE0"/>
    <w:rsid w:val="00F35B57"/>
    <w:rsid w:val="00F35B94"/>
    <w:rsid w:val="00F35C89"/>
    <w:rsid w:val="00F35CCC"/>
    <w:rsid w:val="00F35E1F"/>
    <w:rsid w:val="00F35ECB"/>
    <w:rsid w:val="00F35F2C"/>
    <w:rsid w:val="00F35F4A"/>
    <w:rsid w:val="00F35F76"/>
    <w:rsid w:val="00F36007"/>
    <w:rsid w:val="00F36091"/>
    <w:rsid w:val="00F362BF"/>
    <w:rsid w:val="00F363D9"/>
    <w:rsid w:val="00F36455"/>
    <w:rsid w:val="00F365B4"/>
    <w:rsid w:val="00F3666F"/>
    <w:rsid w:val="00F36897"/>
    <w:rsid w:val="00F3690E"/>
    <w:rsid w:val="00F369BA"/>
    <w:rsid w:val="00F369CA"/>
    <w:rsid w:val="00F36A90"/>
    <w:rsid w:val="00F36B2F"/>
    <w:rsid w:val="00F36BD9"/>
    <w:rsid w:val="00F36C13"/>
    <w:rsid w:val="00F36D0D"/>
    <w:rsid w:val="00F36D87"/>
    <w:rsid w:val="00F36DF1"/>
    <w:rsid w:val="00F36E14"/>
    <w:rsid w:val="00F36FB2"/>
    <w:rsid w:val="00F36FE6"/>
    <w:rsid w:val="00F37066"/>
    <w:rsid w:val="00F3719C"/>
    <w:rsid w:val="00F37214"/>
    <w:rsid w:val="00F37225"/>
    <w:rsid w:val="00F37252"/>
    <w:rsid w:val="00F372F8"/>
    <w:rsid w:val="00F374A8"/>
    <w:rsid w:val="00F37506"/>
    <w:rsid w:val="00F37658"/>
    <w:rsid w:val="00F3766F"/>
    <w:rsid w:val="00F37671"/>
    <w:rsid w:val="00F37734"/>
    <w:rsid w:val="00F37803"/>
    <w:rsid w:val="00F378DF"/>
    <w:rsid w:val="00F3795A"/>
    <w:rsid w:val="00F3798D"/>
    <w:rsid w:val="00F37A3E"/>
    <w:rsid w:val="00F37AAA"/>
    <w:rsid w:val="00F37B3E"/>
    <w:rsid w:val="00F37CA0"/>
    <w:rsid w:val="00F37CDA"/>
    <w:rsid w:val="00F37DDE"/>
    <w:rsid w:val="00F37E07"/>
    <w:rsid w:val="00F37E0A"/>
    <w:rsid w:val="00F37EDC"/>
    <w:rsid w:val="00F37F12"/>
    <w:rsid w:val="00F4002B"/>
    <w:rsid w:val="00F40031"/>
    <w:rsid w:val="00F40042"/>
    <w:rsid w:val="00F40069"/>
    <w:rsid w:val="00F40081"/>
    <w:rsid w:val="00F40133"/>
    <w:rsid w:val="00F40201"/>
    <w:rsid w:val="00F40240"/>
    <w:rsid w:val="00F404AA"/>
    <w:rsid w:val="00F40543"/>
    <w:rsid w:val="00F4068E"/>
    <w:rsid w:val="00F4069D"/>
    <w:rsid w:val="00F407B9"/>
    <w:rsid w:val="00F407FA"/>
    <w:rsid w:val="00F40860"/>
    <w:rsid w:val="00F40A9D"/>
    <w:rsid w:val="00F40AF6"/>
    <w:rsid w:val="00F40B00"/>
    <w:rsid w:val="00F40B24"/>
    <w:rsid w:val="00F40CD0"/>
    <w:rsid w:val="00F40D49"/>
    <w:rsid w:val="00F40E5E"/>
    <w:rsid w:val="00F40ECB"/>
    <w:rsid w:val="00F4112A"/>
    <w:rsid w:val="00F411A5"/>
    <w:rsid w:val="00F41320"/>
    <w:rsid w:val="00F41552"/>
    <w:rsid w:val="00F41593"/>
    <w:rsid w:val="00F41675"/>
    <w:rsid w:val="00F41786"/>
    <w:rsid w:val="00F4179C"/>
    <w:rsid w:val="00F417F7"/>
    <w:rsid w:val="00F4195B"/>
    <w:rsid w:val="00F41A7A"/>
    <w:rsid w:val="00F41ACC"/>
    <w:rsid w:val="00F41ADA"/>
    <w:rsid w:val="00F41B2F"/>
    <w:rsid w:val="00F41B4C"/>
    <w:rsid w:val="00F41C4F"/>
    <w:rsid w:val="00F41C56"/>
    <w:rsid w:val="00F41CA5"/>
    <w:rsid w:val="00F41CD8"/>
    <w:rsid w:val="00F41DAE"/>
    <w:rsid w:val="00F41E13"/>
    <w:rsid w:val="00F41EDF"/>
    <w:rsid w:val="00F41FC6"/>
    <w:rsid w:val="00F420A0"/>
    <w:rsid w:val="00F4217C"/>
    <w:rsid w:val="00F421F3"/>
    <w:rsid w:val="00F422C4"/>
    <w:rsid w:val="00F4231E"/>
    <w:rsid w:val="00F423C0"/>
    <w:rsid w:val="00F423C5"/>
    <w:rsid w:val="00F42532"/>
    <w:rsid w:val="00F4256C"/>
    <w:rsid w:val="00F42570"/>
    <w:rsid w:val="00F42580"/>
    <w:rsid w:val="00F4258B"/>
    <w:rsid w:val="00F42643"/>
    <w:rsid w:val="00F42A16"/>
    <w:rsid w:val="00F42AD1"/>
    <w:rsid w:val="00F42B8F"/>
    <w:rsid w:val="00F42B92"/>
    <w:rsid w:val="00F42B9E"/>
    <w:rsid w:val="00F42BC8"/>
    <w:rsid w:val="00F42C74"/>
    <w:rsid w:val="00F42D9E"/>
    <w:rsid w:val="00F42DD2"/>
    <w:rsid w:val="00F42E01"/>
    <w:rsid w:val="00F42E73"/>
    <w:rsid w:val="00F43067"/>
    <w:rsid w:val="00F431C8"/>
    <w:rsid w:val="00F43250"/>
    <w:rsid w:val="00F43259"/>
    <w:rsid w:val="00F435B2"/>
    <w:rsid w:val="00F4360E"/>
    <w:rsid w:val="00F4373B"/>
    <w:rsid w:val="00F437F3"/>
    <w:rsid w:val="00F437F8"/>
    <w:rsid w:val="00F43854"/>
    <w:rsid w:val="00F43A9D"/>
    <w:rsid w:val="00F43B1C"/>
    <w:rsid w:val="00F43BAC"/>
    <w:rsid w:val="00F43C92"/>
    <w:rsid w:val="00F43D2D"/>
    <w:rsid w:val="00F43D6C"/>
    <w:rsid w:val="00F43DB8"/>
    <w:rsid w:val="00F43EB7"/>
    <w:rsid w:val="00F43EBE"/>
    <w:rsid w:val="00F43F6B"/>
    <w:rsid w:val="00F4406F"/>
    <w:rsid w:val="00F4416A"/>
    <w:rsid w:val="00F441A4"/>
    <w:rsid w:val="00F4422B"/>
    <w:rsid w:val="00F4436B"/>
    <w:rsid w:val="00F44460"/>
    <w:rsid w:val="00F4455A"/>
    <w:rsid w:val="00F4462C"/>
    <w:rsid w:val="00F44636"/>
    <w:rsid w:val="00F4469C"/>
    <w:rsid w:val="00F447F4"/>
    <w:rsid w:val="00F4488A"/>
    <w:rsid w:val="00F44B02"/>
    <w:rsid w:val="00F44B7D"/>
    <w:rsid w:val="00F44C19"/>
    <w:rsid w:val="00F44C24"/>
    <w:rsid w:val="00F44CAB"/>
    <w:rsid w:val="00F44DD1"/>
    <w:rsid w:val="00F44E0C"/>
    <w:rsid w:val="00F44F8A"/>
    <w:rsid w:val="00F45012"/>
    <w:rsid w:val="00F450F4"/>
    <w:rsid w:val="00F45170"/>
    <w:rsid w:val="00F45191"/>
    <w:rsid w:val="00F45199"/>
    <w:rsid w:val="00F452F4"/>
    <w:rsid w:val="00F453ED"/>
    <w:rsid w:val="00F453F7"/>
    <w:rsid w:val="00F454A3"/>
    <w:rsid w:val="00F454AA"/>
    <w:rsid w:val="00F45525"/>
    <w:rsid w:val="00F45834"/>
    <w:rsid w:val="00F458C3"/>
    <w:rsid w:val="00F459FF"/>
    <w:rsid w:val="00F45A8D"/>
    <w:rsid w:val="00F45AED"/>
    <w:rsid w:val="00F45B27"/>
    <w:rsid w:val="00F45BB0"/>
    <w:rsid w:val="00F45CD6"/>
    <w:rsid w:val="00F45F8E"/>
    <w:rsid w:val="00F462C0"/>
    <w:rsid w:val="00F464C3"/>
    <w:rsid w:val="00F46515"/>
    <w:rsid w:val="00F465FF"/>
    <w:rsid w:val="00F46607"/>
    <w:rsid w:val="00F46636"/>
    <w:rsid w:val="00F46811"/>
    <w:rsid w:val="00F46893"/>
    <w:rsid w:val="00F468ED"/>
    <w:rsid w:val="00F46974"/>
    <w:rsid w:val="00F469F6"/>
    <w:rsid w:val="00F46AAC"/>
    <w:rsid w:val="00F46B73"/>
    <w:rsid w:val="00F46B9E"/>
    <w:rsid w:val="00F46C73"/>
    <w:rsid w:val="00F46EA6"/>
    <w:rsid w:val="00F46EA9"/>
    <w:rsid w:val="00F46EDB"/>
    <w:rsid w:val="00F47202"/>
    <w:rsid w:val="00F4720F"/>
    <w:rsid w:val="00F472C9"/>
    <w:rsid w:val="00F4739B"/>
    <w:rsid w:val="00F4749A"/>
    <w:rsid w:val="00F47576"/>
    <w:rsid w:val="00F475B3"/>
    <w:rsid w:val="00F476C4"/>
    <w:rsid w:val="00F4785D"/>
    <w:rsid w:val="00F478A8"/>
    <w:rsid w:val="00F478AC"/>
    <w:rsid w:val="00F47B01"/>
    <w:rsid w:val="00F47C48"/>
    <w:rsid w:val="00F47C79"/>
    <w:rsid w:val="00F47D1A"/>
    <w:rsid w:val="00F47DF9"/>
    <w:rsid w:val="00F47E88"/>
    <w:rsid w:val="00F47EC4"/>
    <w:rsid w:val="00F47FB2"/>
    <w:rsid w:val="00F50087"/>
    <w:rsid w:val="00F50271"/>
    <w:rsid w:val="00F50294"/>
    <w:rsid w:val="00F50298"/>
    <w:rsid w:val="00F50327"/>
    <w:rsid w:val="00F50380"/>
    <w:rsid w:val="00F50444"/>
    <w:rsid w:val="00F50584"/>
    <w:rsid w:val="00F505FD"/>
    <w:rsid w:val="00F50630"/>
    <w:rsid w:val="00F5064F"/>
    <w:rsid w:val="00F5065B"/>
    <w:rsid w:val="00F506B1"/>
    <w:rsid w:val="00F506C1"/>
    <w:rsid w:val="00F50979"/>
    <w:rsid w:val="00F509B6"/>
    <w:rsid w:val="00F50A14"/>
    <w:rsid w:val="00F50B36"/>
    <w:rsid w:val="00F50B45"/>
    <w:rsid w:val="00F50BC5"/>
    <w:rsid w:val="00F50BDF"/>
    <w:rsid w:val="00F50CA0"/>
    <w:rsid w:val="00F50CFA"/>
    <w:rsid w:val="00F50D49"/>
    <w:rsid w:val="00F50D91"/>
    <w:rsid w:val="00F50DAC"/>
    <w:rsid w:val="00F50E12"/>
    <w:rsid w:val="00F50E1D"/>
    <w:rsid w:val="00F50ECE"/>
    <w:rsid w:val="00F510BA"/>
    <w:rsid w:val="00F5116B"/>
    <w:rsid w:val="00F511CF"/>
    <w:rsid w:val="00F5156E"/>
    <w:rsid w:val="00F51681"/>
    <w:rsid w:val="00F5176A"/>
    <w:rsid w:val="00F519BA"/>
    <w:rsid w:val="00F519DA"/>
    <w:rsid w:val="00F519F4"/>
    <w:rsid w:val="00F51C58"/>
    <w:rsid w:val="00F51C69"/>
    <w:rsid w:val="00F51C6F"/>
    <w:rsid w:val="00F51CB2"/>
    <w:rsid w:val="00F51EA7"/>
    <w:rsid w:val="00F5204E"/>
    <w:rsid w:val="00F5217A"/>
    <w:rsid w:val="00F52199"/>
    <w:rsid w:val="00F5220F"/>
    <w:rsid w:val="00F52258"/>
    <w:rsid w:val="00F5225E"/>
    <w:rsid w:val="00F5233B"/>
    <w:rsid w:val="00F524CE"/>
    <w:rsid w:val="00F525A1"/>
    <w:rsid w:val="00F526CA"/>
    <w:rsid w:val="00F526F2"/>
    <w:rsid w:val="00F5275F"/>
    <w:rsid w:val="00F52776"/>
    <w:rsid w:val="00F527A8"/>
    <w:rsid w:val="00F52990"/>
    <w:rsid w:val="00F529DC"/>
    <w:rsid w:val="00F52BEB"/>
    <w:rsid w:val="00F52C73"/>
    <w:rsid w:val="00F52CDA"/>
    <w:rsid w:val="00F52DE2"/>
    <w:rsid w:val="00F52DF7"/>
    <w:rsid w:val="00F52E57"/>
    <w:rsid w:val="00F52E5F"/>
    <w:rsid w:val="00F52E76"/>
    <w:rsid w:val="00F52F36"/>
    <w:rsid w:val="00F5305B"/>
    <w:rsid w:val="00F5307F"/>
    <w:rsid w:val="00F53141"/>
    <w:rsid w:val="00F5325F"/>
    <w:rsid w:val="00F53303"/>
    <w:rsid w:val="00F533BB"/>
    <w:rsid w:val="00F534CC"/>
    <w:rsid w:val="00F535EA"/>
    <w:rsid w:val="00F53608"/>
    <w:rsid w:val="00F536D2"/>
    <w:rsid w:val="00F536D3"/>
    <w:rsid w:val="00F53784"/>
    <w:rsid w:val="00F5381D"/>
    <w:rsid w:val="00F5385A"/>
    <w:rsid w:val="00F538F2"/>
    <w:rsid w:val="00F53941"/>
    <w:rsid w:val="00F53B84"/>
    <w:rsid w:val="00F53C1A"/>
    <w:rsid w:val="00F53C77"/>
    <w:rsid w:val="00F53D1E"/>
    <w:rsid w:val="00F53E20"/>
    <w:rsid w:val="00F53EBB"/>
    <w:rsid w:val="00F5400F"/>
    <w:rsid w:val="00F540F9"/>
    <w:rsid w:val="00F5412E"/>
    <w:rsid w:val="00F54200"/>
    <w:rsid w:val="00F54480"/>
    <w:rsid w:val="00F54750"/>
    <w:rsid w:val="00F54751"/>
    <w:rsid w:val="00F54777"/>
    <w:rsid w:val="00F54823"/>
    <w:rsid w:val="00F5483B"/>
    <w:rsid w:val="00F5485D"/>
    <w:rsid w:val="00F5487F"/>
    <w:rsid w:val="00F548BE"/>
    <w:rsid w:val="00F548D9"/>
    <w:rsid w:val="00F549AD"/>
    <w:rsid w:val="00F549C5"/>
    <w:rsid w:val="00F54A86"/>
    <w:rsid w:val="00F54CE5"/>
    <w:rsid w:val="00F54DBA"/>
    <w:rsid w:val="00F54EFF"/>
    <w:rsid w:val="00F54F22"/>
    <w:rsid w:val="00F54F64"/>
    <w:rsid w:val="00F55085"/>
    <w:rsid w:val="00F5513F"/>
    <w:rsid w:val="00F55154"/>
    <w:rsid w:val="00F55177"/>
    <w:rsid w:val="00F55274"/>
    <w:rsid w:val="00F55287"/>
    <w:rsid w:val="00F55297"/>
    <w:rsid w:val="00F55418"/>
    <w:rsid w:val="00F55497"/>
    <w:rsid w:val="00F554BD"/>
    <w:rsid w:val="00F55590"/>
    <w:rsid w:val="00F555BD"/>
    <w:rsid w:val="00F555FD"/>
    <w:rsid w:val="00F557A6"/>
    <w:rsid w:val="00F5587B"/>
    <w:rsid w:val="00F558A2"/>
    <w:rsid w:val="00F5591B"/>
    <w:rsid w:val="00F559E8"/>
    <w:rsid w:val="00F55AA1"/>
    <w:rsid w:val="00F55DAD"/>
    <w:rsid w:val="00F55F2A"/>
    <w:rsid w:val="00F560E4"/>
    <w:rsid w:val="00F5610A"/>
    <w:rsid w:val="00F56336"/>
    <w:rsid w:val="00F56386"/>
    <w:rsid w:val="00F5645C"/>
    <w:rsid w:val="00F5664C"/>
    <w:rsid w:val="00F5669B"/>
    <w:rsid w:val="00F5679A"/>
    <w:rsid w:val="00F568DA"/>
    <w:rsid w:val="00F56927"/>
    <w:rsid w:val="00F56937"/>
    <w:rsid w:val="00F5699A"/>
    <w:rsid w:val="00F56ADB"/>
    <w:rsid w:val="00F56B2E"/>
    <w:rsid w:val="00F56D1A"/>
    <w:rsid w:val="00F56F76"/>
    <w:rsid w:val="00F56F97"/>
    <w:rsid w:val="00F56FC1"/>
    <w:rsid w:val="00F570F4"/>
    <w:rsid w:val="00F5713D"/>
    <w:rsid w:val="00F57160"/>
    <w:rsid w:val="00F5747A"/>
    <w:rsid w:val="00F574B5"/>
    <w:rsid w:val="00F576D5"/>
    <w:rsid w:val="00F57833"/>
    <w:rsid w:val="00F57837"/>
    <w:rsid w:val="00F5783E"/>
    <w:rsid w:val="00F57880"/>
    <w:rsid w:val="00F578FB"/>
    <w:rsid w:val="00F57921"/>
    <w:rsid w:val="00F57935"/>
    <w:rsid w:val="00F579BA"/>
    <w:rsid w:val="00F57ACE"/>
    <w:rsid w:val="00F57C08"/>
    <w:rsid w:val="00F57C31"/>
    <w:rsid w:val="00F57DAE"/>
    <w:rsid w:val="00F57DE5"/>
    <w:rsid w:val="00F57EDF"/>
    <w:rsid w:val="00F60083"/>
    <w:rsid w:val="00F600AB"/>
    <w:rsid w:val="00F60180"/>
    <w:rsid w:val="00F60251"/>
    <w:rsid w:val="00F6025C"/>
    <w:rsid w:val="00F6026E"/>
    <w:rsid w:val="00F6036A"/>
    <w:rsid w:val="00F6036D"/>
    <w:rsid w:val="00F60511"/>
    <w:rsid w:val="00F60695"/>
    <w:rsid w:val="00F606C6"/>
    <w:rsid w:val="00F6079B"/>
    <w:rsid w:val="00F607A2"/>
    <w:rsid w:val="00F6085A"/>
    <w:rsid w:val="00F609DE"/>
    <w:rsid w:val="00F60B57"/>
    <w:rsid w:val="00F60BF3"/>
    <w:rsid w:val="00F60C82"/>
    <w:rsid w:val="00F60D2D"/>
    <w:rsid w:val="00F60DD7"/>
    <w:rsid w:val="00F60EA5"/>
    <w:rsid w:val="00F60EF5"/>
    <w:rsid w:val="00F60FB5"/>
    <w:rsid w:val="00F611AC"/>
    <w:rsid w:val="00F61318"/>
    <w:rsid w:val="00F61482"/>
    <w:rsid w:val="00F614DB"/>
    <w:rsid w:val="00F6152C"/>
    <w:rsid w:val="00F6160B"/>
    <w:rsid w:val="00F61629"/>
    <w:rsid w:val="00F6169E"/>
    <w:rsid w:val="00F61867"/>
    <w:rsid w:val="00F61923"/>
    <w:rsid w:val="00F6194D"/>
    <w:rsid w:val="00F61A9D"/>
    <w:rsid w:val="00F61B4E"/>
    <w:rsid w:val="00F61D4F"/>
    <w:rsid w:val="00F61D73"/>
    <w:rsid w:val="00F61F01"/>
    <w:rsid w:val="00F6207F"/>
    <w:rsid w:val="00F62110"/>
    <w:rsid w:val="00F6214E"/>
    <w:rsid w:val="00F622DA"/>
    <w:rsid w:val="00F62330"/>
    <w:rsid w:val="00F623E2"/>
    <w:rsid w:val="00F623F8"/>
    <w:rsid w:val="00F62596"/>
    <w:rsid w:val="00F625BF"/>
    <w:rsid w:val="00F62641"/>
    <w:rsid w:val="00F626DB"/>
    <w:rsid w:val="00F627B7"/>
    <w:rsid w:val="00F627D3"/>
    <w:rsid w:val="00F6280F"/>
    <w:rsid w:val="00F62843"/>
    <w:rsid w:val="00F62884"/>
    <w:rsid w:val="00F628C3"/>
    <w:rsid w:val="00F62973"/>
    <w:rsid w:val="00F62AEC"/>
    <w:rsid w:val="00F62C1B"/>
    <w:rsid w:val="00F62C32"/>
    <w:rsid w:val="00F62CC4"/>
    <w:rsid w:val="00F62D5E"/>
    <w:rsid w:val="00F62D5F"/>
    <w:rsid w:val="00F62EFA"/>
    <w:rsid w:val="00F62F51"/>
    <w:rsid w:val="00F62F9E"/>
    <w:rsid w:val="00F630B8"/>
    <w:rsid w:val="00F632BD"/>
    <w:rsid w:val="00F63533"/>
    <w:rsid w:val="00F6369C"/>
    <w:rsid w:val="00F636BD"/>
    <w:rsid w:val="00F63741"/>
    <w:rsid w:val="00F63BE5"/>
    <w:rsid w:val="00F63BFF"/>
    <w:rsid w:val="00F63C8B"/>
    <w:rsid w:val="00F63E0C"/>
    <w:rsid w:val="00F640AD"/>
    <w:rsid w:val="00F642C9"/>
    <w:rsid w:val="00F64422"/>
    <w:rsid w:val="00F64685"/>
    <w:rsid w:val="00F64706"/>
    <w:rsid w:val="00F64713"/>
    <w:rsid w:val="00F64756"/>
    <w:rsid w:val="00F64898"/>
    <w:rsid w:val="00F64983"/>
    <w:rsid w:val="00F64AA5"/>
    <w:rsid w:val="00F64CF6"/>
    <w:rsid w:val="00F650B1"/>
    <w:rsid w:val="00F650E5"/>
    <w:rsid w:val="00F651F3"/>
    <w:rsid w:val="00F65228"/>
    <w:rsid w:val="00F6539D"/>
    <w:rsid w:val="00F653CF"/>
    <w:rsid w:val="00F65425"/>
    <w:rsid w:val="00F65596"/>
    <w:rsid w:val="00F655C8"/>
    <w:rsid w:val="00F65639"/>
    <w:rsid w:val="00F656E1"/>
    <w:rsid w:val="00F657C7"/>
    <w:rsid w:val="00F65A9B"/>
    <w:rsid w:val="00F65AA6"/>
    <w:rsid w:val="00F65B65"/>
    <w:rsid w:val="00F65C9F"/>
    <w:rsid w:val="00F65CA9"/>
    <w:rsid w:val="00F65D93"/>
    <w:rsid w:val="00F65E05"/>
    <w:rsid w:val="00F65F29"/>
    <w:rsid w:val="00F65F36"/>
    <w:rsid w:val="00F65FC8"/>
    <w:rsid w:val="00F66048"/>
    <w:rsid w:val="00F660CD"/>
    <w:rsid w:val="00F661C4"/>
    <w:rsid w:val="00F6626A"/>
    <w:rsid w:val="00F662BF"/>
    <w:rsid w:val="00F662D0"/>
    <w:rsid w:val="00F665D7"/>
    <w:rsid w:val="00F665DA"/>
    <w:rsid w:val="00F66706"/>
    <w:rsid w:val="00F66832"/>
    <w:rsid w:val="00F6685D"/>
    <w:rsid w:val="00F668F0"/>
    <w:rsid w:val="00F668F4"/>
    <w:rsid w:val="00F66937"/>
    <w:rsid w:val="00F6697E"/>
    <w:rsid w:val="00F6699A"/>
    <w:rsid w:val="00F669D4"/>
    <w:rsid w:val="00F66B26"/>
    <w:rsid w:val="00F66CAB"/>
    <w:rsid w:val="00F66E35"/>
    <w:rsid w:val="00F66FFF"/>
    <w:rsid w:val="00F67063"/>
    <w:rsid w:val="00F670C3"/>
    <w:rsid w:val="00F670C4"/>
    <w:rsid w:val="00F67122"/>
    <w:rsid w:val="00F67186"/>
    <w:rsid w:val="00F671E8"/>
    <w:rsid w:val="00F67211"/>
    <w:rsid w:val="00F6729A"/>
    <w:rsid w:val="00F673F1"/>
    <w:rsid w:val="00F673F7"/>
    <w:rsid w:val="00F6743F"/>
    <w:rsid w:val="00F6749D"/>
    <w:rsid w:val="00F674F3"/>
    <w:rsid w:val="00F675B4"/>
    <w:rsid w:val="00F675FA"/>
    <w:rsid w:val="00F6766B"/>
    <w:rsid w:val="00F67684"/>
    <w:rsid w:val="00F67723"/>
    <w:rsid w:val="00F6776C"/>
    <w:rsid w:val="00F67A39"/>
    <w:rsid w:val="00F67C00"/>
    <w:rsid w:val="00F67C50"/>
    <w:rsid w:val="00F67DE3"/>
    <w:rsid w:val="00F67EDD"/>
    <w:rsid w:val="00F67EEA"/>
    <w:rsid w:val="00F67F13"/>
    <w:rsid w:val="00F67F3A"/>
    <w:rsid w:val="00F67F43"/>
    <w:rsid w:val="00F67FFD"/>
    <w:rsid w:val="00F70063"/>
    <w:rsid w:val="00F700D8"/>
    <w:rsid w:val="00F7010A"/>
    <w:rsid w:val="00F7016C"/>
    <w:rsid w:val="00F70186"/>
    <w:rsid w:val="00F70188"/>
    <w:rsid w:val="00F70259"/>
    <w:rsid w:val="00F703C3"/>
    <w:rsid w:val="00F70455"/>
    <w:rsid w:val="00F70463"/>
    <w:rsid w:val="00F70479"/>
    <w:rsid w:val="00F704E3"/>
    <w:rsid w:val="00F7056E"/>
    <w:rsid w:val="00F705C3"/>
    <w:rsid w:val="00F7074E"/>
    <w:rsid w:val="00F708BB"/>
    <w:rsid w:val="00F70988"/>
    <w:rsid w:val="00F709A2"/>
    <w:rsid w:val="00F70AA1"/>
    <w:rsid w:val="00F70B6B"/>
    <w:rsid w:val="00F70D1B"/>
    <w:rsid w:val="00F70D85"/>
    <w:rsid w:val="00F70E12"/>
    <w:rsid w:val="00F70E93"/>
    <w:rsid w:val="00F70EFD"/>
    <w:rsid w:val="00F70F8A"/>
    <w:rsid w:val="00F70FCF"/>
    <w:rsid w:val="00F710C8"/>
    <w:rsid w:val="00F711CD"/>
    <w:rsid w:val="00F7125C"/>
    <w:rsid w:val="00F712D1"/>
    <w:rsid w:val="00F71493"/>
    <w:rsid w:val="00F714A8"/>
    <w:rsid w:val="00F714BD"/>
    <w:rsid w:val="00F71743"/>
    <w:rsid w:val="00F71763"/>
    <w:rsid w:val="00F71817"/>
    <w:rsid w:val="00F71891"/>
    <w:rsid w:val="00F7196A"/>
    <w:rsid w:val="00F71A53"/>
    <w:rsid w:val="00F71BE1"/>
    <w:rsid w:val="00F71C35"/>
    <w:rsid w:val="00F71D01"/>
    <w:rsid w:val="00F71D09"/>
    <w:rsid w:val="00F71D0A"/>
    <w:rsid w:val="00F71D5F"/>
    <w:rsid w:val="00F71D75"/>
    <w:rsid w:val="00F71D81"/>
    <w:rsid w:val="00F71DC7"/>
    <w:rsid w:val="00F71EB7"/>
    <w:rsid w:val="00F71F23"/>
    <w:rsid w:val="00F72027"/>
    <w:rsid w:val="00F720A7"/>
    <w:rsid w:val="00F7220D"/>
    <w:rsid w:val="00F722CE"/>
    <w:rsid w:val="00F722DA"/>
    <w:rsid w:val="00F7243A"/>
    <w:rsid w:val="00F724E6"/>
    <w:rsid w:val="00F72573"/>
    <w:rsid w:val="00F728FD"/>
    <w:rsid w:val="00F72940"/>
    <w:rsid w:val="00F7295F"/>
    <w:rsid w:val="00F7299B"/>
    <w:rsid w:val="00F729FA"/>
    <w:rsid w:val="00F72ABB"/>
    <w:rsid w:val="00F72AE0"/>
    <w:rsid w:val="00F72C33"/>
    <w:rsid w:val="00F72CB5"/>
    <w:rsid w:val="00F72D45"/>
    <w:rsid w:val="00F72D87"/>
    <w:rsid w:val="00F72E96"/>
    <w:rsid w:val="00F72FC4"/>
    <w:rsid w:val="00F73110"/>
    <w:rsid w:val="00F7322F"/>
    <w:rsid w:val="00F73267"/>
    <w:rsid w:val="00F73442"/>
    <w:rsid w:val="00F73483"/>
    <w:rsid w:val="00F734A0"/>
    <w:rsid w:val="00F734A3"/>
    <w:rsid w:val="00F736F9"/>
    <w:rsid w:val="00F73724"/>
    <w:rsid w:val="00F73898"/>
    <w:rsid w:val="00F738F3"/>
    <w:rsid w:val="00F73B0B"/>
    <w:rsid w:val="00F73B66"/>
    <w:rsid w:val="00F73C25"/>
    <w:rsid w:val="00F73E62"/>
    <w:rsid w:val="00F73F12"/>
    <w:rsid w:val="00F74010"/>
    <w:rsid w:val="00F7420D"/>
    <w:rsid w:val="00F74305"/>
    <w:rsid w:val="00F74322"/>
    <w:rsid w:val="00F74335"/>
    <w:rsid w:val="00F74385"/>
    <w:rsid w:val="00F74487"/>
    <w:rsid w:val="00F745C5"/>
    <w:rsid w:val="00F7470F"/>
    <w:rsid w:val="00F7474B"/>
    <w:rsid w:val="00F7483A"/>
    <w:rsid w:val="00F74849"/>
    <w:rsid w:val="00F74928"/>
    <w:rsid w:val="00F74AB6"/>
    <w:rsid w:val="00F75045"/>
    <w:rsid w:val="00F75186"/>
    <w:rsid w:val="00F75189"/>
    <w:rsid w:val="00F751AE"/>
    <w:rsid w:val="00F75268"/>
    <w:rsid w:val="00F752D8"/>
    <w:rsid w:val="00F753B1"/>
    <w:rsid w:val="00F754CB"/>
    <w:rsid w:val="00F7558A"/>
    <w:rsid w:val="00F755DA"/>
    <w:rsid w:val="00F75762"/>
    <w:rsid w:val="00F757BF"/>
    <w:rsid w:val="00F758A4"/>
    <w:rsid w:val="00F758BE"/>
    <w:rsid w:val="00F758E9"/>
    <w:rsid w:val="00F75926"/>
    <w:rsid w:val="00F759AF"/>
    <w:rsid w:val="00F75B04"/>
    <w:rsid w:val="00F75BA8"/>
    <w:rsid w:val="00F75EB3"/>
    <w:rsid w:val="00F75F58"/>
    <w:rsid w:val="00F7604F"/>
    <w:rsid w:val="00F7640F"/>
    <w:rsid w:val="00F765DC"/>
    <w:rsid w:val="00F76672"/>
    <w:rsid w:val="00F7672F"/>
    <w:rsid w:val="00F7687C"/>
    <w:rsid w:val="00F7690E"/>
    <w:rsid w:val="00F7694A"/>
    <w:rsid w:val="00F769DF"/>
    <w:rsid w:val="00F769E1"/>
    <w:rsid w:val="00F76AED"/>
    <w:rsid w:val="00F76CA1"/>
    <w:rsid w:val="00F76CE9"/>
    <w:rsid w:val="00F76E2A"/>
    <w:rsid w:val="00F76EC6"/>
    <w:rsid w:val="00F76FDD"/>
    <w:rsid w:val="00F76FEE"/>
    <w:rsid w:val="00F76FF7"/>
    <w:rsid w:val="00F7716D"/>
    <w:rsid w:val="00F7717D"/>
    <w:rsid w:val="00F771D5"/>
    <w:rsid w:val="00F7739D"/>
    <w:rsid w:val="00F775F4"/>
    <w:rsid w:val="00F77706"/>
    <w:rsid w:val="00F7773A"/>
    <w:rsid w:val="00F7784D"/>
    <w:rsid w:val="00F77994"/>
    <w:rsid w:val="00F779EE"/>
    <w:rsid w:val="00F779F0"/>
    <w:rsid w:val="00F77AFA"/>
    <w:rsid w:val="00F77D02"/>
    <w:rsid w:val="00F77D24"/>
    <w:rsid w:val="00F77DAA"/>
    <w:rsid w:val="00F77DE9"/>
    <w:rsid w:val="00F77E07"/>
    <w:rsid w:val="00F77E78"/>
    <w:rsid w:val="00F77FE1"/>
    <w:rsid w:val="00F800FC"/>
    <w:rsid w:val="00F8016E"/>
    <w:rsid w:val="00F80195"/>
    <w:rsid w:val="00F8049B"/>
    <w:rsid w:val="00F80553"/>
    <w:rsid w:val="00F8066F"/>
    <w:rsid w:val="00F8077A"/>
    <w:rsid w:val="00F80790"/>
    <w:rsid w:val="00F808BF"/>
    <w:rsid w:val="00F8091D"/>
    <w:rsid w:val="00F80951"/>
    <w:rsid w:val="00F80991"/>
    <w:rsid w:val="00F80995"/>
    <w:rsid w:val="00F80AA6"/>
    <w:rsid w:val="00F80B1B"/>
    <w:rsid w:val="00F80B58"/>
    <w:rsid w:val="00F80BBE"/>
    <w:rsid w:val="00F80C3C"/>
    <w:rsid w:val="00F80C66"/>
    <w:rsid w:val="00F80CBD"/>
    <w:rsid w:val="00F80DFA"/>
    <w:rsid w:val="00F80EA2"/>
    <w:rsid w:val="00F80EC9"/>
    <w:rsid w:val="00F80F12"/>
    <w:rsid w:val="00F812C2"/>
    <w:rsid w:val="00F81360"/>
    <w:rsid w:val="00F81474"/>
    <w:rsid w:val="00F81498"/>
    <w:rsid w:val="00F81557"/>
    <w:rsid w:val="00F815A3"/>
    <w:rsid w:val="00F81601"/>
    <w:rsid w:val="00F816D4"/>
    <w:rsid w:val="00F818CC"/>
    <w:rsid w:val="00F818E3"/>
    <w:rsid w:val="00F81BC4"/>
    <w:rsid w:val="00F81C51"/>
    <w:rsid w:val="00F81C60"/>
    <w:rsid w:val="00F81DC5"/>
    <w:rsid w:val="00F81E19"/>
    <w:rsid w:val="00F81E73"/>
    <w:rsid w:val="00F81EB1"/>
    <w:rsid w:val="00F8215A"/>
    <w:rsid w:val="00F8227B"/>
    <w:rsid w:val="00F822FF"/>
    <w:rsid w:val="00F824BE"/>
    <w:rsid w:val="00F824DE"/>
    <w:rsid w:val="00F827A9"/>
    <w:rsid w:val="00F8280E"/>
    <w:rsid w:val="00F82831"/>
    <w:rsid w:val="00F82940"/>
    <w:rsid w:val="00F829E6"/>
    <w:rsid w:val="00F82A6F"/>
    <w:rsid w:val="00F82A7B"/>
    <w:rsid w:val="00F82AF4"/>
    <w:rsid w:val="00F82B1D"/>
    <w:rsid w:val="00F82C92"/>
    <w:rsid w:val="00F82D75"/>
    <w:rsid w:val="00F82DCE"/>
    <w:rsid w:val="00F82DFA"/>
    <w:rsid w:val="00F82E57"/>
    <w:rsid w:val="00F830ED"/>
    <w:rsid w:val="00F83124"/>
    <w:rsid w:val="00F831D9"/>
    <w:rsid w:val="00F83473"/>
    <w:rsid w:val="00F83574"/>
    <w:rsid w:val="00F83619"/>
    <w:rsid w:val="00F8364B"/>
    <w:rsid w:val="00F8366E"/>
    <w:rsid w:val="00F8399C"/>
    <w:rsid w:val="00F83A07"/>
    <w:rsid w:val="00F83A8F"/>
    <w:rsid w:val="00F83B09"/>
    <w:rsid w:val="00F83B0F"/>
    <w:rsid w:val="00F83B65"/>
    <w:rsid w:val="00F83BC5"/>
    <w:rsid w:val="00F83CCC"/>
    <w:rsid w:val="00F83E19"/>
    <w:rsid w:val="00F83E1A"/>
    <w:rsid w:val="00F83F62"/>
    <w:rsid w:val="00F83FAF"/>
    <w:rsid w:val="00F8402F"/>
    <w:rsid w:val="00F8407F"/>
    <w:rsid w:val="00F8414F"/>
    <w:rsid w:val="00F8423A"/>
    <w:rsid w:val="00F8423D"/>
    <w:rsid w:val="00F842F5"/>
    <w:rsid w:val="00F84339"/>
    <w:rsid w:val="00F84462"/>
    <w:rsid w:val="00F844DE"/>
    <w:rsid w:val="00F845D5"/>
    <w:rsid w:val="00F84605"/>
    <w:rsid w:val="00F84641"/>
    <w:rsid w:val="00F8465B"/>
    <w:rsid w:val="00F84728"/>
    <w:rsid w:val="00F84801"/>
    <w:rsid w:val="00F84957"/>
    <w:rsid w:val="00F849A9"/>
    <w:rsid w:val="00F849AC"/>
    <w:rsid w:val="00F849CE"/>
    <w:rsid w:val="00F849F4"/>
    <w:rsid w:val="00F849F5"/>
    <w:rsid w:val="00F84AB9"/>
    <w:rsid w:val="00F84BA6"/>
    <w:rsid w:val="00F84C02"/>
    <w:rsid w:val="00F84DBA"/>
    <w:rsid w:val="00F84FD7"/>
    <w:rsid w:val="00F85026"/>
    <w:rsid w:val="00F850CF"/>
    <w:rsid w:val="00F851C8"/>
    <w:rsid w:val="00F851DD"/>
    <w:rsid w:val="00F8522E"/>
    <w:rsid w:val="00F852FC"/>
    <w:rsid w:val="00F85371"/>
    <w:rsid w:val="00F853E3"/>
    <w:rsid w:val="00F853F8"/>
    <w:rsid w:val="00F85449"/>
    <w:rsid w:val="00F854FE"/>
    <w:rsid w:val="00F85521"/>
    <w:rsid w:val="00F85616"/>
    <w:rsid w:val="00F85752"/>
    <w:rsid w:val="00F857FC"/>
    <w:rsid w:val="00F8582E"/>
    <w:rsid w:val="00F85842"/>
    <w:rsid w:val="00F85860"/>
    <w:rsid w:val="00F85883"/>
    <w:rsid w:val="00F85892"/>
    <w:rsid w:val="00F85AEF"/>
    <w:rsid w:val="00F85B1A"/>
    <w:rsid w:val="00F85B5E"/>
    <w:rsid w:val="00F85D4B"/>
    <w:rsid w:val="00F85E0A"/>
    <w:rsid w:val="00F85FEF"/>
    <w:rsid w:val="00F863BF"/>
    <w:rsid w:val="00F86400"/>
    <w:rsid w:val="00F86434"/>
    <w:rsid w:val="00F86485"/>
    <w:rsid w:val="00F864E1"/>
    <w:rsid w:val="00F866A4"/>
    <w:rsid w:val="00F86774"/>
    <w:rsid w:val="00F8695E"/>
    <w:rsid w:val="00F8697E"/>
    <w:rsid w:val="00F8698E"/>
    <w:rsid w:val="00F86A1A"/>
    <w:rsid w:val="00F86B4B"/>
    <w:rsid w:val="00F86BAC"/>
    <w:rsid w:val="00F86CB3"/>
    <w:rsid w:val="00F86CBE"/>
    <w:rsid w:val="00F86CE8"/>
    <w:rsid w:val="00F87027"/>
    <w:rsid w:val="00F87094"/>
    <w:rsid w:val="00F8709F"/>
    <w:rsid w:val="00F8723A"/>
    <w:rsid w:val="00F8727F"/>
    <w:rsid w:val="00F8739F"/>
    <w:rsid w:val="00F87407"/>
    <w:rsid w:val="00F87565"/>
    <w:rsid w:val="00F87581"/>
    <w:rsid w:val="00F875AE"/>
    <w:rsid w:val="00F876BD"/>
    <w:rsid w:val="00F8780B"/>
    <w:rsid w:val="00F87828"/>
    <w:rsid w:val="00F878AA"/>
    <w:rsid w:val="00F87AC2"/>
    <w:rsid w:val="00F87B0F"/>
    <w:rsid w:val="00F87C81"/>
    <w:rsid w:val="00F87CCB"/>
    <w:rsid w:val="00F87CE9"/>
    <w:rsid w:val="00F87DF9"/>
    <w:rsid w:val="00F87E43"/>
    <w:rsid w:val="00F87EB7"/>
    <w:rsid w:val="00F87F1C"/>
    <w:rsid w:val="00F90054"/>
    <w:rsid w:val="00F90301"/>
    <w:rsid w:val="00F9033A"/>
    <w:rsid w:val="00F904CF"/>
    <w:rsid w:val="00F904D3"/>
    <w:rsid w:val="00F9064D"/>
    <w:rsid w:val="00F9066F"/>
    <w:rsid w:val="00F906FF"/>
    <w:rsid w:val="00F9070A"/>
    <w:rsid w:val="00F90A48"/>
    <w:rsid w:val="00F90AAB"/>
    <w:rsid w:val="00F90C1F"/>
    <w:rsid w:val="00F90CCB"/>
    <w:rsid w:val="00F90D93"/>
    <w:rsid w:val="00F90DF5"/>
    <w:rsid w:val="00F90FF5"/>
    <w:rsid w:val="00F91133"/>
    <w:rsid w:val="00F911E9"/>
    <w:rsid w:val="00F91373"/>
    <w:rsid w:val="00F9140C"/>
    <w:rsid w:val="00F91469"/>
    <w:rsid w:val="00F91486"/>
    <w:rsid w:val="00F91513"/>
    <w:rsid w:val="00F91636"/>
    <w:rsid w:val="00F916F3"/>
    <w:rsid w:val="00F91700"/>
    <w:rsid w:val="00F917B9"/>
    <w:rsid w:val="00F91802"/>
    <w:rsid w:val="00F91900"/>
    <w:rsid w:val="00F91AB3"/>
    <w:rsid w:val="00F91B25"/>
    <w:rsid w:val="00F91CD8"/>
    <w:rsid w:val="00F91D03"/>
    <w:rsid w:val="00F91E77"/>
    <w:rsid w:val="00F91EC0"/>
    <w:rsid w:val="00F91EC9"/>
    <w:rsid w:val="00F91F6D"/>
    <w:rsid w:val="00F91F72"/>
    <w:rsid w:val="00F92097"/>
    <w:rsid w:val="00F921A5"/>
    <w:rsid w:val="00F9222E"/>
    <w:rsid w:val="00F9237A"/>
    <w:rsid w:val="00F92580"/>
    <w:rsid w:val="00F926A5"/>
    <w:rsid w:val="00F92737"/>
    <w:rsid w:val="00F927ED"/>
    <w:rsid w:val="00F9287D"/>
    <w:rsid w:val="00F9288B"/>
    <w:rsid w:val="00F928E2"/>
    <w:rsid w:val="00F92925"/>
    <w:rsid w:val="00F9298A"/>
    <w:rsid w:val="00F92997"/>
    <w:rsid w:val="00F92A18"/>
    <w:rsid w:val="00F92B7C"/>
    <w:rsid w:val="00F92E7F"/>
    <w:rsid w:val="00F92E9C"/>
    <w:rsid w:val="00F93009"/>
    <w:rsid w:val="00F93158"/>
    <w:rsid w:val="00F93162"/>
    <w:rsid w:val="00F93286"/>
    <w:rsid w:val="00F93308"/>
    <w:rsid w:val="00F9376F"/>
    <w:rsid w:val="00F938D5"/>
    <w:rsid w:val="00F93976"/>
    <w:rsid w:val="00F939D7"/>
    <w:rsid w:val="00F93C45"/>
    <w:rsid w:val="00F93C75"/>
    <w:rsid w:val="00F93C8B"/>
    <w:rsid w:val="00F93C97"/>
    <w:rsid w:val="00F93CDB"/>
    <w:rsid w:val="00F93D81"/>
    <w:rsid w:val="00F93DEB"/>
    <w:rsid w:val="00F93EA9"/>
    <w:rsid w:val="00F93FA6"/>
    <w:rsid w:val="00F93FC2"/>
    <w:rsid w:val="00F940FC"/>
    <w:rsid w:val="00F941CF"/>
    <w:rsid w:val="00F94220"/>
    <w:rsid w:val="00F942E1"/>
    <w:rsid w:val="00F94435"/>
    <w:rsid w:val="00F94466"/>
    <w:rsid w:val="00F944DE"/>
    <w:rsid w:val="00F944FE"/>
    <w:rsid w:val="00F945EB"/>
    <w:rsid w:val="00F94621"/>
    <w:rsid w:val="00F946A6"/>
    <w:rsid w:val="00F94855"/>
    <w:rsid w:val="00F9492A"/>
    <w:rsid w:val="00F94BBC"/>
    <w:rsid w:val="00F94C73"/>
    <w:rsid w:val="00F94C98"/>
    <w:rsid w:val="00F94C99"/>
    <w:rsid w:val="00F94CA9"/>
    <w:rsid w:val="00F94DB9"/>
    <w:rsid w:val="00F94E36"/>
    <w:rsid w:val="00F94EA0"/>
    <w:rsid w:val="00F94FF4"/>
    <w:rsid w:val="00F95054"/>
    <w:rsid w:val="00F9508E"/>
    <w:rsid w:val="00F951C7"/>
    <w:rsid w:val="00F95218"/>
    <w:rsid w:val="00F9529B"/>
    <w:rsid w:val="00F952D5"/>
    <w:rsid w:val="00F9537F"/>
    <w:rsid w:val="00F95532"/>
    <w:rsid w:val="00F95644"/>
    <w:rsid w:val="00F957DD"/>
    <w:rsid w:val="00F95889"/>
    <w:rsid w:val="00F95920"/>
    <w:rsid w:val="00F95956"/>
    <w:rsid w:val="00F9599F"/>
    <w:rsid w:val="00F959D3"/>
    <w:rsid w:val="00F959F4"/>
    <w:rsid w:val="00F95A25"/>
    <w:rsid w:val="00F95A60"/>
    <w:rsid w:val="00F95AF8"/>
    <w:rsid w:val="00F95BAC"/>
    <w:rsid w:val="00F95C61"/>
    <w:rsid w:val="00F95C86"/>
    <w:rsid w:val="00F95CDD"/>
    <w:rsid w:val="00F95D24"/>
    <w:rsid w:val="00F96016"/>
    <w:rsid w:val="00F9609D"/>
    <w:rsid w:val="00F961B8"/>
    <w:rsid w:val="00F96394"/>
    <w:rsid w:val="00F96409"/>
    <w:rsid w:val="00F964FF"/>
    <w:rsid w:val="00F9654C"/>
    <w:rsid w:val="00F968BA"/>
    <w:rsid w:val="00F968DD"/>
    <w:rsid w:val="00F96919"/>
    <w:rsid w:val="00F96958"/>
    <w:rsid w:val="00F96A08"/>
    <w:rsid w:val="00F96BF4"/>
    <w:rsid w:val="00F96C97"/>
    <w:rsid w:val="00F96CB4"/>
    <w:rsid w:val="00F96CD9"/>
    <w:rsid w:val="00F96D36"/>
    <w:rsid w:val="00F96D5C"/>
    <w:rsid w:val="00F96E02"/>
    <w:rsid w:val="00F96ED1"/>
    <w:rsid w:val="00F971C6"/>
    <w:rsid w:val="00F9723C"/>
    <w:rsid w:val="00F9731D"/>
    <w:rsid w:val="00F9733D"/>
    <w:rsid w:val="00F97369"/>
    <w:rsid w:val="00F9740E"/>
    <w:rsid w:val="00F97769"/>
    <w:rsid w:val="00F978F7"/>
    <w:rsid w:val="00F9798A"/>
    <w:rsid w:val="00F97994"/>
    <w:rsid w:val="00F979AB"/>
    <w:rsid w:val="00F979F0"/>
    <w:rsid w:val="00F97AD5"/>
    <w:rsid w:val="00F97B3E"/>
    <w:rsid w:val="00F97BA8"/>
    <w:rsid w:val="00F97D51"/>
    <w:rsid w:val="00F97DB9"/>
    <w:rsid w:val="00F97DF8"/>
    <w:rsid w:val="00FA0039"/>
    <w:rsid w:val="00FA00A3"/>
    <w:rsid w:val="00FA01BC"/>
    <w:rsid w:val="00FA0280"/>
    <w:rsid w:val="00FA04CE"/>
    <w:rsid w:val="00FA04ED"/>
    <w:rsid w:val="00FA0530"/>
    <w:rsid w:val="00FA053C"/>
    <w:rsid w:val="00FA0558"/>
    <w:rsid w:val="00FA060D"/>
    <w:rsid w:val="00FA0733"/>
    <w:rsid w:val="00FA0743"/>
    <w:rsid w:val="00FA08E5"/>
    <w:rsid w:val="00FA097E"/>
    <w:rsid w:val="00FA0A02"/>
    <w:rsid w:val="00FA0A1D"/>
    <w:rsid w:val="00FA0A8F"/>
    <w:rsid w:val="00FA0AB1"/>
    <w:rsid w:val="00FA0ACB"/>
    <w:rsid w:val="00FA0B81"/>
    <w:rsid w:val="00FA0BB8"/>
    <w:rsid w:val="00FA0FDF"/>
    <w:rsid w:val="00FA113A"/>
    <w:rsid w:val="00FA1207"/>
    <w:rsid w:val="00FA128B"/>
    <w:rsid w:val="00FA12FA"/>
    <w:rsid w:val="00FA13A9"/>
    <w:rsid w:val="00FA147E"/>
    <w:rsid w:val="00FA14B7"/>
    <w:rsid w:val="00FA151A"/>
    <w:rsid w:val="00FA1581"/>
    <w:rsid w:val="00FA178C"/>
    <w:rsid w:val="00FA1849"/>
    <w:rsid w:val="00FA1915"/>
    <w:rsid w:val="00FA1AA2"/>
    <w:rsid w:val="00FA1D5A"/>
    <w:rsid w:val="00FA1D9D"/>
    <w:rsid w:val="00FA1DBE"/>
    <w:rsid w:val="00FA1DC3"/>
    <w:rsid w:val="00FA1DD6"/>
    <w:rsid w:val="00FA1E3E"/>
    <w:rsid w:val="00FA1EDB"/>
    <w:rsid w:val="00FA1F0B"/>
    <w:rsid w:val="00FA1F8A"/>
    <w:rsid w:val="00FA2059"/>
    <w:rsid w:val="00FA2209"/>
    <w:rsid w:val="00FA2264"/>
    <w:rsid w:val="00FA22BF"/>
    <w:rsid w:val="00FA2686"/>
    <w:rsid w:val="00FA27C7"/>
    <w:rsid w:val="00FA2868"/>
    <w:rsid w:val="00FA28FA"/>
    <w:rsid w:val="00FA294C"/>
    <w:rsid w:val="00FA2BA6"/>
    <w:rsid w:val="00FA2C06"/>
    <w:rsid w:val="00FA2DD4"/>
    <w:rsid w:val="00FA2EBF"/>
    <w:rsid w:val="00FA2F27"/>
    <w:rsid w:val="00FA2F42"/>
    <w:rsid w:val="00FA3244"/>
    <w:rsid w:val="00FA33BA"/>
    <w:rsid w:val="00FA33C2"/>
    <w:rsid w:val="00FA3401"/>
    <w:rsid w:val="00FA34F9"/>
    <w:rsid w:val="00FA35FD"/>
    <w:rsid w:val="00FA3635"/>
    <w:rsid w:val="00FA366C"/>
    <w:rsid w:val="00FA36DE"/>
    <w:rsid w:val="00FA3751"/>
    <w:rsid w:val="00FA37D5"/>
    <w:rsid w:val="00FA3815"/>
    <w:rsid w:val="00FA3843"/>
    <w:rsid w:val="00FA38DB"/>
    <w:rsid w:val="00FA3912"/>
    <w:rsid w:val="00FA396A"/>
    <w:rsid w:val="00FA3A6E"/>
    <w:rsid w:val="00FA3B7B"/>
    <w:rsid w:val="00FA3B93"/>
    <w:rsid w:val="00FA3BEE"/>
    <w:rsid w:val="00FA3C17"/>
    <w:rsid w:val="00FA3C65"/>
    <w:rsid w:val="00FA3C93"/>
    <w:rsid w:val="00FA3D6C"/>
    <w:rsid w:val="00FA3E0F"/>
    <w:rsid w:val="00FA3E6E"/>
    <w:rsid w:val="00FA3FC4"/>
    <w:rsid w:val="00FA41D7"/>
    <w:rsid w:val="00FA423C"/>
    <w:rsid w:val="00FA427A"/>
    <w:rsid w:val="00FA43F1"/>
    <w:rsid w:val="00FA4406"/>
    <w:rsid w:val="00FA4538"/>
    <w:rsid w:val="00FA4545"/>
    <w:rsid w:val="00FA46A0"/>
    <w:rsid w:val="00FA486D"/>
    <w:rsid w:val="00FA4949"/>
    <w:rsid w:val="00FA497C"/>
    <w:rsid w:val="00FA4AE6"/>
    <w:rsid w:val="00FA4AF6"/>
    <w:rsid w:val="00FA4BA2"/>
    <w:rsid w:val="00FA4C34"/>
    <w:rsid w:val="00FA4E4B"/>
    <w:rsid w:val="00FA4E95"/>
    <w:rsid w:val="00FA509B"/>
    <w:rsid w:val="00FA50EF"/>
    <w:rsid w:val="00FA52CE"/>
    <w:rsid w:val="00FA56AB"/>
    <w:rsid w:val="00FA5852"/>
    <w:rsid w:val="00FA58B6"/>
    <w:rsid w:val="00FA5A23"/>
    <w:rsid w:val="00FA5A65"/>
    <w:rsid w:val="00FA5C89"/>
    <w:rsid w:val="00FA5DC7"/>
    <w:rsid w:val="00FA5F8E"/>
    <w:rsid w:val="00FA5FA3"/>
    <w:rsid w:val="00FA602C"/>
    <w:rsid w:val="00FA610E"/>
    <w:rsid w:val="00FA6121"/>
    <w:rsid w:val="00FA61D2"/>
    <w:rsid w:val="00FA638F"/>
    <w:rsid w:val="00FA63B5"/>
    <w:rsid w:val="00FA6455"/>
    <w:rsid w:val="00FA64C0"/>
    <w:rsid w:val="00FA6529"/>
    <w:rsid w:val="00FA6690"/>
    <w:rsid w:val="00FA6737"/>
    <w:rsid w:val="00FA687C"/>
    <w:rsid w:val="00FA6990"/>
    <w:rsid w:val="00FA69A1"/>
    <w:rsid w:val="00FA6B73"/>
    <w:rsid w:val="00FA6F5A"/>
    <w:rsid w:val="00FA720A"/>
    <w:rsid w:val="00FA7295"/>
    <w:rsid w:val="00FA729B"/>
    <w:rsid w:val="00FA72F6"/>
    <w:rsid w:val="00FA7318"/>
    <w:rsid w:val="00FA73A4"/>
    <w:rsid w:val="00FA74D2"/>
    <w:rsid w:val="00FA74E7"/>
    <w:rsid w:val="00FA756C"/>
    <w:rsid w:val="00FA79CF"/>
    <w:rsid w:val="00FA7B68"/>
    <w:rsid w:val="00FA7BA6"/>
    <w:rsid w:val="00FA7CB9"/>
    <w:rsid w:val="00FA7D26"/>
    <w:rsid w:val="00FA7DF3"/>
    <w:rsid w:val="00FA7DFE"/>
    <w:rsid w:val="00FA7E10"/>
    <w:rsid w:val="00FA7F43"/>
    <w:rsid w:val="00FA7F71"/>
    <w:rsid w:val="00FA7FCD"/>
    <w:rsid w:val="00FB0175"/>
    <w:rsid w:val="00FB0250"/>
    <w:rsid w:val="00FB0263"/>
    <w:rsid w:val="00FB029D"/>
    <w:rsid w:val="00FB058B"/>
    <w:rsid w:val="00FB05B8"/>
    <w:rsid w:val="00FB05E6"/>
    <w:rsid w:val="00FB0642"/>
    <w:rsid w:val="00FB0700"/>
    <w:rsid w:val="00FB0721"/>
    <w:rsid w:val="00FB08C5"/>
    <w:rsid w:val="00FB08F5"/>
    <w:rsid w:val="00FB0919"/>
    <w:rsid w:val="00FB0930"/>
    <w:rsid w:val="00FB096E"/>
    <w:rsid w:val="00FB09F2"/>
    <w:rsid w:val="00FB0A2D"/>
    <w:rsid w:val="00FB0A71"/>
    <w:rsid w:val="00FB0AEB"/>
    <w:rsid w:val="00FB0B8C"/>
    <w:rsid w:val="00FB0CB9"/>
    <w:rsid w:val="00FB0D02"/>
    <w:rsid w:val="00FB0D4A"/>
    <w:rsid w:val="00FB0E55"/>
    <w:rsid w:val="00FB0FD0"/>
    <w:rsid w:val="00FB0FDE"/>
    <w:rsid w:val="00FB10EB"/>
    <w:rsid w:val="00FB113B"/>
    <w:rsid w:val="00FB1271"/>
    <w:rsid w:val="00FB12DD"/>
    <w:rsid w:val="00FB1451"/>
    <w:rsid w:val="00FB14F6"/>
    <w:rsid w:val="00FB16AF"/>
    <w:rsid w:val="00FB17C0"/>
    <w:rsid w:val="00FB1802"/>
    <w:rsid w:val="00FB18E4"/>
    <w:rsid w:val="00FB1914"/>
    <w:rsid w:val="00FB19E9"/>
    <w:rsid w:val="00FB1B55"/>
    <w:rsid w:val="00FB1B8F"/>
    <w:rsid w:val="00FB1C8F"/>
    <w:rsid w:val="00FB1DC2"/>
    <w:rsid w:val="00FB1E5E"/>
    <w:rsid w:val="00FB1EB7"/>
    <w:rsid w:val="00FB1EC2"/>
    <w:rsid w:val="00FB1ED8"/>
    <w:rsid w:val="00FB1F0E"/>
    <w:rsid w:val="00FB204A"/>
    <w:rsid w:val="00FB20B4"/>
    <w:rsid w:val="00FB219A"/>
    <w:rsid w:val="00FB228A"/>
    <w:rsid w:val="00FB22A6"/>
    <w:rsid w:val="00FB23F0"/>
    <w:rsid w:val="00FB245E"/>
    <w:rsid w:val="00FB2697"/>
    <w:rsid w:val="00FB26D0"/>
    <w:rsid w:val="00FB28D0"/>
    <w:rsid w:val="00FB2A4E"/>
    <w:rsid w:val="00FB2B20"/>
    <w:rsid w:val="00FB2B2E"/>
    <w:rsid w:val="00FB2C0F"/>
    <w:rsid w:val="00FB2E5C"/>
    <w:rsid w:val="00FB2E9A"/>
    <w:rsid w:val="00FB2F06"/>
    <w:rsid w:val="00FB2F0A"/>
    <w:rsid w:val="00FB308F"/>
    <w:rsid w:val="00FB30B3"/>
    <w:rsid w:val="00FB30F5"/>
    <w:rsid w:val="00FB3126"/>
    <w:rsid w:val="00FB31FF"/>
    <w:rsid w:val="00FB338E"/>
    <w:rsid w:val="00FB33BF"/>
    <w:rsid w:val="00FB34E4"/>
    <w:rsid w:val="00FB3555"/>
    <w:rsid w:val="00FB35D7"/>
    <w:rsid w:val="00FB362B"/>
    <w:rsid w:val="00FB377D"/>
    <w:rsid w:val="00FB3787"/>
    <w:rsid w:val="00FB37A9"/>
    <w:rsid w:val="00FB37FF"/>
    <w:rsid w:val="00FB395C"/>
    <w:rsid w:val="00FB3AD4"/>
    <w:rsid w:val="00FB3C16"/>
    <w:rsid w:val="00FB3C1B"/>
    <w:rsid w:val="00FB3D64"/>
    <w:rsid w:val="00FB3FB4"/>
    <w:rsid w:val="00FB42A9"/>
    <w:rsid w:val="00FB4364"/>
    <w:rsid w:val="00FB4460"/>
    <w:rsid w:val="00FB450A"/>
    <w:rsid w:val="00FB469A"/>
    <w:rsid w:val="00FB469F"/>
    <w:rsid w:val="00FB488C"/>
    <w:rsid w:val="00FB4891"/>
    <w:rsid w:val="00FB49E9"/>
    <w:rsid w:val="00FB4AE7"/>
    <w:rsid w:val="00FB4C4A"/>
    <w:rsid w:val="00FB4DBF"/>
    <w:rsid w:val="00FB4E32"/>
    <w:rsid w:val="00FB4F45"/>
    <w:rsid w:val="00FB4FAF"/>
    <w:rsid w:val="00FB505C"/>
    <w:rsid w:val="00FB5094"/>
    <w:rsid w:val="00FB50BB"/>
    <w:rsid w:val="00FB50F5"/>
    <w:rsid w:val="00FB55CF"/>
    <w:rsid w:val="00FB55DE"/>
    <w:rsid w:val="00FB568D"/>
    <w:rsid w:val="00FB5707"/>
    <w:rsid w:val="00FB5758"/>
    <w:rsid w:val="00FB57F6"/>
    <w:rsid w:val="00FB597D"/>
    <w:rsid w:val="00FB5A2E"/>
    <w:rsid w:val="00FB5BA7"/>
    <w:rsid w:val="00FB5D44"/>
    <w:rsid w:val="00FB5DFA"/>
    <w:rsid w:val="00FB5E14"/>
    <w:rsid w:val="00FB5E97"/>
    <w:rsid w:val="00FB5EA2"/>
    <w:rsid w:val="00FB5FD0"/>
    <w:rsid w:val="00FB6023"/>
    <w:rsid w:val="00FB603A"/>
    <w:rsid w:val="00FB612F"/>
    <w:rsid w:val="00FB6201"/>
    <w:rsid w:val="00FB635A"/>
    <w:rsid w:val="00FB65D6"/>
    <w:rsid w:val="00FB6714"/>
    <w:rsid w:val="00FB6799"/>
    <w:rsid w:val="00FB689B"/>
    <w:rsid w:val="00FB6BD7"/>
    <w:rsid w:val="00FB6C4D"/>
    <w:rsid w:val="00FB6CC1"/>
    <w:rsid w:val="00FB6CDD"/>
    <w:rsid w:val="00FB6D49"/>
    <w:rsid w:val="00FB6D6A"/>
    <w:rsid w:val="00FB6D94"/>
    <w:rsid w:val="00FB6DC2"/>
    <w:rsid w:val="00FB6DEC"/>
    <w:rsid w:val="00FB6F56"/>
    <w:rsid w:val="00FB6F94"/>
    <w:rsid w:val="00FB6FF1"/>
    <w:rsid w:val="00FB70CC"/>
    <w:rsid w:val="00FB7319"/>
    <w:rsid w:val="00FB750A"/>
    <w:rsid w:val="00FB79E6"/>
    <w:rsid w:val="00FB7AE3"/>
    <w:rsid w:val="00FB7AF3"/>
    <w:rsid w:val="00FB7B46"/>
    <w:rsid w:val="00FB7D81"/>
    <w:rsid w:val="00FC0021"/>
    <w:rsid w:val="00FC0088"/>
    <w:rsid w:val="00FC0143"/>
    <w:rsid w:val="00FC017E"/>
    <w:rsid w:val="00FC0325"/>
    <w:rsid w:val="00FC03BA"/>
    <w:rsid w:val="00FC03BE"/>
    <w:rsid w:val="00FC071B"/>
    <w:rsid w:val="00FC0857"/>
    <w:rsid w:val="00FC08CA"/>
    <w:rsid w:val="00FC0911"/>
    <w:rsid w:val="00FC0A3A"/>
    <w:rsid w:val="00FC0B16"/>
    <w:rsid w:val="00FC0B87"/>
    <w:rsid w:val="00FC0BB8"/>
    <w:rsid w:val="00FC0BC2"/>
    <w:rsid w:val="00FC0C67"/>
    <w:rsid w:val="00FC0CF5"/>
    <w:rsid w:val="00FC0D57"/>
    <w:rsid w:val="00FC0D93"/>
    <w:rsid w:val="00FC0E2F"/>
    <w:rsid w:val="00FC0EED"/>
    <w:rsid w:val="00FC0F86"/>
    <w:rsid w:val="00FC0FC3"/>
    <w:rsid w:val="00FC1076"/>
    <w:rsid w:val="00FC10D1"/>
    <w:rsid w:val="00FC119C"/>
    <w:rsid w:val="00FC12C2"/>
    <w:rsid w:val="00FC14B0"/>
    <w:rsid w:val="00FC153D"/>
    <w:rsid w:val="00FC1586"/>
    <w:rsid w:val="00FC15A4"/>
    <w:rsid w:val="00FC17DA"/>
    <w:rsid w:val="00FC17EC"/>
    <w:rsid w:val="00FC1AC0"/>
    <w:rsid w:val="00FC1C05"/>
    <w:rsid w:val="00FC1D2D"/>
    <w:rsid w:val="00FC1D7B"/>
    <w:rsid w:val="00FC1DB8"/>
    <w:rsid w:val="00FC1E4D"/>
    <w:rsid w:val="00FC2064"/>
    <w:rsid w:val="00FC227B"/>
    <w:rsid w:val="00FC234C"/>
    <w:rsid w:val="00FC235E"/>
    <w:rsid w:val="00FC2378"/>
    <w:rsid w:val="00FC23A6"/>
    <w:rsid w:val="00FC25C8"/>
    <w:rsid w:val="00FC2989"/>
    <w:rsid w:val="00FC29BE"/>
    <w:rsid w:val="00FC2A08"/>
    <w:rsid w:val="00FC2A37"/>
    <w:rsid w:val="00FC2ACE"/>
    <w:rsid w:val="00FC2BB8"/>
    <w:rsid w:val="00FC2C03"/>
    <w:rsid w:val="00FC2C14"/>
    <w:rsid w:val="00FC2C60"/>
    <w:rsid w:val="00FC2DBC"/>
    <w:rsid w:val="00FC2F88"/>
    <w:rsid w:val="00FC2F94"/>
    <w:rsid w:val="00FC2FE8"/>
    <w:rsid w:val="00FC2FF1"/>
    <w:rsid w:val="00FC3365"/>
    <w:rsid w:val="00FC34EE"/>
    <w:rsid w:val="00FC3505"/>
    <w:rsid w:val="00FC3510"/>
    <w:rsid w:val="00FC35A0"/>
    <w:rsid w:val="00FC35D4"/>
    <w:rsid w:val="00FC3665"/>
    <w:rsid w:val="00FC36D9"/>
    <w:rsid w:val="00FC3755"/>
    <w:rsid w:val="00FC37AC"/>
    <w:rsid w:val="00FC3AAE"/>
    <w:rsid w:val="00FC3B54"/>
    <w:rsid w:val="00FC3BA0"/>
    <w:rsid w:val="00FC3BC5"/>
    <w:rsid w:val="00FC3CA3"/>
    <w:rsid w:val="00FC3F34"/>
    <w:rsid w:val="00FC3F59"/>
    <w:rsid w:val="00FC3FB9"/>
    <w:rsid w:val="00FC4325"/>
    <w:rsid w:val="00FC4346"/>
    <w:rsid w:val="00FC446D"/>
    <w:rsid w:val="00FC4654"/>
    <w:rsid w:val="00FC4710"/>
    <w:rsid w:val="00FC477E"/>
    <w:rsid w:val="00FC4860"/>
    <w:rsid w:val="00FC4885"/>
    <w:rsid w:val="00FC492B"/>
    <w:rsid w:val="00FC497E"/>
    <w:rsid w:val="00FC49B4"/>
    <w:rsid w:val="00FC4AE5"/>
    <w:rsid w:val="00FC4B7F"/>
    <w:rsid w:val="00FC4BE4"/>
    <w:rsid w:val="00FC4CBD"/>
    <w:rsid w:val="00FC4D3B"/>
    <w:rsid w:val="00FC4D9C"/>
    <w:rsid w:val="00FC4E14"/>
    <w:rsid w:val="00FC4E63"/>
    <w:rsid w:val="00FC5146"/>
    <w:rsid w:val="00FC5164"/>
    <w:rsid w:val="00FC52C3"/>
    <w:rsid w:val="00FC536A"/>
    <w:rsid w:val="00FC538A"/>
    <w:rsid w:val="00FC53AE"/>
    <w:rsid w:val="00FC53EE"/>
    <w:rsid w:val="00FC5453"/>
    <w:rsid w:val="00FC549E"/>
    <w:rsid w:val="00FC54FB"/>
    <w:rsid w:val="00FC5513"/>
    <w:rsid w:val="00FC5669"/>
    <w:rsid w:val="00FC5671"/>
    <w:rsid w:val="00FC5840"/>
    <w:rsid w:val="00FC5B4B"/>
    <w:rsid w:val="00FC5B66"/>
    <w:rsid w:val="00FC5BDB"/>
    <w:rsid w:val="00FC5C31"/>
    <w:rsid w:val="00FC5CAE"/>
    <w:rsid w:val="00FC5CF8"/>
    <w:rsid w:val="00FC5CFA"/>
    <w:rsid w:val="00FC5D90"/>
    <w:rsid w:val="00FC5F0D"/>
    <w:rsid w:val="00FC5F1E"/>
    <w:rsid w:val="00FC6249"/>
    <w:rsid w:val="00FC626B"/>
    <w:rsid w:val="00FC629C"/>
    <w:rsid w:val="00FC62BD"/>
    <w:rsid w:val="00FC63B4"/>
    <w:rsid w:val="00FC63D6"/>
    <w:rsid w:val="00FC643C"/>
    <w:rsid w:val="00FC64A0"/>
    <w:rsid w:val="00FC651A"/>
    <w:rsid w:val="00FC657D"/>
    <w:rsid w:val="00FC65FC"/>
    <w:rsid w:val="00FC6761"/>
    <w:rsid w:val="00FC68D3"/>
    <w:rsid w:val="00FC6AFE"/>
    <w:rsid w:val="00FC6B4F"/>
    <w:rsid w:val="00FC6B81"/>
    <w:rsid w:val="00FC6BF0"/>
    <w:rsid w:val="00FC6C74"/>
    <w:rsid w:val="00FC6CF0"/>
    <w:rsid w:val="00FC6E25"/>
    <w:rsid w:val="00FC6E5A"/>
    <w:rsid w:val="00FC6F67"/>
    <w:rsid w:val="00FC6F6A"/>
    <w:rsid w:val="00FC70D4"/>
    <w:rsid w:val="00FC72C7"/>
    <w:rsid w:val="00FC756F"/>
    <w:rsid w:val="00FC75A8"/>
    <w:rsid w:val="00FC7618"/>
    <w:rsid w:val="00FC780E"/>
    <w:rsid w:val="00FC7927"/>
    <w:rsid w:val="00FC7972"/>
    <w:rsid w:val="00FC79C9"/>
    <w:rsid w:val="00FC79F4"/>
    <w:rsid w:val="00FC7A88"/>
    <w:rsid w:val="00FC7AAF"/>
    <w:rsid w:val="00FC7BA4"/>
    <w:rsid w:val="00FC7BBB"/>
    <w:rsid w:val="00FC7EB0"/>
    <w:rsid w:val="00FC7F42"/>
    <w:rsid w:val="00FC7FB9"/>
    <w:rsid w:val="00FD0020"/>
    <w:rsid w:val="00FD004B"/>
    <w:rsid w:val="00FD004C"/>
    <w:rsid w:val="00FD00B9"/>
    <w:rsid w:val="00FD00D8"/>
    <w:rsid w:val="00FD014C"/>
    <w:rsid w:val="00FD01B8"/>
    <w:rsid w:val="00FD022B"/>
    <w:rsid w:val="00FD027C"/>
    <w:rsid w:val="00FD028C"/>
    <w:rsid w:val="00FD0295"/>
    <w:rsid w:val="00FD0418"/>
    <w:rsid w:val="00FD049B"/>
    <w:rsid w:val="00FD04B2"/>
    <w:rsid w:val="00FD0588"/>
    <w:rsid w:val="00FD05EA"/>
    <w:rsid w:val="00FD062F"/>
    <w:rsid w:val="00FD0674"/>
    <w:rsid w:val="00FD0714"/>
    <w:rsid w:val="00FD071D"/>
    <w:rsid w:val="00FD07DB"/>
    <w:rsid w:val="00FD0BF3"/>
    <w:rsid w:val="00FD0BFF"/>
    <w:rsid w:val="00FD0C6A"/>
    <w:rsid w:val="00FD0CF3"/>
    <w:rsid w:val="00FD1075"/>
    <w:rsid w:val="00FD10DF"/>
    <w:rsid w:val="00FD1177"/>
    <w:rsid w:val="00FD13A9"/>
    <w:rsid w:val="00FD1416"/>
    <w:rsid w:val="00FD1423"/>
    <w:rsid w:val="00FD14F9"/>
    <w:rsid w:val="00FD18F6"/>
    <w:rsid w:val="00FD1A91"/>
    <w:rsid w:val="00FD1C33"/>
    <w:rsid w:val="00FD1DFF"/>
    <w:rsid w:val="00FD1F9B"/>
    <w:rsid w:val="00FD1FBB"/>
    <w:rsid w:val="00FD2124"/>
    <w:rsid w:val="00FD2372"/>
    <w:rsid w:val="00FD243B"/>
    <w:rsid w:val="00FD269A"/>
    <w:rsid w:val="00FD26E5"/>
    <w:rsid w:val="00FD26EF"/>
    <w:rsid w:val="00FD271F"/>
    <w:rsid w:val="00FD291E"/>
    <w:rsid w:val="00FD2A50"/>
    <w:rsid w:val="00FD2B0F"/>
    <w:rsid w:val="00FD2B41"/>
    <w:rsid w:val="00FD2BC9"/>
    <w:rsid w:val="00FD2C22"/>
    <w:rsid w:val="00FD2C71"/>
    <w:rsid w:val="00FD2D42"/>
    <w:rsid w:val="00FD2D9A"/>
    <w:rsid w:val="00FD2F4A"/>
    <w:rsid w:val="00FD2F5C"/>
    <w:rsid w:val="00FD301E"/>
    <w:rsid w:val="00FD3246"/>
    <w:rsid w:val="00FD328A"/>
    <w:rsid w:val="00FD331B"/>
    <w:rsid w:val="00FD3546"/>
    <w:rsid w:val="00FD356C"/>
    <w:rsid w:val="00FD362A"/>
    <w:rsid w:val="00FD36EF"/>
    <w:rsid w:val="00FD3782"/>
    <w:rsid w:val="00FD3797"/>
    <w:rsid w:val="00FD37C7"/>
    <w:rsid w:val="00FD37C8"/>
    <w:rsid w:val="00FD37D5"/>
    <w:rsid w:val="00FD3806"/>
    <w:rsid w:val="00FD385F"/>
    <w:rsid w:val="00FD39BC"/>
    <w:rsid w:val="00FD3B27"/>
    <w:rsid w:val="00FD3B8B"/>
    <w:rsid w:val="00FD3C61"/>
    <w:rsid w:val="00FD3C6F"/>
    <w:rsid w:val="00FD3CE5"/>
    <w:rsid w:val="00FD3D0E"/>
    <w:rsid w:val="00FD3DB0"/>
    <w:rsid w:val="00FD3E1E"/>
    <w:rsid w:val="00FD3E52"/>
    <w:rsid w:val="00FD3E53"/>
    <w:rsid w:val="00FD3E7C"/>
    <w:rsid w:val="00FD3EA7"/>
    <w:rsid w:val="00FD3F1F"/>
    <w:rsid w:val="00FD3FBF"/>
    <w:rsid w:val="00FD40D2"/>
    <w:rsid w:val="00FD40E0"/>
    <w:rsid w:val="00FD4126"/>
    <w:rsid w:val="00FD4175"/>
    <w:rsid w:val="00FD41C2"/>
    <w:rsid w:val="00FD4239"/>
    <w:rsid w:val="00FD424A"/>
    <w:rsid w:val="00FD42F8"/>
    <w:rsid w:val="00FD44B0"/>
    <w:rsid w:val="00FD44EA"/>
    <w:rsid w:val="00FD44ED"/>
    <w:rsid w:val="00FD4508"/>
    <w:rsid w:val="00FD4617"/>
    <w:rsid w:val="00FD4833"/>
    <w:rsid w:val="00FD4A20"/>
    <w:rsid w:val="00FD4B60"/>
    <w:rsid w:val="00FD4B74"/>
    <w:rsid w:val="00FD4C92"/>
    <w:rsid w:val="00FD4D60"/>
    <w:rsid w:val="00FD4DA2"/>
    <w:rsid w:val="00FD4E12"/>
    <w:rsid w:val="00FD4E66"/>
    <w:rsid w:val="00FD4F26"/>
    <w:rsid w:val="00FD509E"/>
    <w:rsid w:val="00FD513B"/>
    <w:rsid w:val="00FD5158"/>
    <w:rsid w:val="00FD5185"/>
    <w:rsid w:val="00FD530B"/>
    <w:rsid w:val="00FD5364"/>
    <w:rsid w:val="00FD53D8"/>
    <w:rsid w:val="00FD5609"/>
    <w:rsid w:val="00FD5830"/>
    <w:rsid w:val="00FD5A8C"/>
    <w:rsid w:val="00FD5AAC"/>
    <w:rsid w:val="00FD5C09"/>
    <w:rsid w:val="00FD5C23"/>
    <w:rsid w:val="00FD5C7B"/>
    <w:rsid w:val="00FD5CB6"/>
    <w:rsid w:val="00FD5CE9"/>
    <w:rsid w:val="00FD5D28"/>
    <w:rsid w:val="00FD5D7D"/>
    <w:rsid w:val="00FD5E6F"/>
    <w:rsid w:val="00FD5F09"/>
    <w:rsid w:val="00FD61C2"/>
    <w:rsid w:val="00FD61FE"/>
    <w:rsid w:val="00FD6254"/>
    <w:rsid w:val="00FD6288"/>
    <w:rsid w:val="00FD63F5"/>
    <w:rsid w:val="00FD6487"/>
    <w:rsid w:val="00FD649E"/>
    <w:rsid w:val="00FD6512"/>
    <w:rsid w:val="00FD654F"/>
    <w:rsid w:val="00FD66D9"/>
    <w:rsid w:val="00FD681A"/>
    <w:rsid w:val="00FD68BB"/>
    <w:rsid w:val="00FD692F"/>
    <w:rsid w:val="00FD698F"/>
    <w:rsid w:val="00FD69F1"/>
    <w:rsid w:val="00FD6B85"/>
    <w:rsid w:val="00FD6BF5"/>
    <w:rsid w:val="00FD6C15"/>
    <w:rsid w:val="00FD6D1A"/>
    <w:rsid w:val="00FD6D47"/>
    <w:rsid w:val="00FD6D98"/>
    <w:rsid w:val="00FD6DEF"/>
    <w:rsid w:val="00FD6EED"/>
    <w:rsid w:val="00FD6F17"/>
    <w:rsid w:val="00FD7020"/>
    <w:rsid w:val="00FD7190"/>
    <w:rsid w:val="00FD71C8"/>
    <w:rsid w:val="00FD7215"/>
    <w:rsid w:val="00FD74B7"/>
    <w:rsid w:val="00FD74E1"/>
    <w:rsid w:val="00FD754E"/>
    <w:rsid w:val="00FD7679"/>
    <w:rsid w:val="00FD7728"/>
    <w:rsid w:val="00FD772C"/>
    <w:rsid w:val="00FD775C"/>
    <w:rsid w:val="00FD7820"/>
    <w:rsid w:val="00FD7957"/>
    <w:rsid w:val="00FD7AEA"/>
    <w:rsid w:val="00FD7C1F"/>
    <w:rsid w:val="00FD7D47"/>
    <w:rsid w:val="00FD7D88"/>
    <w:rsid w:val="00FD7DB9"/>
    <w:rsid w:val="00FD7FD7"/>
    <w:rsid w:val="00FD7FE1"/>
    <w:rsid w:val="00FE0056"/>
    <w:rsid w:val="00FE00AE"/>
    <w:rsid w:val="00FE01B9"/>
    <w:rsid w:val="00FE01DA"/>
    <w:rsid w:val="00FE02B5"/>
    <w:rsid w:val="00FE02E4"/>
    <w:rsid w:val="00FE03BA"/>
    <w:rsid w:val="00FE03F5"/>
    <w:rsid w:val="00FE043A"/>
    <w:rsid w:val="00FE070C"/>
    <w:rsid w:val="00FE0717"/>
    <w:rsid w:val="00FE0794"/>
    <w:rsid w:val="00FE0796"/>
    <w:rsid w:val="00FE079E"/>
    <w:rsid w:val="00FE0B8D"/>
    <w:rsid w:val="00FE0C1F"/>
    <w:rsid w:val="00FE0C5A"/>
    <w:rsid w:val="00FE0C84"/>
    <w:rsid w:val="00FE0CF6"/>
    <w:rsid w:val="00FE0D97"/>
    <w:rsid w:val="00FE0F04"/>
    <w:rsid w:val="00FE1181"/>
    <w:rsid w:val="00FE1390"/>
    <w:rsid w:val="00FE166F"/>
    <w:rsid w:val="00FE16AC"/>
    <w:rsid w:val="00FE17F7"/>
    <w:rsid w:val="00FE1839"/>
    <w:rsid w:val="00FE18C6"/>
    <w:rsid w:val="00FE19D0"/>
    <w:rsid w:val="00FE1A01"/>
    <w:rsid w:val="00FE1A47"/>
    <w:rsid w:val="00FE1A49"/>
    <w:rsid w:val="00FE1A86"/>
    <w:rsid w:val="00FE1BC8"/>
    <w:rsid w:val="00FE1BE2"/>
    <w:rsid w:val="00FE1C86"/>
    <w:rsid w:val="00FE1D84"/>
    <w:rsid w:val="00FE1E14"/>
    <w:rsid w:val="00FE1F20"/>
    <w:rsid w:val="00FE1FD1"/>
    <w:rsid w:val="00FE2097"/>
    <w:rsid w:val="00FE20C5"/>
    <w:rsid w:val="00FE2123"/>
    <w:rsid w:val="00FE214B"/>
    <w:rsid w:val="00FE21F5"/>
    <w:rsid w:val="00FE2375"/>
    <w:rsid w:val="00FE241D"/>
    <w:rsid w:val="00FE249B"/>
    <w:rsid w:val="00FE249C"/>
    <w:rsid w:val="00FE27F0"/>
    <w:rsid w:val="00FE284F"/>
    <w:rsid w:val="00FE2866"/>
    <w:rsid w:val="00FE2892"/>
    <w:rsid w:val="00FE2B17"/>
    <w:rsid w:val="00FE2CF0"/>
    <w:rsid w:val="00FE2D40"/>
    <w:rsid w:val="00FE32F6"/>
    <w:rsid w:val="00FE33FE"/>
    <w:rsid w:val="00FE340C"/>
    <w:rsid w:val="00FE342A"/>
    <w:rsid w:val="00FE34B7"/>
    <w:rsid w:val="00FE3631"/>
    <w:rsid w:val="00FE386C"/>
    <w:rsid w:val="00FE39B7"/>
    <w:rsid w:val="00FE3A53"/>
    <w:rsid w:val="00FE3A7E"/>
    <w:rsid w:val="00FE3AE9"/>
    <w:rsid w:val="00FE3C41"/>
    <w:rsid w:val="00FE3C89"/>
    <w:rsid w:val="00FE3CE5"/>
    <w:rsid w:val="00FE3E48"/>
    <w:rsid w:val="00FE3F1C"/>
    <w:rsid w:val="00FE4117"/>
    <w:rsid w:val="00FE4205"/>
    <w:rsid w:val="00FE42D6"/>
    <w:rsid w:val="00FE430A"/>
    <w:rsid w:val="00FE4317"/>
    <w:rsid w:val="00FE43CC"/>
    <w:rsid w:val="00FE44FA"/>
    <w:rsid w:val="00FE46E0"/>
    <w:rsid w:val="00FE47D8"/>
    <w:rsid w:val="00FE48F9"/>
    <w:rsid w:val="00FE4959"/>
    <w:rsid w:val="00FE49B9"/>
    <w:rsid w:val="00FE49E0"/>
    <w:rsid w:val="00FE49EB"/>
    <w:rsid w:val="00FE49F7"/>
    <w:rsid w:val="00FE4CC6"/>
    <w:rsid w:val="00FE4CC8"/>
    <w:rsid w:val="00FE4CCA"/>
    <w:rsid w:val="00FE4DB5"/>
    <w:rsid w:val="00FE4F7F"/>
    <w:rsid w:val="00FE4FAA"/>
    <w:rsid w:val="00FE500D"/>
    <w:rsid w:val="00FE5131"/>
    <w:rsid w:val="00FE5169"/>
    <w:rsid w:val="00FE534D"/>
    <w:rsid w:val="00FE54BA"/>
    <w:rsid w:val="00FE54D1"/>
    <w:rsid w:val="00FE56DC"/>
    <w:rsid w:val="00FE57AF"/>
    <w:rsid w:val="00FE57EF"/>
    <w:rsid w:val="00FE58DD"/>
    <w:rsid w:val="00FE5986"/>
    <w:rsid w:val="00FE59AC"/>
    <w:rsid w:val="00FE5C1B"/>
    <w:rsid w:val="00FE5CB4"/>
    <w:rsid w:val="00FE5E64"/>
    <w:rsid w:val="00FE5E85"/>
    <w:rsid w:val="00FE5F59"/>
    <w:rsid w:val="00FE5FA7"/>
    <w:rsid w:val="00FE6004"/>
    <w:rsid w:val="00FE605F"/>
    <w:rsid w:val="00FE61FE"/>
    <w:rsid w:val="00FE6241"/>
    <w:rsid w:val="00FE62B5"/>
    <w:rsid w:val="00FE6385"/>
    <w:rsid w:val="00FE6491"/>
    <w:rsid w:val="00FE64F8"/>
    <w:rsid w:val="00FE654E"/>
    <w:rsid w:val="00FE66AA"/>
    <w:rsid w:val="00FE66FC"/>
    <w:rsid w:val="00FE6772"/>
    <w:rsid w:val="00FE679C"/>
    <w:rsid w:val="00FE687E"/>
    <w:rsid w:val="00FE68DA"/>
    <w:rsid w:val="00FE6913"/>
    <w:rsid w:val="00FE6A19"/>
    <w:rsid w:val="00FE6A24"/>
    <w:rsid w:val="00FE6AF0"/>
    <w:rsid w:val="00FE6B2E"/>
    <w:rsid w:val="00FE6C4D"/>
    <w:rsid w:val="00FE6DE6"/>
    <w:rsid w:val="00FE6E28"/>
    <w:rsid w:val="00FE6EB6"/>
    <w:rsid w:val="00FE6EBA"/>
    <w:rsid w:val="00FE6F2A"/>
    <w:rsid w:val="00FE6F70"/>
    <w:rsid w:val="00FE7101"/>
    <w:rsid w:val="00FE7242"/>
    <w:rsid w:val="00FE7292"/>
    <w:rsid w:val="00FE72E0"/>
    <w:rsid w:val="00FE7379"/>
    <w:rsid w:val="00FE73DB"/>
    <w:rsid w:val="00FE7560"/>
    <w:rsid w:val="00FE7563"/>
    <w:rsid w:val="00FE75A5"/>
    <w:rsid w:val="00FE76F9"/>
    <w:rsid w:val="00FE773A"/>
    <w:rsid w:val="00FE7797"/>
    <w:rsid w:val="00FE783D"/>
    <w:rsid w:val="00FE7859"/>
    <w:rsid w:val="00FE78F7"/>
    <w:rsid w:val="00FE7923"/>
    <w:rsid w:val="00FE7A6F"/>
    <w:rsid w:val="00FE7BE2"/>
    <w:rsid w:val="00FE7D51"/>
    <w:rsid w:val="00FE7DF6"/>
    <w:rsid w:val="00FE7E12"/>
    <w:rsid w:val="00FE7EC4"/>
    <w:rsid w:val="00FE7ED4"/>
    <w:rsid w:val="00FE7F9F"/>
    <w:rsid w:val="00FE7FAB"/>
    <w:rsid w:val="00FE7FD3"/>
    <w:rsid w:val="00FF00E6"/>
    <w:rsid w:val="00FF017A"/>
    <w:rsid w:val="00FF017D"/>
    <w:rsid w:val="00FF020C"/>
    <w:rsid w:val="00FF02B4"/>
    <w:rsid w:val="00FF0369"/>
    <w:rsid w:val="00FF03A6"/>
    <w:rsid w:val="00FF0419"/>
    <w:rsid w:val="00FF06A0"/>
    <w:rsid w:val="00FF06F8"/>
    <w:rsid w:val="00FF0764"/>
    <w:rsid w:val="00FF0787"/>
    <w:rsid w:val="00FF080E"/>
    <w:rsid w:val="00FF08B9"/>
    <w:rsid w:val="00FF08E2"/>
    <w:rsid w:val="00FF0B20"/>
    <w:rsid w:val="00FF0BC6"/>
    <w:rsid w:val="00FF0CCF"/>
    <w:rsid w:val="00FF0E38"/>
    <w:rsid w:val="00FF0EA1"/>
    <w:rsid w:val="00FF0EFB"/>
    <w:rsid w:val="00FF0F8F"/>
    <w:rsid w:val="00FF1016"/>
    <w:rsid w:val="00FF107F"/>
    <w:rsid w:val="00FF1103"/>
    <w:rsid w:val="00FF11A0"/>
    <w:rsid w:val="00FF133B"/>
    <w:rsid w:val="00FF13FF"/>
    <w:rsid w:val="00FF14D5"/>
    <w:rsid w:val="00FF1561"/>
    <w:rsid w:val="00FF162E"/>
    <w:rsid w:val="00FF162F"/>
    <w:rsid w:val="00FF16D7"/>
    <w:rsid w:val="00FF171F"/>
    <w:rsid w:val="00FF18F1"/>
    <w:rsid w:val="00FF1957"/>
    <w:rsid w:val="00FF1981"/>
    <w:rsid w:val="00FF19BB"/>
    <w:rsid w:val="00FF19C9"/>
    <w:rsid w:val="00FF19FC"/>
    <w:rsid w:val="00FF1A97"/>
    <w:rsid w:val="00FF1D44"/>
    <w:rsid w:val="00FF1E0F"/>
    <w:rsid w:val="00FF20F6"/>
    <w:rsid w:val="00FF21C1"/>
    <w:rsid w:val="00FF2230"/>
    <w:rsid w:val="00FF244A"/>
    <w:rsid w:val="00FF2562"/>
    <w:rsid w:val="00FF2614"/>
    <w:rsid w:val="00FF261E"/>
    <w:rsid w:val="00FF2847"/>
    <w:rsid w:val="00FF28BE"/>
    <w:rsid w:val="00FF2970"/>
    <w:rsid w:val="00FF29ED"/>
    <w:rsid w:val="00FF2A0F"/>
    <w:rsid w:val="00FF2A26"/>
    <w:rsid w:val="00FF2B7A"/>
    <w:rsid w:val="00FF2C1F"/>
    <w:rsid w:val="00FF2D60"/>
    <w:rsid w:val="00FF2D7D"/>
    <w:rsid w:val="00FF2E0D"/>
    <w:rsid w:val="00FF31AD"/>
    <w:rsid w:val="00FF3332"/>
    <w:rsid w:val="00FF3369"/>
    <w:rsid w:val="00FF33A1"/>
    <w:rsid w:val="00FF355B"/>
    <w:rsid w:val="00FF3588"/>
    <w:rsid w:val="00FF35C6"/>
    <w:rsid w:val="00FF361C"/>
    <w:rsid w:val="00FF364C"/>
    <w:rsid w:val="00FF3651"/>
    <w:rsid w:val="00FF3691"/>
    <w:rsid w:val="00FF36CF"/>
    <w:rsid w:val="00FF36F7"/>
    <w:rsid w:val="00FF37D7"/>
    <w:rsid w:val="00FF3B14"/>
    <w:rsid w:val="00FF3B1E"/>
    <w:rsid w:val="00FF3C67"/>
    <w:rsid w:val="00FF3D31"/>
    <w:rsid w:val="00FF3E4F"/>
    <w:rsid w:val="00FF3E5F"/>
    <w:rsid w:val="00FF3F39"/>
    <w:rsid w:val="00FF3F76"/>
    <w:rsid w:val="00FF41E0"/>
    <w:rsid w:val="00FF41E1"/>
    <w:rsid w:val="00FF4457"/>
    <w:rsid w:val="00FF44AC"/>
    <w:rsid w:val="00FF44E4"/>
    <w:rsid w:val="00FF458A"/>
    <w:rsid w:val="00FF4594"/>
    <w:rsid w:val="00FF45DA"/>
    <w:rsid w:val="00FF464E"/>
    <w:rsid w:val="00FF46F3"/>
    <w:rsid w:val="00FF4991"/>
    <w:rsid w:val="00FF4AEF"/>
    <w:rsid w:val="00FF4B39"/>
    <w:rsid w:val="00FF4B7F"/>
    <w:rsid w:val="00FF4C38"/>
    <w:rsid w:val="00FF4C57"/>
    <w:rsid w:val="00FF4C90"/>
    <w:rsid w:val="00FF4DA0"/>
    <w:rsid w:val="00FF4FAA"/>
    <w:rsid w:val="00FF4FBD"/>
    <w:rsid w:val="00FF4FE1"/>
    <w:rsid w:val="00FF51E4"/>
    <w:rsid w:val="00FF5212"/>
    <w:rsid w:val="00FF532E"/>
    <w:rsid w:val="00FF53E6"/>
    <w:rsid w:val="00FF53EF"/>
    <w:rsid w:val="00FF53F8"/>
    <w:rsid w:val="00FF54B2"/>
    <w:rsid w:val="00FF55FE"/>
    <w:rsid w:val="00FF57A0"/>
    <w:rsid w:val="00FF57B9"/>
    <w:rsid w:val="00FF581C"/>
    <w:rsid w:val="00FF582A"/>
    <w:rsid w:val="00FF58CE"/>
    <w:rsid w:val="00FF59C5"/>
    <w:rsid w:val="00FF59CF"/>
    <w:rsid w:val="00FF5AC8"/>
    <w:rsid w:val="00FF5B06"/>
    <w:rsid w:val="00FF5B07"/>
    <w:rsid w:val="00FF5BCC"/>
    <w:rsid w:val="00FF5C99"/>
    <w:rsid w:val="00FF5EFF"/>
    <w:rsid w:val="00FF5F3B"/>
    <w:rsid w:val="00FF6056"/>
    <w:rsid w:val="00FF60AC"/>
    <w:rsid w:val="00FF60D8"/>
    <w:rsid w:val="00FF62CF"/>
    <w:rsid w:val="00FF62E3"/>
    <w:rsid w:val="00FF62FD"/>
    <w:rsid w:val="00FF638C"/>
    <w:rsid w:val="00FF63D6"/>
    <w:rsid w:val="00FF63F8"/>
    <w:rsid w:val="00FF652A"/>
    <w:rsid w:val="00FF6718"/>
    <w:rsid w:val="00FF6913"/>
    <w:rsid w:val="00FF6A58"/>
    <w:rsid w:val="00FF6B13"/>
    <w:rsid w:val="00FF6BB3"/>
    <w:rsid w:val="00FF6C38"/>
    <w:rsid w:val="00FF6CDE"/>
    <w:rsid w:val="00FF6D4E"/>
    <w:rsid w:val="00FF6D74"/>
    <w:rsid w:val="00FF6F8C"/>
    <w:rsid w:val="00FF7100"/>
    <w:rsid w:val="00FF7153"/>
    <w:rsid w:val="00FF721F"/>
    <w:rsid w:val="00FF7279"/>
    <w:rsid w:val="00FF7343"/>
    <w:rsid w:val="00FF7466"/>
    <w:rsid w:val="00FF7614"/>
    <w:rsid w:val="00FF7710"/>
    <w:rsid w:val="00FF77E2"/>
    <w:rsid w:val="00FF77EC"/>
    <w:rsid w:val="00FF7AA7"/>
    <w:rsid w:val="00FF7AD3"/>
    <w:rsid w:val="00FF7B7D"/>
    <w:rsid w:val="00FF7BED"/>
    <w:rsid w:val="00FF7C9A"/>
    <w:rsid w:val="00FF7D1A"/>
    <w:rsid w:val="00FF7E50"/>
    <w:rsid w:val="00FF7EF5"/>
    <w:rsid w:val="00FF7F0A"/>
    <w:rsid w:val="011C1C43"/>
    <w:rsid w:val="014F128B"/>
    <w:rsid w:val="0155AA2C"/>
    <w:rsid w:val="0156E6BB"/>
    <w:rsid w:val="017EA9B5"/>
    <w:rsid w:val="01826775"/>
    <w:rsid w:val="01A3F885"/>
    <w:rsid w:val="01B1E0AB"/>
    <w:rsid w:val="01BD2D7A"/>
    <w:rsid w:val="01BFC2C4"/>
    <w:rsid w:val="01DB70C3"/>
    <w:rsid w:val="01DC7067"/>
    <w:rsid w:val="01E444C0"/>
    <w:rsid w:val="01F914C2"/>
    <w:rsid w:val="02051FC4"/>
    <w:rsid w:val="02104089"/>
    <w:rsid w:val="02146CD5"/>
    <w:rsid w:val="02252B6E"/>
    <w:rsid w:val="024A8BB4"/>
    <w:rsid w:val="0258EF34"/>
    <w:rsid w:val="026654D0"/>
    <w:rsid w:val="0281795C"/>
    <w:rsid w:val="028AC436"/>
    <w:rsid w:val="0290FDD8"/>
    <w:rsid w:val="02B451E7"/>
    <w:rsid w:val="02B49D12"/>
    <w:rsid w:val="02DBCB81"/>
    <w:rsid w:val="02E7EAED"/>
    <w:rsid w:val="02E888A6"/>
    <w:rsid w:val="02FF0417"/>
    <w:rsid w:val="030759E4"/>
    <w:rsid w:val="0313232F"/>
    <w:rsid w:val="031665D4"/>
    <w:rsid w:val="03764B59"/>
    <w:rsid w:val="038E5062"/>
    <w:rsid w:val="03A0C1F6"/>
    <w:rsid w:val="03CC69CE"/>
    <w:rsid w:val="03EC7F71"/>
    <w:rsid w:val="03F3D9DE"/>
    <w:rsid w:val="03FCCB10"/>
    <w:rsid w:val="0416164F"/>
    <w:rsid w:val="0422A0BE"/>
    <w:rsid w:val="04235306"/>
    <w:rsid w:val="04375368"/>
    <w:rsid w:val="0439B44C"/>
    <w:rsid w:val="04450D81"/>
    <w:rsid w:val="0445FE06"/>
    <w:rsid w:val="044990CB"/>
    <w:rsid w:val="044F7DFD"/>
    <w:rsid w:val="045C5BC4"/>
    <w:rsid w:val="04636F96"/>
    <w:rsid w:val="046A5FE0"/>
    <w:rsid w:val="0478ADE4"/>
    <w:rsid w:val="04A36DD0"/>
    <w:rsid w:val="04B12AF9"/>
    <w:rsid w:val="04B82F76"/>
    <w:rsid w:val="04BC91F2"/>
    <w:rsid w:val="04C93805"/>
    <w:rsid w:val="04D9D49A"/>
    <w:rsid w:val="04F97758"/>
    <w:rsid w:val="050E04E3"/>
    <w:rsid w:val="051BF4C8"/>
    <w:rsid w:val="05245221"/>
    <w:rsid w:val="052F07D2"/>
    <w:rsid w:val="054489FE"/>
    <w:rsid w:val="055CE639"/>
    <w:rsid w:val="05928336"/>
    <w:rsid w:val="05997565"/>
    <w:rsid w:val="05A0B1E6"/>
    <w:rsid w:val="05AE3D19"/>
    <w:rsid w:val="05B690E9"/>
    <w:rsid w:val="05C152BC"/>
    <w:rsid w:val="05C558FD"/>
    <w:rsid w:val="05E2B3FB"/>
    <w:rsid w:val="05E318F0"/>
    <w:rsid w:val="05E51038"/>
    <w:rsid w:val="06086A94"/>
    <w:rsid w:val="061A2BED"/>
    <w:rsid w:val="061F9424"/>
    <w:rsid w:val="062C8B12"/>
    <w:rsid w:val="0657CD44"/>
    <w:rsid w:val="065A146B"/>
    <w:rsid w:val="069E1C83"/>
    <w:rsid w:val="06C2D39A"/>
    <w:rsid w:val="06C5799C"/>
    <w:rsid w:val="06D461B6"/>
    <w:rsid w:val="06F2DFD7"/>
    <w:rsid w:val="06F4E3C8"/>
    <w:rsid w:val="0707D99E"/>
    <w:rsid w:val="071C00C2"/>
    <w:rsid w:val="071E88E7"/>
    <w:rsid w:val="0720A585"/>
    <w:rsid w:val="072442D4"/>
    <w:rsid w:val="0726FE59"/>
    <w:rsid w:val="0750CEE1"/>
    <w:rsid w:val="0757FE6A"/>
    <w:rsid w:val="075E5D2E"/>
    <w:rsid w:val="07704FF4"/>
    <w:rsid w:val="07722D79"/>
    <w:rsid w:val="079F9CBE"/>
    <w:rsid w:val="07D113CA"/>
    <w:rsid w:val="07D28755"/>
    <w:rsid w:val="07D76233"/>
    <w:rsid w:val="07FA16FB"/>
    <w:rsid w:val="0801C03A"/>
    <w:rsid w:val="081399AC"/>
    <w:rsid w:val="0823973C"/>
    <w:rsid w:val="0857FC48"/>
    <w:rsid w:val="0869F0FD"/>
    <w:rsid w:val="08783B95"/>
    <w:rsid w:val="08809941"/>
    <w:rsid w:val="088ACCF4"/>
    <w:rsid w:val="08C2615E"/>
    <w:rsid w:val="08D41806"/>
    <w:rsid w:val="08FCF9E2"/>
    <w:rsid w:val="090615FC"/>
    <w:rsid w:val="091CBE9F"/>
    <w:rsid w:val="0924AAF9"/>
    <w:rsid w:val="0944F113"/>
    <w:rsid w:val="0951FE8B"/>
    <w:rsid w:val="09650353"/>
    <w:rsid w:val="096F7CF5"/>
    <w:rsid w:val="0977842B"/>
    <w:rsid w:val="0999F2E1"/>
    <w:rsid w:val="09A05451"/>
    <w:rsid w:val="09B749C3"/>
    <w:rsid w:val="09FE10B4"/>
    <w:rsid w:val="0A046C76"/>
    <w:rsid w:val="0A0AEA04"/>
    <w:rsid w:val="0A2959FF"/>
    <w:rsid w:val="0A2961E8"/>
    <w:rsid w:val="0A3031B2"/>
    <w:rsid w:val="0A46ACB7"/>
    <w:rsid w:val="0A5D8B5F"/>
    <w:rsid w:val="0A8854AF"/>
    <w:rsid w:val="0A8F6D40"/>
    <w:rsid w:val="0A9EC35A"/>
    <w:rsid w:val="0AA3EBBD"/>
    <w:rsid w:val="0ABF8CA7"/>
    <w:rsid w:val="0AD41CA5"/>
    <w:rsid w:val="0AEEB669"/>
    <w:rsid w:val="0AF87B2D"/>
    <w:rsid w:val="0AFB8910"/>
    <w:rsid w:val="0AFD2FF9"/>
    <w:rsid w:val="0B2CB373"/>
    <w:rsid w:val="0B35C0A7"/>
    <w:rsid w:val="0B47F508"/>
    <w:rsid w:val="0B52D351"/>
    <w:rsid w:val="0B594FCF"/>
    <w:rsid w:val="0B5F31BD"/>
    <w:rsid w:val="0B6F8D41"/>
    <w:rsid w:val="0BE67CCE"/>
    <w:rsid w:val="0BF20D60"/>
    <w:rsid w:val="0BF72FCB"/>
    <w:rsid w:val="0BFDEFDE"/>
    <w:rsid w:val="0C03A12E"/>
    <w:rsid w:val="0C0E7C8D"/>
    <w:rsid w:val="0C243CC7"/>
    <w:rsid w:val="0C2A97A2"/>
    <w:rsid w:val="0C34A511"/>
    <w:rsid w:val="0C3A6BF3"/>
    <w:rsid w:val="0C48C193"/>
    <w:rsid w:val="0C539BB2"/>
    <w:rsid w:val="0C5F7367"/>
    <w:rsid w:val="0C648AAC"/>
    <w:rsid w:val="0C674D0B"/>
    <w:rsid w:val="0C87B654"/>
    <w:rsid w:val="0C8C0BF5"/>
    <w:rsid w:val="0C9316B3"/>
    <w:rsid w:val="0CB3F2BC"/>
    <w:rsid w:val="0CC453F2"/>
    <w:rsid w:val="0CFA69F5"/>
    <w:rsid w:val="0CFC426D"/>
    <w:rsid w:val="0CFDA927"/>
    <w:rsid w:val="0D0CD64A"/>
    <w:rsid w:val="0D12B5A0"/>
    <w:rsid w:val="0D2FEE4A"/>
    <w:rsid w:val="0D349799"/>
    <w:rsid w:val="0D386B65"/>
    <w:rsid w:val="0D405A15"/>
    <w:rsid w:val="0D55A9EA"/>
    <w:rsid w:val="0D58B41B"/>
    <w:rsid w:val="0D5F9114"/>
    <w:rsid w:val="0D6674FE"/>
    <w:rsid w:val="0D8022D9"/>
    <w:rsid w:val="0D8EDCEB"/>
    <w:rsid w:val="0DC8C5CD"/>
    <w:rsid w:val="0DCB5323"/>
    <w:rsid w:val="0DF1E28F"/>
    <w:rsid w:val="0DFA2501"/>
    <w:rsid w:val="0DFD43E0"/>
    <w:rsid w:val="0E092C3A"/>
    <w:rsid w:val="0E1C5337"/>
    <w:rsid w:val="0E27DC5F"/>
    <w:rsid w:val="0E5CAA0F"/>
    <w:rsid w:val="0E96DAAF"/>
    <w:rsid w:val="0E9FDD13"/>
    <w:rsid w:val="0EA5B469"/>
    <w:rsid w:val="0EA77CB5"/>
    <w:rsid w:val="0EA97945"/>
    <w:rsid w:val="0EAEC2AA"/>
    <w:rsid w:val="0ECB261A"/>
    <w:rsid w:val="0ECB7288"/>
    <w:rsid w:val="0ED5176E"/>
    <w:rsid w:val="0EE11893"/>
    <w:rsid w:val="0F00D2F4"/>
    <w:rsid w:val="0F0749F0"/>
    <w:rsid w:val="0F0B08D6"/>
    <w:rsid w:val="0F222516"/>
    <w:rsid w:val="0F24DF46"/>
    <w:rsid w:val="0F3793B7"/>
    <w:rsid w:val="0F37F6B2"/>
    <w:rsid w:val="0F3F54E1"/>
    <w:rsid w:val="0F62560A"/>
    <w:rsid w:val="0F7203C7"/>
    <w:rsid w:val="0F80BB41"/>
    <w:rsid w:val="0FA8D08B"/>
    <w:rsid w:val="0FACEFC0"/>
    <w:rsid w:val="0FC638F2"/>
    <w:rsid w:val="0FCD8133"/>
    <w:rsid w:val="0FED17BE"/>
    <w:rsid w:val="0FFD34CA"/>
    <w:rsid w:val="1048D4E6"/>
    <w:rsid w:val="104E06CD"/>
    <w:rsid w:val="104FF38E"/>
    <w:rsid w:val="1054F834"/>
    <w:rsid w:val="10685DAE"/>
    <w:rsid w:val="1068D779"/>
    <w:rsid w:val="106F7D51"/>
    <w:rsid w:val="10914557"/>
    <w:rsid w:val="10C667C4"/>
    <w:rsid w:val="10C9FF34"/>
    <w:rsid w:val="10E149C8"/>
    <w:rsid w:val="112152C0"/>
    <w:rsid w:val="1125DC2D"/>
    <w:rsid w:val="113D6520"/>
    <w:rsid w:val="11543F7C"/>
    <w:rsid w:val="115449BE"/>
    <w:rsid w:val="115A9EDA"/>
    <w:rsid w:val="1165C615"/>
    <w:rsid w:val="1190C6AB"/>
    <w:rsid w:val="11915007"/>
    <w:rsid w:val="11B2CDFE"/>
    <w:rsid w:val="11BC976A"/>
    <w:rsid w:val="11CF6F32"/>
    <w:rsid w:val="11F250FB"/>
    <w:rsid w:val="1208D0ED"/>
    <w:rsid w:val="120CFBF8"/>
    <w:rsid w:val="12146D61"/>
    <w:rsid w:val="1228414D"/>
    <w:rsid w:val="122D4DC1"/>
    <w:rsid w:val="12326E96"/>
    <w:rsid w:val="124D3D90"/>
    <w:rsid w:val="1255048A"/>
    <w:rsid w:val="1273909B"/>
    <w:rsid w:val="1275A2F3"/>
    <w:rsid w:val="127B71C1"/>
    <w:rsid w:val="127CEDAA"/>
    <w:rsid w:val="128C7FA8"/>
    <w:rsid w:val="1292067F"/>
    <w:rsid w:val="12A16628"/>
    <w:rsid w:val="12BD7A04"/>
    <w:rsid w:val="12C99895"/>
    <w:rsid w:val="12CB52F6"/>
    <w:rsid w:val="12FF0E39"/>
    <w:rsid w:val="13054948"/>
    <w:rsid w:val="130E873C"/>
    <w:rsid w:val="130F1FAD"/>
    <w:rsid w:val="1318C5C5"/>
    <w:rsid w:val="131E6118"/>
    <w:rsid w:val="135181E4"/>
    <w:rsid w:val="135B7F24"/>
    <w:rsid w:val="136A3898"/>
    <w:rsid w:val="136BF9BB"/>
    <w:rsid w:val="13710F15"/>
    <w:rsid w:val="13A7DB91"/>
    <w:rsid w:val="13C38D01"/>
    <w:rsid w:val="13D805B5"/>
    <w:rsid w:val="13E5185F"/>
    <w:rsid w:val="13EECB62"/>
    <w:rsid w:val="1415DB8F"/>
    <w:rsid w:val="141BF7DD"/>
    <w:rsid w:val="141E5138"/>
    <w:rsid w:val="141FCD2B"/>
    <w:rsid w:val="1425510A"/>
    <w:rsid w:val="142661E0"/>
    <w:rsid w:val="143C1008"/>
    <w:rsid w:val="145104C2"/>
    <w:rsid w:val="14598DA5"/>
    <w:rsid w:val="145C5917"/>
    <w:rsid w:val="1489566B"/>
    <w:rsid w:val="148D8645"/>
    <w:rsid w:val="14A4E45E"/>
    <w:rsid w:val="14A78E43"/>
    <w:rsid w:val="14B4F43C"/>
    <w:rsid w:val="14B7DCA4"/>
    <w:rsid w:val="14BFAFC3"/>
    <w:rsid w:val="14C148D1"/>
    <w:rsid w:val="14DFBF21"/>
    <w:rsid w:val="14E0958F"/>
    <w:rsid w:val="1501ADA3"/>
    <w:rsid w:val="15087101"/>
    <w:rsid w:val="15198E1B"/>
    <w:rsid w:val="151C7DFF"/>
    <w:rsid w:val="156B3A6B"/>
    <w:rsid w:val="15749B6F"/>
    <w:rsid w:val="15B97398"/>
    <w:rsid w:val="15CEC2D5"/>
    <w:rsid w:val="15D54794"/>
    <w:rsid w:val="15E56AC5"/>
    <w:rsid w:val="15F618D2"/>
    <w:rsid w:val="15FE4115"/>
    <w:rsid w:val="16018A6B"/>
    <w:rsid w:val="1608A477"/>
    <w:rsid w:val="161A5578"/>
    <w:rsid w:val="16243395"/>
    <w:rsid w:val="1634BF32"/>
    <w:rsid w:val="16473EC0"/>
    <w:rsid w:val="164E68C5"/>
    <w:rsid w:val="167F5DD1"/>
    <w:rsid w:val="1689112C"/>
    <w:rsid w:val="16928857"/>
    <w:rsid w:val="169E89A5"/>
    <w:rsid w:val="16A208F7"/>
    <w:rsid w:val="16B6A5ED"/>
    <w:rsid w:val="16BFBB9F"/>
    <w:rsid w:val="16DA71AA"/>
    <w:rsid w:val="17462680"/>
    <w:rsid w:val="1764DAA2"/>
    <w:rsid w:val="177876B3"/>
    <w:rsid w:val="17A41218"/>
    <w:rsid w:val="17CF3E0F"/>
    <w:rsid w:val="17ED7C83"/>
    <w:rsid w:val="17F3AB84"/>
    <w:rsid w:val="17FD4DE1"/>
    <w:rsid w:val="18203FC3"/>
    <w:rsid w:val="18468576"/>
    <w:rsid w:val="18490674"/>
    <w:rsid w:val="18583C9B"/>
    <w:rsid w:val="18859205"/>
    <w:rsid w:val="1892F00B"/>
    <w:rsid w:val="1894C784"/>
    <w:rsid w:val="189B23D5"/>
    <w:rsid w:val="18AE1A23"/>
    <w:rsid w:val="18B21AF7"/>
    <w:rsid w:val="18B8150F"/>
    <w:rsid w:val="18C5BCFC"/>
    <w:rsid w:val="18FDF4A8"/>
    <w:rsid w:val="193523D1"/>
    <w:rsid w:val="1950A061"/>
    <w:rsid w:val="195A4376"/>
    <w:rsid w:val="197147E1"/>
    <w:rsid w:val="19779652"/>
    <w:rsid w:val="1983330F"/>
    <w:rsid w:val="198B0AF3"/>
    <w:rsid w:val="198B846F"/>
    <w:rsid w:val="1991C3DC"/>
    <w:rsid w:val="199BC197"/>
    <w:rsid w:val="199C972B"/>
    <w:rsid w:val="19AD5764"/>
    <w:rsid w:val="19B429C7"/>
    <w:rsid w:val="19E3CB99"/>
    <w:rsid w:val="1A0EFE40"/>
    <w:rsid w:val="1A15BAD9"/>
    <w:rsid w:val="1A2811DD"/>
    <w:rsid w:val="1A3775B4"/>
    <w:rsid w:val="1A63830C"/>
    <w:rsid w:val="1A865D8F"/>
    <w:rsid w:val="1AAFE359"/>
    <w:rsid w:val="1AB8E3EA"/>
    <w:rsid w:val="1AD5BD9B"/>
    <w:rsid w:val="1AFB8B60"/>
    <w:rsid w:val="1B104FC6"/>
    <w:rsid w:val="1B25EDA2"/>
    <w:rsid w:val="1B38D810"/>
    <w:rsid w:val="1B493B23"/>
    <w:rsid w:val="1B6A6F96"/>
    <w:rsid w:val="1BC52EBB"/>
    <w:rsid w:val="1BD5426E"/>
    <w:rsid w:val="1BDAC32E"/>
    <w:rsid w:val="1BDB75E9"/>
    <w:rsid w:val="1BF3F341"/>
    <w:rsid w:val="1C00BAC3"/>
    <w:rsid w:val="1C106B59"/>
    <w:rsid w:val="1C1E3DE1"/>
    <w:rsid w:val="1C2AB390"/>
    <w:rsid w:val="1C2F0D9E"/>
    <w:rsid w:val="1C47DF1F"/>
    <w:rsid w:val="1C4E46AC"/>
    <w:rsid w:val="1C62643E"/>
    <w:rsid w:val="1CA0247A"/>
    <w:rsid w:val="1CA728CF"/>
    <w:rsid w:val="1CC1BE91"/>
    <w:rsid w:val="1CCA03A9"/>
    <w:rsid w:val="1CFF74CB"/>
    <w:rsid w:val="1CFFD737"/>
    <w:rsid w:val="1D04A15B"/>
    <w:rsid w:val="1D0CC532"/>
    <w:rsid w:val="1D1EFBCE"/>
    <w:rsid w:val="1D27F165"/>
    <w:rsid w:val="1D3A7457"/>
    <w:rsid w:val="1D4E8F48"/>
    <w:rsid w:val="1D5B9274"/>
    <w:rsid w:val="1D61978F"/>
    <w:rsid w:val="1DA49450"/>
    <w:rsid w:val="1DB12E25"/>
    <w:rsid w:val="1DBA144F"/>
    <w:rsid w:val="1DC2411A"/>
    <w:rsid w:val="1E043BA5"/>
    <w:rsid w:val="1E05B141"/>
    <w:rsid w:val="1E1098E5"/>
    <w:rsid w:val="1E36400C"/>
    <w:rsid w:val="1E443864"/>
    <w:rsid w:val="1E480C25"/>
    <w:rsid w:val="1E5B6F22"/>
    <w:rsid w:val="1E5C59CA"/>
    <w:rsid w:val="1E653DAE"/>
    <w:rsid w:val="1E7838B7"/>
    <w:rsid w:val="1E8A59BB"/>
    <w:rsid w:val="1E95DC39"/>
    <w:rsid w:val="1EBC3909"/>
    <w:rsid w:val="1EBF6B35"/>
    <w:rsid w:val="1EC12C8C"/>
    <w:rsid w:val="1EC1853C"/>
    <w:rsid w:val="1EF6DE19"/>
    <w:rsid w:val="1F18A6C8"/>
    <w:rsid w:val="1F292128"/>
    <w:rsid w:val="1F36DBB4"/>
    <w:rsid w:val="1F4293CE"/>
    <w:rsid w:val="1F4633C9"/>
    <w:rsid w:val="1F551C24"/>
    <w:rsid w:val="1F5ADCDE"/>
    <w:rsid w:val="1F72EAF8"/>
    <w:rsid w:val="1F74811F"/>
    <w:rsid w:val="1F7DEA91"/>
    <w:rsid w:val="1F8FF333"/>
    <w:rsid w:val="1F933769"/>
    <w:rsid w:val="1FB3C630"/>
    <w:rsid w:val="200E4A9B"/>
    <w:rsid w:val="203CAF2D"/>
    <w:rsid w:val="203F29CB"/>
    <w:rsid w:val="204F7B45"/>
    <w:rsid w:val="2063961A"/>
    <w:rsid w:val="206FEF74"/>
    <w:rsid w:val="2071B6CB"/>
    <w:rsid w:val="207932BF"/>
    <w:rsid w:val="207A25F8"/>
    <w:rsid w:val="20A2626D"/>
    <w:rsid w:val="20A4576B"/>
    <w:rsid w:val="20E6D022"/>
    <w:rsid w:val="211982E2"/>
    <w:rsid w:val="21306B57"/>
    <w:rsid w:val="215217EE"/>
    <w:rsid w:val="215A7A08"/>
    <w:rsid w:val="218549E4"/>
    <w:rsid w:val="219EC22C"/>
    <w:rsid w:val="21A73DB1"/>
    <w:rsid w:val="21AF71DE"/>
    <w:rsid w:val="21D242BE"/>
    <w:rsid w:val="21DB245D"/>
    <w:rsid w:val="21FB0481"/>
    <w:rsid w:val="22284E2A"/>
    <w:rsid w:val="225C4E7E"/>
    <w:rsid w:val="225EE476"/>
    <w:rsid w:val="2260206C"/>
    <w:rsid w:val="2262E334"/>
    <w:rsid w:val="22673B25"/>
    <w:rsid w:val="22731AE0"/>
    <w:rsid w:val="2274F743"/>
    <w:rsid w:val="227BE36B"/>
    <w:rsid w:val="228A8F46"/>
    <w:rsid w:val="229D6FEA"/>
    <w:rsid w:val="22ADE9A7"/>
    <w:rsid w:val="22C1ACFE"/>
    <w:rsid w:val="22C3E116"/>
    <w:rsid w:val="22CC6529"/>
    <w:rsid w:val="2313E59E"/>
    <w:rsid w:val="2353EC33"/>
    <w:rsid w:val="235E3C07"/>
    <w:rsid w:val="235EBDDB"/>
    <w:rsid w:val="2362C99E"/>
    <w:rsid w:val="236CE022"/>
    <w:rsid w:val="2371D833"/>
    <w:rsid w:val="238A4123"/>
    <w:rsid w:val="238F8D3C"/>
    <w:rsid w:val="23AE34F3"/>
    <w:rsid w:val="23D9A593"/>
    <w:rsid w:val="23EC95C8"/>
    <w:rsid w:val="2418A464"/>
    <w:rsid w:val="2419BCAA"/>
    <w:rsid w:val="24380919"/>
    <w:rsid w:val="245673EC"/>
    <w:rsid w:val="245F6FFF"/>
    <w:rsid w:val="248A5D1C"/>
    <w:rsid w:val="248B2887"/>
    <w:rsid w:val="248E8371"/>
    <w:rsid w:val="249170EC"/>
    <w:rsid w:val="2494726E"/>
    <w:rsid w:val="24A0886D"/>
    <w:rsid w:val="24A08F13"/>
    <w:rsid w:val="24A75323"/>
    <w:rsid w:val="24B8219C"/>
    <w:rsid w:val="24D8ABFF"/>
    <w:rsid w:val="24E7D0F8"/>
    <w:rsid w:val="2504FF97"/>
    <w:rsid w:val="2527724E"/>
    <w:rsid w:val="25493324"/>
    <w:rsid w:val="2557BA29"/>
    <w:rsid w:val="25617CCC"/>
    <w:rsid w:val="25B1C6B4"/>
    <w:rsid w:val="25C6CC46"/>
    <w:rsid w:val="25E4D470"/>
    <w:rsid w:val="2607F822"/>
    <w:rsid w:val="267E2938"/>
    <w:rsid w:val="2694FF85"/>
    <w:rsid w:val="26A05EE1"/>
    <w:rsid w:val="26A4C83F"/>
    <w:rsid w:val="26C62758"/>
    <w:rsid w:val="26CDF308"/>
    <w:rsid w:val="26E68E45"/>
    <w:rsid w:val="26E71D97"/>
    <w:rsid w:val="26EFD7E4"/>
    <w:rsid w:val="2715DADD"/>
    <w:rsid w:val="27230179"/>
    <w:rsid w:val="273F861A"/>
    <w:rsid w:val="2749544F"/>
    <w:rsid w:val="2764D5CF"/>
    <w:rsid w:val="27845CEF"/>
    <w:rsid w:val="27A31807"/>
    <w:rsid w:val="27CF8ACB"/>
    <w:rsid w:val="27D4FCC4"/>
    <w:rsid w:val="27D5E0ED"/>
    <w:rsid w:val="27D6A290"/>
    <w:rsid w:val="27E0B972"/>
    <w:rsid w:val="2806604F"/>
    <w:rsid w:val="280A77F0"/>
    <w:rsid w:val="28574C52"/>
    <w:rsid w:val="2866119B"/>
    <w:rsid w:val="28712531"/>
    <w:rsid w:val="288964E9"/>
    <w:rsid w:val="28962D4E"/>
    <w:rsid w:val="28A56D13"/>
    <w:rsid w:val="28B09B53"/>
    <w:rsid w:val="28C55102"/>
    <w:rsid w:val="28DC2E80"/>
    <w:rsid w:val="28FCAFAD"/>
    <w:rsid w:val="290DE184"/>
    <w:rsid w:val="293AA750"/>
    <w:rsid w:val="295A8496"/>
    <w:rsid w:val="2967FFD1"/>
    <w:rsid w:val="2979AABA"/>
    <w:rsid w:val="298B4F5B"/>
    <w:rsid w:val="29B24FEC"/>
    <w:rsid w:val="29B3E1E1"/>
    <w:rsid w:val="29CDEE4D"/>
    <w:rsid w:val="29D3A670"/>
    <w:rsid w:val="29D951FB"/>
    <w:rsid w:val="29D977CA"/>
    <w:rsid w:val="29FBB68F"/>
    <w:rsid w:val="2A0F00D8"/>
    <w:rsid w:val="2A17C3B4"/>
    <w:rsid w:val="2A2EA42D"/>
    <w:rsid w:val="2A847CAB"/>
    <w:rsid w:val="2A890278"/>
    <w:rsid w:val="2AB39908"/>
    <w:rsid w:val="2ADCEECA"/>
    <w:rsid w:val="2AEBCF14"/>
    <w:rsid w:val="2B02AC24"/>
    <w:rsid w:val="2B058BA8"/>
    <w:rsid w:val="2B236286"/>
    <w:rsid w:val="2B418F15"/>
    <w:rsid w:val="2B46B034"/>
    <w:rsid w:val="2B4A15ED"/>
    <w:rsid w:val="2B59A8FC"/>
    <w:rsid w:val="2B610ACB"/>
    <w:rsid w:val="2B6F9F67"/>
    <w:rsid w:val="2B79AC60"/>
    <w:rsid w:val="2B87F539"/>
    <w:rsid w:val="2B94275C"/>
    <w:rsid w:val="2BA893B6"/>
    <w:rsid w:val="2BB7A271"/>
    <w:rsid w:val="2BB85D85"/>
    <w:rsid w:val="2BC31072"/>
    <w:rsid w:val="2BCE077D"/>
    <w:rsid w:val="2BFE4E5F"/>
    <w:rsid w:val="2C06A55F"/>
    <w:rsid w:val="2C1A61BE"/>
    <w:rsid w:val="2C401B4B"/>
    <w:rsid w:val="2C42911B"/>
    <w:rsid w:val="2C63E2B7"/>
    <w:rsid w:val="2C745169"/>
    <w:rsid w:val="2CA8E137"/>
    <w:rsid w:val="2CA9262D"/>
    <w:rsid w:val="2CB382B2"/>
    <w:rsid w:val="2CD4DC5E"/>
    <w:rsid w:val="2D01C8A1"/>
    <w:rsid w:val="2D0ABD49"/>
    <w:rsid w:val="2D454845"/>
    <w:rsid w:val="2DA23E40"/>
    <w:rsid w:val="2DAD448D"/>
    <w:rsid w:val="2DC8B921"/>
    <w:rsid w:val="2DEF95C7"/>
    <w:rsid w:val="2DF0916A"/>
    <w:rsid w:val="2E3158CD"/>
    <w:rsid w:val="2E38D454"/>
    <w:rsid w:val="2E479E5F"/>
    <w:rsid w:val="2EA41D46"/>
    <w:rsid w:val="2EA6542C"/>
    <w:rsid w:val="2F1AC77D"/>
    <w:rsid w:val="2F2D043E"/>
    <w:rsid w:val="2F54F77C"/>
    <w:rsid w:val="2F630F09"/>
    <w:rsid w:val="2F6AC137"/>
    <w:rsid w:val="2F6BC8A0"/>
    <w:rsid w:val="2F73B3AB"/>
    <w:rsid w:val="2F76A369"/>
    <w:rsid w:val="2F89E57B"/>
    <w:rsid w:val="2F8DA87B"/>
    <w:rsid w:val="2FA2B76E"/>
    <w:rsid w:val="2FAF99FD"/>
    <w:rsid w:val="2FE63F4E"/>
    <w:rsid w:val="2FFF8801"/>
    <w:rsid w:val="30090E5E"/>
    <w:rsid w:val="300DF1A1"/>
    <w:rsid w:val="301E9995"/>
    <w:rsid w:val="302E131D"/>
    <w:rsid w:val="3035C106"/>
    <w:rsid w:val="304DD48A"/>
    <w:rsid w:val="305CC5FD"/>
    <w:rsid w:val="3069508C"/>
    <w:rsid w:val="30928229"/>
    <w:rsid w:val="309FE321"/>
    <w:rsid w:val="30A26825"/>
    <w:rsid w:val="30B4A2EF"/>
    <w:rsid w:val="30D86189"/>
    <w:rsid w:val="30EAC908"/>
    <w:rsid w:val="30F01944"/>
    <w:rsid w:val="30F43B65"/>
    <w:rsid w:val="30FC470C"/>
    <w:rsid w:val="312BCFCE"/>
    <w:rsid w:val="312FF125"/>
    <w:rsid w:val="313AFF1D"/>
    <w:rsid w:val="314F5A32"/>
    <w:rsid w:val="3151B5F3"/>
    <w:rsid w:val="3155DF1D"/>
    <w:rsid w:val="316A7A7B"/>
    <w:rsid w:val="317B9EFE"/>
    <w:rsid w:val="31A4B6B9"/>
    <w:rsid w:val="31BAD019"/>
    <w:rsid w:val="31BE12C4"/>
    <w:rsid w:val="31EBF810"/>
    <w:rsid w:val="320B2BB1"/>
    <w:rsid w:val="321A0CD6"/>
    <w:rsid w:val="322A5CCA"/>
    <w:rsid w:val="324BBEFE"/>
    <w:rsid w:val="326263E7"/>
    <w:rsid w:val="32655C9E"/>
    <w:rsid w:val="3284C66A"/>
    <w:rsid w:val="32871760"/>
    <w:rsid w:val="32BEE337"/>
    <w:rsid w:val="32DE22DD"/>
    <w:rsid w:val="32E1DD44"/>
    <w:rsid w:val="32FF142A"/>
    <w:rsid w:val="330637B5"/>
    <w:rsid w:val="330CE23A"/>
    <w:rsid w:val="33102BAA"/>
    <w:rsid w:val="3321A8EF"/>
    <w:rsid w:val="3355F619"/>
    <w:rsid w:val="33564320"/>
    <w:rsid w:val="336123FD"/>
    <w:rsid w:val="33672560"/>
    <w:rsid w:val="339C24A9"/>
    <w:rsid w:val="33A25FFB"/>
    <w:rsid w:val="33AB2CA9"/>
    <w:rsid w:val="33BE15DB"/>
    <w:rsid w:val="33C8E168"/>
    <w:rsid w:val="33C91F6B"/>
    <w:rsid w:val="33F60D5A"/>
    <w:rsid w:val="33FEE90D"/>
    <w:rsid w:val="341A510A"/>
    <w:rsid w:val="34250139"/>
    <w:rsid w:val="3432A85A"/>
    <w:rsid w:val="3436C964"/>
    <w:rsid w:val="346CFCD9"/>
    <w:rsid w:val="3482F56C"/>
    <w:rsid w:val="348F0526"/>
    <w:rsid w:val="3490B563"/>
    <w:rsid w:val="34B25D20"/>
    <w:rsid w:val="34B6FD4D"/>
    <w:rsid w:val="34C0E981"/>
    <w:rsid w:val="34F86E9D"/>
    <w:rsid w:val="350D232F"/>
    <w:rsid w:val="350DCD0C"/>
    <w:rsid w:val="35389330"/>
    <w:rsid w:val="3543AEF7"/>
    <w:rsid w:val="35747582"/>
    <w:rsid w:val="35792458"/>
    <w:rsid w:val="3585CBDA"/>
    <w:rsid w:val="358A1B02"/>
    <w:rsid w:val="35997BF6"/>
    <w:rsid w:val="35AFAE73"/>
    <w:rsid w:val="35D7F03C"/>
    <w:rsid w:val="35E372E8"/>
    <w:rsid w:val="36116B36"/>
    <w:rsid w:val="362FA9F0"/>
    <w:rsid w:val="36351B79"/>
    <w:rsid w:val="36754C6D"/>
    <w:rsid w:val="3680247E"/>
    <w:rsid w:val="3699F26D"/>
    <w:rsid w:val="369F4521"/>
    <w:rsid w:val="36A2114F"/>
    <w:rsid w:val="36ABAB44"/>
    <w:rsid w:val="36B7480A"/>
    <w:rsid w:val="36C681A3"/>
    <w:rsid w:val="36CC214F"/>
    <w:rsid w:val="36D054D9"/>
    <w:rsid w:val="36D2B4AF"/>
    <w:rsid w:val="36D4C4A0"/>
    <w:rsid w:val="36EA8AC7"/>
    <w:rsid w:val="37144738"/>
    <w:rsid w:val="3718D56F"/>
    <w:rsid w:val="374235DE"/>
    <w:rsid w:val="377ACE88"/>
    <w:rsid w:val="377F844C"/>
    <w:rsid w:val="37860129"/>
    <w:rsid w:val="37875E8B"/>
    <w:rsid w:val="3787A26E"/>
    <w:rsid w:val="37AA49ED"/>
    <w:rsid w:val="37C2305F"/>
    <w:rsid w:val="37C25BB2"/>
    <w:rsid w:val="37C6CA4D"/>
    <w:rsid w:val="37C94509"/>
    <w:rsid w:val="37CE76C5"/>
    <w:rsid w:val="37D98926"/>
    <w:rsid w:val="37E05303"/>
    <w:rsid w:val="37EC177F"/>
    <w:rsid w:val="38088FA5"/>
    <w:rsid w:val="38145E93"/>
    <w:rsid w:val="3828578C"/>
    <w:rsid w:val="382DD0C7"/>
    <w:rsid w:val="387808BF"/>
    <w:rsid w:val="38895FE4"/>
    <w:rsid w:val="389101C9"/>
    <w:rsid w:val="38962B44"/>
    <w:rsid w:val="389EFF21"/>
    <w:rsid w:val="38A163C9"/>
    <w:rsid w:val="38A5034E"/>
    <w:rsid w:val="38B14843"/>
    <w:rsid w:val="38B53D24"/>
    <w:rsid w:val="38C3967E"/>
    <w:rsid w:val="38C5F7A2"/>
    <w:rsid w:val="38CE5F50"/>
    <w:rsid w:val="38D7C0B7"/>
    <w:rsid w:val="38F3C924"/>
    <w:rsid w:val="38F7C197"/>
    <w:rsid w:val="38FD32A3"/>
    <w:rsid w:val="390CE200"/>
    <w:rsid w:val="391AACD6"/>
    <w:rsid w:val="391D949F"/>
    <w:rsid w:val="39239F7C"/>
    <w:rsid w:val="392EB0CD"/>
    <w:rsid w:val="393AB89B"/>
    <w:rsid w:val="393E4A9B"/>
    <w:rsid w:val="395FEE0D"/>
    <w:rsid w:val="3964AA58"/>
    <w:rsid w:val="396C6144"/>
    <w:rsid w:val="3979DC58"/>
    <w:rsid w:val="397ADEE3"/>
    <w:rsid w:val="398C9F99"/>
    <w:rsid w:val="39907F54"/>
    <w:rsid w:val="399A8CB0"/>
    <w:rsid w:val="39A13E5E"/>
    <w:rsid w:val="39B93F53"/>
    <w:rsid w:val="39C356FE"/>
    <w:rsid w:val="39C4EF02"/>
    <w:rsid w:val="39C94235"/>
    <w:rsid w:val="39E061E9"/>
    <w:rsid w:val="39ECAF71"/>
    <w:rsid w:val="3A067E8B"/>
    <w:rsid w:val="3A08B05C"/>
    <w:rsid w:val="3A0CA91F"/>
    <w:rsid w:val="3A0DEC56"/>
    <w:rsid w:val="3A14BD16"/>
    <w:rsid w:val="3A335889"/>
    <w:rsid w:val="3A436B65"/>
    <w:rsid w:val="3A7228A1"/>
    <w:rsid w:val="3A7670BA"/>
    <w:rsid w:val="3A79EB7B"/>
    <w:rsid w:val="3A8F9F41"/>
    <w:rsid w:val="3A9267E6"/>
    <w:rsid w:val="3A92702D"/>
    <w:rsid w:val="3A94F7FC"/>
    <w:rsid w:val="3AB39585"/>
    <w:rsid w:val="3AB9D504"/>
    <w:rsid w:val="3AC4CBAB"/>
    <w:rsid w:val="3AECF65E"/>
    <w:rsid w:val="3AF4608E"/>
    <w:rsid w:val="3AF8C8EE"/>
    <w:rsid w:val="3AFD7907"/>
    <w:rsid w:val="3AFEE2BA"/>
    <w:rsid w:val="3B0FA857"/>
    <w:rsid w:val="3B2ACB47"/>
    <w:rsid w:val="3B454FCE"/>
    <w:rsid w:val="3B4F95F9"/>
    <w:rsid w:val="3BA1A3B2"/>
    <w:rsid w:val="3BA20F4A"/>
    <w:rsid w:val="3BA9B31D"/>
    <w:rsid w:val="3BB26899"/>
    <w:rsid w:val="3BBBE719"/>
    <w:rsid w:val="3BCFCAFB"/>
    <w:rsid w:val="3BDCFAFA"/>
    <w:rsid w:val="3BF01847"/>
    <w:rsid w:val="3BF1D006"/>
    <w:rsid w:val="3BF22F6B"/>
    <w:rsid w:val="3BF3ED90"/>
    <w:rsid w:val="3BF7101E"/>
    <w:rsid w:val="3C06E8C3"/>
    <w:rsid w:val="3C16028D"/>
    <w:rsid w:val="3C1760FC"/>
    <w:rsid w:val="3C2094D7"/>
    <w:rsid w:val="3C2291CF"/>
    <w:rsid w:val="3C368949"/>
    <w:rsid w:val="3C374491"/>
    <w:rsid w:val="3C387D94"/>
    <w:rsid w:val="3C4A4D69"/>
    <w:rsid w:val="3CB0275A"/>
    <w:rsid w:val="3CBF92E9"/>
    <w:rsid w:val="3CD49228"/>
    <w:rsid w:val="3CEB3F9C"/>
    <w:rsid w:val="3CEFA995"/>
    <w:rsid w:val="3CF66ABF"/>
    <w:rsid w:val="3CFA0FBB"/>
    <w:rsid w:val="3D17278C"/>
    <w:rsid w:val="3D182FE4"/>
    <w:rsid w:val="3D318F88"/>
    <w:rsid w:val="3D4D3A03"/>
    <w:rsid w:val="3D5C2103"/>
    <w:rsid w:val="3D5CF30C"/>
    <w:rsid w:val="3D674AE5"/>
    <w:rsid w:val="3D7026CE"/>
    <w:rsid w:val="3D7BA510"/>
    <w:rsid w:val="3DA4BE53"/>
    <w:rsid w:val="3DDD70A5"/>
    <w:rsid w:val="3DE14720"/>
    <w:rsid w:val="3DF61AAF"/>
    <w:rsid w:val="3E001B52"/>
    <w:rsid w:val="3E0A1BCF"/>
    <w:rsid w:val="3E27E475"/>
    <w:rsid w:val="3E3DE3DF"/>
    <w:rsid w:val="3E4BF7D2"/>
    <w:rsid w:val="3E6FE736"/>
    <w:rsid w:val="3E7DAA9B"/>
    <w:rsid w:val="3E83175F"/>
    <w:rsid w:val="3E91FCDC"/>
    <w:rsid w:val="3E955BCD"/>
    <w:rsid w:val="3EAD9E0C"/>
    <w:rsid w:val="3EAF5E96"/>
    <w:rsid w:val="3EB19CF6"/>
    <w:rsid w:val="3EBF48B1"/>
    <w:rsid w:val="3EE3CB36"/>
    <w:rsid w:val="3EE5100B"/>
    <w:rsid w:val="3EEEE230"/>
    <w:rsid w:val="3F012B2A"/>
    <w:rsid w:val="3F143DAB"/>
    <w:rsid w:val="3F1FD089"/>
    <w:rsid w:val="3F2750A2"/>
    <w:rsid w:val="3F5DAE24"/>
    <w:rsid w:val="3F60016E"/>
    <w:rsid w:val="3F76EEC3"/>
    <w:rsid w:val="3F834E7F"/>
    <w:rsid w:val="3FAAC650"/>
    <w:rsid w:val="3FB2FEB4"/>
    <w:rsid w:val="3FEFEDBC"/>
    <w:rsid w:val="3FF36345"/>
    <w:rsid w:val="400E3663"/>
    <w:rsid w:val="402EAC84"/>
    <w:rsid w:val="40432401"/>
    <w:rsid w:val="4043C8EC"/>
    <w:rsid w:val="404AA35C"/>
    <w:rsid w:val="40566B8A"/>
    <w:rsid w:val="40925B92"/>
    <w:rsid w:val="40A11CE1"/>
    <w:rsid w:val="40B453E1"/>
    <w:rsid w:val="40B80C97"/>
    <w:rsid w:val="40FA42D6"/>
    <w:rsid w:val="41262204"/>
    <w:rsid w:val="41268DA2"/>
    <w:rsid w:val="412FBE39"/>
    <w:rsid w:val="412FD2C9"/>
    <w:rsid w:val="413677F5"/>
    <w:rsid w:val="413D1639"/>
    <w:rsid w:val="416CC707"/>
    <w:rsid w:val="41811FF1"/>
    <w:rsid w:val="41B769A8"/>
    <w:rsid w:val="41DBB948"/>
    <w:rsid w:val="41E0C74E"/>
    <w:rsid w:val="41E37160"/>
    <w:rsid w:val="41EA3701"/>
    <w:rsid w:val="41F18733"/>
    <w:rsid w:val="41F47BBE"/>
    <w:rsid w:val="4205FEDB"/>
    <w:rsid w:val="4218EE21"/>
    <w:rsid w:val="423E0A43"/>
    <w:rsid w:val="424465D9"/>
    <w:rsid w:val="42492D32"/>
    <w:rsid w:val="4257704E"/>
    <w:rsid w:val="42621B6A"/>
    <w:rsid w:val="4263A5B3"/>
    <w:rsid w:val="426C68D4"/>
    <w:rsid w:val="4277062D"/>
    <w:rsid w:val="428DE970"/>
    <w:rsid w:val="429BAA2C"/>
    <w:rsid w:val="429EB6BC"/>
    <w:rsid w:val="42B1D610"/>
    <w:rsid w:val="42DA8432"/>
    <w:rsid w:val="42DBC550"/>
    <w:rsid w:val="42E020CA"/>
    <w:rsid w:val="42EA0E42"/>
    <w:rsid w:val="42EBDBE2"/>
    <w:rsid w:val="42ECB66A"/>
    <w:rsid w:val="433A3518"/>
    <w:rsid w:val="4347B8CC"/>
    <w:rsid w:val="43B3F779"/>
    <w:rsid w:val="43C9367B"/>
    <w:rsid w:val="43C9473B"/>
    <w:rsid w:val="43D85C99"/>
    <w:rsid w:val="43E689C0"/>
    <w:rsid w:val="44178F91"/>
    <w:rsid w:val="441F0D4E"/>
    <w:rsid w:val="445066FA"/>
    <w:rsid w:val="4454D828"/>
    <w:rsid w:val="44579828"/>
    <w:rsid w:val="446A56CC"/>
    <w:rsid w:val="44B9560C"/>
    <w:rsid w:val="44CE0B36"/>
    <w:rsid w:val="44FEE55C"/>
    <w:rsid w:val="45296A33"/>
    <w:rsid w:val="452F6A78"/>
    <w:rsid w:val="4534A930"/>
    <w:rsid w:val="45450F70"/>
    <w:rsid w:val="4598A3A6"/>
    <w:rsid w:val="459DCA4C"/>
    <w:rsid w:val="45C051BB"/>
    <w:rsid w:val="45CC7C50"/>
    <w:rsid w:val="45D761FA"/>
    <w:rsid w:val="45FE3B5D"/>
    <w:rsid w:val="460A1309"/>
    <w:rsid w:val="4633A4F1"/>
    <w:rsid w:val="46377271"/>
    <w:rsid w:val="463812D8"/>
    <w:rsid w:val="4646B149"/>
    <w:rsid w:val="464FB544"/>
    <w:rsid w:val="4658ACFF"/>
    <w:rsid w:val="4672B9CC"/>
    <w:rsid w:val="467F0A1B"/>
    <w:rsid w:val="468DC3C2"/>
    <w:rsid w:val="46A5F05C"/>
    <w:rsid w:val="46ADE4B3"/>
    <w:rsid w:val="46B4A006"/>
    <w:rsid w:val="46BCEF8F"/>
    <w:rsid w:val="47021E99"/>
    <w:rsid w:val="4731FF6A"/>
    <w:rsid w:val="4735B976"/>
    <w:rsid w:val="47606B0A"/>
    <w:rsid w:val="477764D3"/>
    <w:rsid w:val="478CDBF7"/>
    <w:rsid w:val="47ABDA2C"/>
    <w:rsid w:val="47AFF23A"/>
    <w:rsid w:val="47E33322"/>
    <w:rsid w:val="480C1647"/>
    <w:rsid w:val="48182C11"/>
    <w:rsid w:val="482212DA"/>
    <w:rsid w:val="482970E5"/>
    <w:rsid w:val="482C86B8"/>
    <w:rsid w:val="48496522"/>
    <w:rsid w:val="484A3E55"/>
    <w:rsid w:val="486AEA8C"/>
    <w:rsid w:val="4874C60E"/>
    <w:rsid w:val="487CDC06"/>
    <w:rsid w:val="4894B18E"/>
    <w:rsid w:val="48A5F61B"/>
    <w:rsid w:val="48DA5182"/>
    <w:rsid w:val="48E43FFC"/>
    <w:rsid w:val="48EB6AC7"/>
    <w:rsid w:val="48F383FA"/>
    <w:rsid w:val="48FAA899"/>
    <w:rsid w:val="492D2F57"/>
    <w:rsid w:val="4940C8F0"/>
    <w:rsid w:val="4940FE87"/>
    <w:rsid w:val="494A0A5D"/>
    <w:rsid w:val="49741D86"/>
    <w:rsid w:val="49829685"/>
    <w:rsid w:val="49B083F0"/>
    <w:rsid w:val="49B67120"/>
    <w:rsid w:val="49B86605"/>
    <w:rsid w:val="49CC2C68"/>
    <w:rsid w:val="49D7A483"/>
    <w:rsid w:val="49EAD9B0"/>
    <w:rsid w:val="49EE669C"/>
    <w:rsid w:val="4A00A461"/>
    <w:rsid w:val="4A075722"/>
    <w:rsid w:val="4A12ADF8"/>
    <w:rsid w:val="4A37456A"/>
    <w:rsid w:val="4A40A932"/>
    <w:rsid w:val="4A44AA96"/>
    <w:rsid w:val="4A5E8625"/>
    <w:rsid w:val="4A6A2DD2"/>
    <w:rsid w:val="4A74C7A1"/>
    <w:rsid w:val="4A7C9128"/>
    <w:rsid w:val="4A876192"/>
    <w:rsid w:val="4A8C9F39"/>
    <w:rsid w:val="4AAD1076"/>
    <w:rsid w:val="4ABC0F96"/>
    <w:rsid w:val="4AC8FA4E"/>
    <w:rsid w:val="4ADEA6DA"/>
    <w:rsid w:val="4ADFF410"/>
    <w:rsid w:val="4AEF586D"/>
    <w:rsid w:val="4AF56FB5"/>
    <w:rsid w:val="4B082214"/>
    <w:rsid w:val="4B2AD71A"/>
    <w:rsid w:val="4B338805"/>
    <w:rsid w:val="4B391C65"/>
    <w:rsid w:val="4B4AB5EE"/>
    <w:rsid w:val="4B57C73C"/>
    <w:rsid w:val="4B62D918"/>
    <w:rsid w:val="4B99B431"/>
    <w:rsid w:val="4BCF72F9"/>
    <w:rsid w:val="4BD67704"/>
    <w:rsid w:val="4BDC284C"/>
    <w:rsid w:val="4BDE601A"/>
    <w:rsid w:val="4BE178D9"/>
    <w:rsid w:val="4C2D71D7"/>
    <w:rsid w:val="4C4354D6"/>
    <w:rsid w:val="4C4376A3"/>
    <w:rsid w:val="4C601FE9"/>
    <w:rsid w:val="4C6B6876"/>
    <w:rsid w:val="4C6D99B3"/>
    <w:rsid w:val="4CAABC07"/>
    <w:rsid w:val="4CE2E10F"/>
    <w:rsid w:val="4D0F8BF0"/>
    <w:rsid w:val="4D29B800"/>
    <w:rsid w:val="4D31D97C"/>
    <w:rsid w:val="4D4E78CA"/>
    <w:rsid w:val="4D561262"/>
    <w:rsid w:val="4D60285A"/>
    <w:rsid w:val="4D6FCCF7"/>
    <w:rsid w:val="4D8942A8"/>
    <w:rsid w:val="4D8BCFD6"/>
    <w:rsid w:val="4D9411A8"/>
    <w:rsid w:val="4DA02250"/>
    <w:rsid w:val="4DA9DC6A"/>
    <w:rsid w:val="4DABC49F"/>
    <w:rsid w:val="4DC00D21"/>
    <w:rsid w:val="4DC47631"/>
    <w:rsid w:val="4DE4F4E1"/>
    <w:rsid w:val="4DF6C7E5"/>
    <w:rsid w:val="4E10A8C4"/>
    <w:rsid w:val="4E130B7C"/>
    <w:rsid w:val="4E2E016C"/>
    <w:rsid w:val="4E4D9BAD"/>
    <w:rsid w:val="4E579209"/>
    <w:rsid w:val="4E6BD1A2"/>
    <w:rsid w:val="4E7403C4"/>
    <w:rsid w:val="4E846A18"/>
    <w:rsid w:val="4EA66888"/>
    <w:rsid w:val="4EAE145C"/>
    <w:rsid w:val="4EB13D1D"/>
    <w:rsid w:val="4EF0390F"/>
    <w:rsid w:val="4EF8EA63"/>
    <w:rsid w:val="4EFC21EB"/>
    <w:rsid w:val="4F1583F8"/>
    <w:rsid w:val="4F20B43B"/>
    <w:rsid w:val="4F2F84D6"/>
    <w:rsid w:val="4F40EBA8"/>
    <w:rsid w:val="4F42E723"/>
    <w:rsid w:val="4F64DABF"/>
    <w:rsid w:val="4F9370CF"/>
    <w:rsid w:val="4F99544D"/>
    <w:rsid w:val="4FA7722C"/>
    <w:rsid w:val="4FD17238"/>
    <w:rsid w:val="4FE1C2BA"/>
    <w:rsid w:val="4FF87527"/>
    <w:rsid w:val="4FF965F2"/>
    <w:rsid w:val="4FFB6381"/>
    <w:rsid w:val="500606E8"/>
    <w:rsid w:val="5008F79B"/>
    <w:rsid w:val="5023AC67"/>
    <w:rsid w:val="50313E34"/>
    <w:rsid w:val="50361C65"/>
    <w:rsid w:val="503E73C0"/>
    <w:rsid w:val="5069C393"/>
    <w:rsid w:val="5082E598"/>
    <w:rsid w:val="508BF11A"/>
    <w:rsid w:val="50A04775"/>
    <w:rsid w:val="50BA8161"/>
    <w:rsid w:val="50D4B32D"/>
    <w:rsid w:val="5109914C"/>
    <w:rsid w:val="510E0BFE"/>
    <w:rsid w:val="5114FCBC"/>
    <w:rsid w:val="5139F18E"/>
    <w:rsid w:val="514425D6"/>
    <w:rsid w:val="514700C9"/>
    <w:rsid w:val="515FBBFA"/>
    <w:rsid w:val="5161F2FA"/>
    <w:rsid w:val="51644E12"/>
    <w:rsid w:val="516904A4"/>
    <w:rsid w:val="5173F977"/>
    <w:rsid w:val="51755A22"/>
    <w:rsid w:val="518226A2"/>
    <w:rsid w:val="518A82A3"/>
    <w:rsid w:val="5197E971"/>
    <w:rsid w:val="519E9180"/>
    <w:rsid w:val="51B0E646"/>
    <w:rsid w:val="51B818C7"/>
    <w:rsid w:val="51CF44BF"/>
    <w:rsid w:val="51E56075"/>
    <w:rsid w:val="51E66E9F"/>
    <w:rsid w:val="521EF95B"/>
    <w:rsid w:val="52241687"/>
    <w:rsid w:val="522C5D1A"/>
    <w:rsid w:val="52390777"/>
    <w:rsid w:val="52396D2B"/>
    <w:rsid w:val="523AEBCA"/>
    <w:rsid w:val="52530AEC"/>
    <w:rsid w:val="528F0001"/>
    <w:rsid w:val="528FDA47"/>
    <w:rsid w:val="52B76BFE"/>
    <w:rsid w:val="52C1CC04"/>
    <w:rsid w:val="52CA83D2"/>
    <w:rsid w:val="52E67EEF"/>
    <w:rsid w:val="52EB3B0C"/>
    <w:rsid w:val="530306A0"/>
    <w:rsid w:val="53276E2C"/>
    <w:rsid w:val="5339FB81"/>
    <w:rsid w:val="533BDA91"/>
    <w:rsid w:val="53491E67"/>
    <w:rsid w:val="53622CA9"/>
    <w:rsid w:val="53897525"/>
    <w:rsid w:val="53A5FF43"/>
    <w:rsid w:val="53AA45CA"/>
    <w:rsid w:val="53BA827D"/>
    <w:rsid w:val="53C2C3EB"/>
    <w:rsid w:val="53D0982C"/>
    <w:rsid w:val="53D61AC6"/>
    <w:rsid w:val="53D670D2"/>
    <w:rsid w:val="53EA1F6F"/>
    <w:rsid w:val="53F49064"/>
    <w:rsid w:val="540866C9"/>
    <w:rsid w:val="540AB730"/>
    <w:rsid w:val="540CC792"/>
    <w:rsid w:val="540FCC87"/>
    <w:rsid w:val="541129D3"/>
    <w:rsid w:val="541470FE"/>
    <w:rsid w:val="5433C5BA"/>
    <w:rsid w:val="5447C60F"/>
    <w:rsid w:val="54595DAF"/>
    <w:rsid w:val="5459B03F"/>
    <w:rsid w:val="5479264F"/>
    <w:rsid w:val="548EB5C8"/>
    <w:rsid w:val="5492D821"/>
    <w:rsid w:val="54BFA183"/>
    <w:rsid w:val="54D2576A"/>
    <w:rsid w:val="54DD6280"/>
    <w:rsid w:val="54E22725"/>
    <w:rsid w:val="54E78DE1"/>
    <w:rsid w:val="54EB0E18"/>
    <w:rsid w:val="54F29123"/>
    <w:rsid w:val="55069106"/>
    <w:rsid w:val="551846CC"/>
    <w:rsid w:val="5528B02B"/>
    <w:rsid w:val="55355D83"/>
    <w:rsid w:val="553AED34"/>
    <w:rsid w:val="55568D9A"/>
    <w:rsid w:val="55570EF0"/>
    <w:rsid w:val="5561BC31"/>
    <w:rsid w:val="5577F145"/>
    <w:rsid w:val="55BB80DA"/>
    <w:rsid w:val="55CF70BF"/>
    <w:rsid w:val="55F220B0"/>
    <w:rsid w:val="56004FAA"/>
    <w:rsid w:val="56153E19"/>
    <w:rsid w:val="56519F92"/>
    <w:rsid w:val="565D8228"/>
    <w:rsid w:val="56694BAA"/>
    <w:rsid w:val="567DE5FB"/>
    <w:rsid w:val="569B48D6"/>
    <w:rsid w:val="56B94FC3"/>
    <w:rsid w:val="56C68ABD"/>
    <w:rsid w:val="56DD8BCE"/>
    <w:rsid w:val="56F0D608"/>
    <w:rsid w:val="570C7FCF"/>
    <w:rsid w:val="574FB9EC"/>
    <w:rsid w:val="575B9699"/>
    <w:rsid w:val="5762C060"/>
    <w:rsid w:val="57750C5E"/>
    <w:rsid w:val="5775B918"/>
    <w:rsid w:val="577E06EB"/>
    <w:rsid w:val="5799D4C9"/>
    <w:rsid w:val="57A5DC7E"/>
    <w:rsid w:val="57AD8E8F"/>
    <w:rsid w:val="57D115BD"/>
    <w:rsid w:val="57DFD303"/>
    <w:rsid w:val="57EA7C52"/>
    <w:rsid w:val="57F5CEFA"/>
    <w:rsid w:val="57F93BBB"/>
    <w:rsid w:val="581EEE0B"/>
    <w:rsid w:val="58267DCA"/>
    <w:rsid w:val="58352350"/>
    <w:rsid w:val="584148B1"/>
    <w:rsid w:val="5843817A"/>
    <w:rsid w:val="58548FFB"/>
    <w:rsid w:val="588C8466"/>
    <w:rsid w:val="589E6CEE"/>
    <w:rsid w:val="58B2A6F3"/>
    <w:rsid w:val="58C16AE3"/>
    <w:rsid w:val="58D599DA"/>
    <w:rsid w:val="58DAAA99"/>
    <w:rsid w:val="58E9FB48"/>
    <w:rsid w:val="58F8CAC9"/>
    <w:rsid w:val="5901DB03"/>
    <w:rsid w:val="590454A1"/>
    <w:rsid w:val="592187FE"/>
    <w:rsid w:val="593408A1"/>
    <w:rsid w:val="5975D923"/>
    <w:rsid w:val="598A0E4F"/>
    <w:rsid w:val="5992D8FB"/>
    <w:rsid w:val="5996532E"/>
    <w:rsid w:val="59990B9B"/>
    <w:rsid w:val="59DF0A0B"/>
    <w:rsid w:val="59DFF402"/>
    <w:rsid w:val="59EFBE1C"/>
    <w:rsid w:val="5A086B27"/>
    <w:rsid w:val="5A12B8E6"/>
    <w:rsid w:val="5A25D6A2"/>
    <w:rsid w:val="5A2B1BB6"/>
    <w:rsid w:val="5A33CD54"/>
    <w:rsid w:val="5A445D98"/>
    <w:rsid w:val="5A4B3FCE"/>
    <w:rsid w:val="5A56C827"/>
    <w:rsid w:val="5A5A134E"/>
    <w:rsid w:val="5A5F911E"/>
    <w:rsid w:val="5A781813"/>
    <w:rsid w:val="5A83C1FD"/>
    <w:rsid w:val="5A86EC7C"/>
    <w:rsid w:val="5A899A8B"/>
    <w:rsid w:val="5A8C9CAD"/>
    <w:rsid w:val="5ACAD5AE"/>
    <w:rsid w:val="5ADCB042"/>
    <w:rsid w:val="5AE524FB"/>
    <w:rsid w:val="5AE6C97D"/>
    <w:rsid w:val="5AFCFB04"/>
    <w:rsid w:val="5B0E4985"/>
    <w:rsid w:val="5B0F88A1"/>
    <w:rsid w:val="5B17D60E"/>
    <w:rsid w:val="5B24AF5F"/>
    <w:rsid w:val="5B406085"/>
    <w:rsid w:val="5B532409"/>
    <w:rsid w:val="5B67DBA2"/>
    <w:rsid w:val="5B9C9160"/>
    <w:rsid w:val="5BA4C55E"/>
    <w:rsid w:val="5BAD6B37"/>
    <w:rsid w:val="5BC80818"/>
    <w:rsid w:val="5BF928D6"/>
    <w:rsid w:val="5BFA0BFB"/>
    <w:rsid w:val="5BFB42E1"/>
    <w:rsid w:val="5C10D24E"/>
    <w:rsid w:val="5C201A4C"/>
    <w:rsid w:val="5C24446A"/>
    <w:rsid w:val="5C30481E"/>
    <w:rsid w:val="5C362142"/>
    <w:rsid w:val="5C423DAD"/>
    <w:rsid w:val="5C42E260"/>
    <w:rsid w:val="5C450D6C"/>
    <w:rsid w:val="5C5E25A4"/>
    <w:rsid w:val="5C7464A1"/>
    <w:rsid w:val="5C749D85"/>
    <w:rsid w:val="5C77A0E8"/>
    <w:rsid w:val="5C789A99"/>
    <w:rsid w:val="5C80E3F3"/>
    <w:rsid w:val="5C83871D"/>
    <w:rsid w:val="5C8B39D8"/>
    <w:rsid w:val="5C974752"/>
    <w:rsid w:val="5CBCF97F"/>
    <w:rsid w:val="5CD493A1"/>
    <w:rsid w:val="5CF043E9"/>
    <w:rsid w:val="5CFB4628"/>
    <w:rsid w:val="5CFEA2E0"/>
    <w:rsid w:val="5D03F6E5"/>
    <w:rsid w:val="5D1149A5"/>
    <w:rsid w:val="5D54A95E"/>
    <w:rsid w:val="5D5732E8"/>
    <w:rsid w:val="5D616C78"/>
    <w:rsid w:val="5D749F18"/>
    <w:rsid w:val="5D79923B"/>
    <w:rsid w:val="5D7AD30B"/>
    <w:rsid w:val="5D840145"/>
    <w:rsid w:val="5D98C451"/>
    <w:rsid w:val="5DB2AA0A"/>
    <w:rsid w:val="5DD75ADC"/>
    <w:rsid w:val="5DE21A20"/>
    <w:rsid w:val="5DFB81EE"/>
    <w:rsid w:val="5E048565"/>
    <w:rsid w:val="5E813453"/>
    <w:rsid w:val="5EAC985D"/>
    <w:rsid w:val="5EBE9B65"/>
    <w:rsid w:val="5EC58355"/>
    <w:rsid w:val="5EEDECCB"/>
    <w:rsid w:val="5F1DEA09"/>
    <w:rsid w:val="5F23B42A"/>
    <w:rsid w:val="5F29C04B"/>
    <w:rsid w:val="5F7133FE"/>
    <w:rsid w:val="5F8992F6"/>
    <w:rsid w:val="5F916A5D"/>
    <w:rsid w:val="5F9FE1BF"/>
    <w:rsid w:val="5FD44893"/>
    <w:rsid w:val="5FD5CBC5"/>
    <w:rsid w:val="5FE8D640"/>
    <w:rsid w:val="5FECBFDE"/>
    <w:rsid w:val="5FF66A41"/>
    <w:rsid w:val="6026A969"/>
    <w:rsid w:val="6047BC57"/>
    <w:rsid w:val="605C7237"/>
    <w:rsid w:val="607555E3"/>
    <w:rsid w:val="60868740"/>
    <w:rsid w:val="609CFBEE"/>
    <w:rsid w:val="609FCD65"/>
    <w:rsid w:val="60AA98DC"/>
    <w:rsid w:val="60ABF06D"/>
    <w:rsid w:val="60BBCC80"/>
    <w:rsid w:val="60C091BF"/>
    <w:rsid w:val="60F87862"/>
    <w:rsid w:val="6122C284"/>
    <w:rsid w:val="6127EF73"/>
    <w:rsid w:val="612F0EEA"/>
    <w:rsid w:val="61309DBC"/>
    <w:rsid w:val="616742D4"/>
    <w:rsid w:val="616CEB80"/>
    <w:rsid w:val="6191D9CD"/>
    <w:rsid w:val="619D3D8B"/>
    <w:rsid w:val="61A01DF6"/>
    <w:rsid w:val="61BC43B7"/>
    <w:rsid w:val="61F3E7DC"/>
    <w:rsid w:val="620683EF"/>
    <w:rsid w:val="6208ECC3"/>
    <w:rsid w:val="625593F2"/>
    <w:rsid w:val="6276C15A"/>
    <w:rsid w:val="629EEA7D"/>
    <w:rsid w:val="62A7190B"/>
    <w:rsid w:val="62C94E67"/>
    <w:rsid w:val="62D1FCE0"/>
    <w:rsid w:val="62D820AA"/>
    <w:rsid w:val="63079C51"/>
    <w:rsid w:val="6310601A"/>
    <w:rsid w:val="6311C464"/>
    <w:rsid w:val="63238755"/>
    <w:rsid w:val="6336BD32"/>
    <w:rsid w:val="63399429"/>
    <w:rsid w:val="633E9403"/>
    <w:rsid w:val="6371CAD4"/>
    <w:rsid w:val="638C5F59"/>
    <w:rsid w:val="638E3ABF"/>
    <w:rsid w:val="63A6293A"/>
    <w:rsid w:val="63A9121A"/>
    <w:rsid w:val="63AEB397"/>
    <w:rsid w:val="63B6B265"/>
    <w:rsid w:val="63BF185C"/>
    <w:rsid w:val="63C4E153"/>
    <w:rsid w:val="63C5C78F"/>
    <w:rsid w:val="641A3DFE"/>
    <w:rsid w:val="641B2FBF"/>
    <w:rsid w:val="64314FFE"/>
    <w:rsid w:val="64467980"/>
    <w:rsid w:val="6455BDF3"/>
    <w:rsid w:val="64672C1E"/>
    <w:rsid w:val="6496E31D"/>
    <w:rsid w:val="64BDD993"/>
    <w:rsid w:val="64BE569D"/>
    <w:rsid w:val="64E6CDE2"/>
    <w:rsid w:val="65208F91"/>
    <w:rsid w:val="65566E3D"/>
    <w:rsid w:val="655EF2A4"/>
    <w:rsid w:val="6562B793"/>
    <w:rsid w:val="6564F66C"/>
    <w:rsid w:val="65A4381A"/>
    <w:rsid w:val="65BA8550"/>
    <w:rsid w:val="65CD2DC8"/>
    <w:rsid w:val="66001716"/>
    <w:rsid w:val="660A3FCC"/>
    <w:rsid w:val="6611CBE7"/>
    <w:rsid w:val="661363C3"/>
    <w:rsid w:val="661370C3"/>
    <w:rsid w:val="66272148"/>
    <w:rsid w:val="665DF3E8"/>
    <w:rsid w:val="668AF44A"/>
    <w:rsid w:val="668D2B3C"/>
    <w:rsid w:val="66B96C47"/>
    <w:rsid w:val="66C0CECA"/>
    <w:rsid w:val="66C4BCF6"/>
    <w:rsid w:val="66CA958E"/>
    <w:rsid w:val="66CED792"/>
    <w:rsid w:val="67000628"/>
    <w:rsid w:val="6706E12D"/>
    <w:rsid w:val="6719F6EF"/>
    <w:rsid w:val="6757F4B9"/>
    <w:rsid w:val="675ED4DE"/>
    <w:rsid w:val="676E6F6A"/>
    <w:rsid w:val="6781747C"/>
    <w:rsid w:val="6781E63B"/>
    <w:rsid w:val="6783EE50"/>
    <w:rsid w:val="679ACBD9"/>
    <w:rsid w:val="67A0F05A"/>
    <w:rsid w:val="67A553FC"/>
    <w:rsid w:val="67C0FB87"/>
    <w:rsid w:val="67CD68C2"/>
    <w:rsid w:val="67EA0D5B"/>
    <w:rsid w:val="67F2E3A1"/>
    <w:rsid w:val="6803A73D"/>
    <w:rsid w:val="6804DC24"/>
    <w:rsid w:val="68230D66"/>
    <w:rsid w:val="683074D4"/>
    <w:rsid w:val="683A086F"/>
    <w:rsid w:val="68473589"/>
    <w:rsid w:val="684D4244"/>
    <w:rsid w:val="685331A3"/>
    <w:rsid w:val="685664A8"/>
    <w:rsid w:val="689B9153"/>
    <w:rsid w:val="68BC76FB"/>
    <w:rsid w:val="68BF387D"/>
    <w:rsid w:val="68CADDA2"/>
    <w:rsid w:val="68E94614"/>
    <w:rsid w:val="691E63AF"/>
    <w:rsid w:val="69203A93"/>
    <w:rsid w:val="6933E108"/>
    <w:rsid w:val="693CC132"/>
    <w:rsid w:val="693E6D1D"/>
    <w:rsid w:val="69408834"/>
    <w:rsid w:val="6947BBCD"/>
    <w:rsid w:val="695608A7"/>
    <w:rsid w:val="6978ADCD"/>
    <w:rsid w:val="69793537"/>
    <w:rsid w:val="697AE657"/>
    <w:rsid w:val="69AD7407"/>
    <w:rsid w:val="69B2FE35"/>
    <w:rsid w:val="69C2C37C"/>
    <w:rsid w:val="69CA62EE"/>
    <w:rsid w:val="69CB6F9A"/>
    <w:rsid w:val="69CE9E64"/>
    <w:rsid w:val="69E2639B"/>
    <w:rsid w:val="69E6E60B"/>
    <w:rsid w:val="69F229DA"/>
    <w:rsid w:val="6A019F21"/>
    <w:rsid w:val="6A2173B5"/>
    <w:rsid w:val="6A2446DA"/>
    <w:rsid w:val="6A452A31"/>
    <w:rsid w:val="6A63E20B"/>
    <w:rsid w:val="6A994FD3"/>
    <w:rsid w:val="6AB10D8E"/>
    <w:rsid w:val="6AC12A49"/>
    <w:rsid w:val="6AC61810"/>
    <w:rsid w:val="6AD8866F"/>
    <w:rsid w:val="6AE24B6D"/>
    <w:rsid w:val="6AF0CDA7"/>
    <w:rsid w:val="6B03E650"/>
    <w:rsid w:val="6B3720BA"/>
    <w:rsid w:val="6B3ED516"/>
    <w:rsid w:val="6B3F997E"/>
    <w:rsid w:val="6B40B363"/>
    <w:rsid w:val="6B43FCEE"/>
    <w:rsid w:val="6B9233E6"/>
    <w:rsid w:val="6BA362E8"/>
    <w:rsid w:val="6BB18596"/>
    <w:rsid w:val="6BBE822F"/>
    <w:rsid w:val="6BD11C3C"/>
    <w:rsid w:val="6BE8A646"/>
    <w:rsid w:val="6C2957BE"/>
    <w:rsid w:val="6C2AEE1A"/>
    <w:rsid w:val="6C30F530"/>
    <w:rsid w:val="6C3E7BEE"/>
    <w:rsid w:val="6C45D20C"/>
    <w:rsid w:val="6C5369C4"/>
    <w:rsid w:val="6C8161E8"/>
    <w:rsid w:val="6C8DE4FD"/>
    <w:rsid w:val="6CA1DB26"/>
    <w:rsid w:val="6CA45602"/>
    <w:rsid w:val="6CD10555"/>
    <w:rsid w:val="6CD94163"/>
    <w:rsid w:val="6D03ABA0"/>
    <w:rsid w:val="6D07DBC2"/>
    <w:rsid w:val="6D086036"/>
    <w:rsid w:val="6D14FA53"/>
    <w:rsid w:val="6D1BCA89"/>
    <w:rsid w:val="6D1EBB90"/>
    <w:rsid w:val="6D244DFF"/>
    <w:rsid w:val="6D2704C7"/>
    <w:rsid w:val="6D2839DD"/>
    <w:rsid w:val="6D5C8C3D"/>
    <w:rsid w:val="6D67B5BC"/>
    <w:rsid w:val="6D744727"/>
    <w:rsid w:val="6D75C905"/>
    <w:rsid w:val="6D808F75"/>
    <w:rsid w:val="6DAD4009"/>
    <w:rsid w:val="6DB67AB1"/>
    <w:rsid w:val="6DBA5359"/>
    <w:rsid w:val="6DC357B4"/>
    <w:rsid w:val="6DC48B95"/>
    <w:rsid w:val="6DD60BD5"/>
    <w:rsid w:val="6DE75DC3"/>
    <w:rsid w:val="6DEB43AD"/>
    <w:rsid w:val="6E3E20AA"/>
    <w:rsid w:val="6E40F990"/>
    <w:rsid w:val="6E55E3A6"/>
    <w:rsid w:val="6E59D6E6"/>
    <w:rsid w:val="6E6B6969"/>
    <w:rsid w:val="6E710EA0"/>
    <w:rsid w:val="6E725D94"/>
    <w:rsid w:val="6E78A619"/>
    <w:rsid w:val="6E7A50DF"/>
    <w:rsid w:val="6E7A5273"/>
    <w:rsid w:val="6E85E59D"/>
    <w:rsid w:val="6EA53FDA"/>
    <w:rsid w:val="6ECA3C9E"/>
    <w:rsid w:val="6ED439E1"/>
    <w:rsid w:val="6ED4DBAA"/>
    <w:rsid w:val="6ED9E636"/>
    <w:rsid w:val="6EE66EC3"/>
    <w:rsid w:val="6EE71363"/>
    <w:rsid w:val="6EFBA5E3"/>
    <w:rsid w:val="6F1E4D1C"/>
    <w:rsid w:val="6F214BD6"/>
    <w:rsid w:val="6F2732ED"/>
    <w:rsid w:val="6F31DF13"/>
    <w:rsid w:val="6F41C348"/>
    <w:rsid w:val="6F43BE6C"/>
    <w:rsid w:val="6F49D63B"/>
    <w:rsid w:val="6F69636D"/>
    <w:rsid w:val="6F6FF51C"/>
    <w:rsid w:val="6F8583C3"/>
    <w:rsid w:val="6FA54A85"/>
    <w:rsid w:val="6FB591A2"/>
    <w:rsid w:val="6FC42FAA"/>
    <w:rsid w:val="6FE6FCA5"/>
    <w:rsid w:val="6FF9A1DF"/>
    <w:rsid w:val="70000F01"/>
    <w:rsid w:val="7008D97B"/>
    <w:rsid w:val="70230032"/>
    <w:rsid w:val="7028ABAF"/>
    <w:rsid w:val="702F474A"/>
    <w:rsid w:val="704BAF36"/>
    <w:rsid w:val="70568AA7"/>
    <w:rsid w:val="707E3723"/>
    <w:rsid w:val="707F8DB5"/>
    <w:rsid w:val="708AE379"/>
    <w:rsid w:val="708F6D16"/>
    <w:rsid w:val="709D2B67"/>
    <w:rsid w:val="70B68AF8"/>
    <w:rsid w:val="70C3CCAF"/>
    <w:rsid w:val="70D83D8C"/>
    <w:rsid w:val="70DC5FC6"/>
    <w:rsid w:val="70EB3E23"/>
    <w:rsid w:val="70EC1E3F"/>
    <w:rsid w:val="70FC3D96"/>
    <w:rsid w:val="7118768B"/>
    <w:rsid w:val="71409A5C"/>
    <w:rsid w:val="71431F81"/>
    <w:rsid w:val="714C5C13"/>
    <w:rsid w:val="715AE858"/>
    <w:rsid w:val="715C3E04"/>
    <w:rsid w:val="7178CF17"/>
    <w:rsid w:val="718F3B32"/>
    <w:rsid w:val="71905210"/>
    <w:rsid w:val="719633F3"/>
    <w:rsid w:val="71A35442"/>
    <w:rsid w:val="71A5F846"/>
    <w:rsid w:val="71A76CAD"/>
    <w:rsid w:val="71C07CC6"/>
    <w:rsid w:val="71D320EA"/>
    <w:rsid w:val="71D4F822"/>
    <w:rsid w:val="71DAC374"/>
    <w:rsid w:val="71FCA588"/>
    <w:rsid w:val="721BC057"/>
    <w:rsid w:val="72294A3F"/>
    <w:rsid w:val="7244396B"/>
    <w:rsid w:val="724EDAF2"/>
    <w:rsid w:val="725D606E"/>
    <w:rsid w:val="725FE1F2"/>
    <w:rsid w:val="7269BB75"/>
    <w:rsid w:val="7289F294"/>
    <w:rsid w:val="72C527F7"/>
    <w:rsid w:val="72E87941"/>
    <w:rsid w:val="72FC99D8"/>
    <w:rsid w:val="73035F8D"/>
    <w:rsid w:val="732021B1"/>
    <w:rsid w:val="73571F43"/>
    <w:rsid w:val="7380DAD2"/>
    <w:rsid w:val="7385AAD2"/>
    <w:rsid w:val="739CE58C"/>
    <w:rsid w:val="73A222FE"/>
    <w:rsid w:val="73A342E4"/>
    <w:rsid w:val="73DEE45A"/>
    <w:rsid w:val="73ECA777"/>
    <w:rsid w:val="73EEC36F"/>
    <w:rsid w:val="740292CC"/>
    <w:rsid w:val="740748A5"/>
    <w:rsid w:val="740B984E"/>
    <w:rsid w:val="74136919"/>
    <w:rsid w:val="7418F3DC"/>
    <w:rsid w:val="741B01A9"/>
    <w:rsid w:val="741EAF05"/>
    <w:rsid w:val="742C69CE"/>
    <w:rsid w:val="744D5FA8"/>
    <w:rsid w:val="7460D8B0"/>
    <w:rsid w:val="746727A2"/>
    <w:rsid w:val="747FBF02"/>
    <w:rsid w:val="7497694D"/>
    <w:rsid w:val="74B2159B"/>
    <w:rsid w:val="74C9EA1F"/>
    <w:rsid w:val="74CF331F"/>
    <w:rsid w:val="74CFB3F9"/>
    <w:rsid w:val="74D60BEB"/>
    <w:rsid w:val="74F9AF24"/>
    <w:rsid w:val="7501B375"/>
    <w:rsid w:val="75198093"/>
    <w:rsid w:val="752AB8E9"/>
    <w:rsid w:val="7539A2F8"/>
    <w:rsid w:val="75481405"/>
    <w:rsid w:val="754BD6E4"/>
    <w:rsid w:val="757015C2"/>
    <w:rsid w:val="7587FD50"/>
    <w:rsid w:val="758B1A6B"/>
    <w:rsid w:val="75A7C7B2"/>
    <w:rsid w:val="75DF860E"/>
    <w:rsid w:val="7622F432"/>
    <w:rsid w:val="7631E04C"/>
    <w:rsid w:val="765FC9AC"/>
    <w:rsid w:val="76751D44"/>
    <w:rsid w:val="76757983"/>
    <w:rsid w:val="769325E7"/>
    <w:rsid w:val="76A02151"/>
    <w:rsid w:val="76A27748"/>
    <w:rsid w:val="76B68FAE"/>
    <w:rsid w:val="76CB9A34"/>
    <w:rsid w:val="76D0B9B5"/>
    <w:rsid w:val="76F2A9B6"/>
    <w:rsid w:val="7706317E"/>
    <w:rsid w:val="772A62AB"/>
    <w:rsid w:val="77318F76"/>
    <w:rsid w:val="77418554"/>
    <w:rsid w:val="7762585E"/>
    <w:rsid w:val="778B7BC0"/>
    <w:rsid w:val="779C9BA5"/>
    <w:rsid w:val="77A54A38"/>
    <w:rsid w:val="77C129E0"/>
    <w:rsid w:val="77C4E22C"/>
    <w:rsid w:val="77D77A6C"/>
    <w:rsid w:val="77F17CBC"/>
    <w:rsid w:val="77FD2E20"/>
    <w:rsid w:val="78089F26"/>
    <w:rsid w:val="78197062"/>
    <w:rsid w:val="7835CF91"/>
    <w:rsid w:val="78646C88"/>
    <w:rsid w:val="78672FA6"/>
    <w:rsid w:val="786BB6FF"/>
    <w:rsid w:val="7870B802"/>
    <w:rsid w:val="78958207"/>
    <w:rsid w:val="78966216"/>
    <w:rsid w:val="78ADB4AD"/>
    <w:rsid w:val="78AE212F"/>
    <w:rsid w:val="78EE403E"/>
    <w:rsid w:val="79068527"/>
    <w:rsid w:val="7912D67D"/>
    <w:rsid w:val="7916272D"/>
    <w:rsid w:val="792A7D72"/>
    <w:rsid w:val="793072BC"/>
    <w:rsid w:val="79327BB7"/>
    <w:rsid w:val="7937FEB9"/>
    <w:rsid w:val="7938A6EC"/>
    <w:rsid w:val="79481C7C"/>
    <w:rsid w:val="79638B06"/>
    <w:rsid w:val="79760792"/>
    <w:rsid w:val="797991C7"/>
    <w:rsid w:val="79824F37"/>
    <w:rsid w:val="7984DDFE"/>
    <w:rsid w:val="7986C101"/>
    <w:rsid w:val="798C6F2B"/>
    <w:rsid w:val="79ACB3C9"/>
    <w:rsid w:val="79DECD61"/>
    <w:rsid w:val="79E3E2DE"/>
    <w:rsid w:val="7A01DB38"/>
    <w:rsid w:val="7A09113F"/>
    <w:rsid w:val="7A13242C"/>
    <w:rsid w:val="7A3860C8"/>
    <w:rsid w:val="7A3A4F9F"/>
    <w:rsid w:val="7A3DD693"/>
    <w:rsid w:val="7A55804D"/>
    <w:rsid w:val="7A65B86D"/>
    <w:rsid w:val="7A6A8278"/>
    <w:rsid w:val="7A6F31D2"/>
    <w:rsid w:val="7A85122C"/>
    <w:rsid w:val="7A9807ED"/>
    <w:rsid w:val="7AA41EAE"/>
    <w:rsid w:val="7AC19279"/>
    <w:rsid w:val="7ACC9FD4"/>
    <w:rsid w:val="7ACD2AD9"/>
    <w:rsid w:val="7AFE9D61"/>
    <w:rsid w:val="7AFF1398"/>
    <w:rsid w:val="7B00DDEA"/>
    <w:rsid w:val="7B07515F"/>
    <w:rsid w:val="7B099605"/>
    <w:rsid w:val="7B20C16D"/>
    <w:rsid w:val="7B2FB33D"/>
    <w:rsid w:val="7B30C942"/>
    <w:rsid w:val="7B349191"/>
    <w:rsid w:val="7B3A0839"/>
    <w:rsid w:val="7B536757"/>
    <w:rsid w:val="7B5E4964"/>
    <w:rsid w:val="7B720D7F"/>
    <w:rsid w:val="7B7E5F05"/>
    <w:rsid w:val="7B861711"/>
    <w:rsid w:val="7B9DC1DF"/>
    <w:rsid w:val="7BA5AB63"/>
    <w:rsid w:val="7BBBD4AF"/>
    <w:rsid w:val="7BC66FD3"/>
    <w:rsid w:val="7BFE8A06"/>
    <w:rsid w:val="7C0AFDE6"/>
    <w:rsid w:val="7C1897BD"/>
    <w:rsid w:val="7C2D6B46"/>
    <w:rsid w:val="7C38CD9A"/>
    <w:rsid w:val="7C50E56C"/>
    <w:rsid w:val="7C592A19"/>
    <w:rsid w:val="7C7B34B7"/>
    <w:rsid w:val="7C7B6759"/>
    <w:rsid w:val="7C7FFD57"/>
    <w:rsid w:val="7CA33141"/>
    <w:rsid w:val="7CB5BA09"/>
    <w:rsid w:val="7CC961D1"/>
    <w:rsid w:val="7CCC4217"/>
    <w:rsid w:val="7CD8CB4D"/>
    <w:rsid w:val="7CF41AF6"/>
    <w:rsid w:val="7D02CD94"/>
    <w:rsid w:val="7D070CC5"/>
    <w:rsid w:val="7D0B61A6"/>
    <w:rsid w:val="7D18731E"/>
    <w:rsid w:val="7D18D169"/>
    <w:rsid w:val="7D2A1419"/>
    <w:rsid w:val="7D4A35FD"/>
    <w:rsid w:val="7D4AB4AA"/>
    <w:rsid w:val="7D4B8B42"/>
    <w:rsid w:val="7D4D4C28"/>
    <w:rsid w:val="7D5DF847"/>
    <w:rsid w:val="7D84B788"/>
    <w:rsid w:val="7D9F253D"/>
    <w:rsid w:val="7DB846C2"/>
    <w:rsid w:val="7DCD8B3E"/>
    <w:rsid w:val="7DCDCF80"/>
    <w:rsid w:val="7DFF402A"/>
    <w:rsid w:val="7E129272"/>
    <w:rsid w:val="7E2C277C"/>
    <w:rsid w:val="7E835790"/>
    <w:rsid w:val="7E84EBE2"/>
    <w:rsid w:val="7E91CC78"/>
    <w:rsid w:val="7EACF1BE"/>
    <w:rsid w:val="7EF7E9F0"/>
    <w:rsid w:val="7EFA6FE6"/>
    <w:rsid w:val="7F3EDC67"/>
    <w:rsid w:val="7F546725"/>
    <w:rsid w:val="7F978870"/>
    <w:rsid w:val="7FA3372D"/>
    <w:rsid w:val="7FD6DBB1"/>
    <w:rsid w:val="7FDD9DF5"/>
    <w:rsid w:val="7FEF30DB"/>
    <w:rsid w:val="7FF06D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05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sz w:val="22"/>
        <w:szCs w:val="22"/>
        <w:lang w:val="en-US" w:eastAsia="en-US" w:bidi="ar-SA"/>
      </w:rPr>
    </w:rPrDefault>
    <w:pPrDefault>
      <w:pPr>
        <w:spacing w:before="120" w:after="20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lsdException w:name="List 2" w:semiHidden="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lsdException w:name="List Number 4" w:semiHidden="1"/>
    <w:lsdException w:name="List Number 5" w:semiHidden="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9" w:unhideWhenUsed="1"/>
    <w:lsdException w:name="Smart Link" w:semiHidden="1" w:unhideWhenUsed="1"/>
  </w:latentStyles>
  <w:style w:type="paragraph" w:default="1" w:styleId="Normal">
    <w:name w:val="Normal"/>
    <w:qFormat/>
    <w:rsid w:val="008B1F54"/>
  </w:style>
  <w:style w:type="paragraph" w:styleId="Heading1">
    <w:name w:val="heading 1"/>
    <w:basedOn w:val="Normal"/>
    <w:next w:val="Normal"/>
    <w:link w:val="Heading1Char"/>
    <w:qFormat/>
    <w:rsid w:val="008B1F54"/>
    <w:pPr>
      <w:keepNext/>
      <w:keepLines/>
      <w:numPr>
        <w:numId w:val="9"/>
      </w:numPr>
      <w:spacing w:before="240" w:after="240"/>
      <w:outlineLvl w:val="0"/>
    </w:pPr>
    <w:rPr>
      <w:rFonts w:cs="Arial"/>
      <w:b/>
      <w:bCs/>
      <w:caps/>
      <w:kern w:val="32"/>
      <w:sz w:val="28"/>
    </w:rPr>
  </w:style>
  <w:style w:type="paragraph" w:styleId="Heading2">
    <w:name w:val="heading 2"/>
    <w:basedOn w:val="Normal"/>
    <w:next w:val="Normal"/>
    <w:link w:val="Heading2Char"/>
    <w:qFormat/>
    <w:rsid w:val="008B1F54"/>
    <w:pPr>
      <w:keepNext/>
      <w:keepLines/>
      <w:numPr>
        <w:ilvl w:val="1"/>
        <w:numId w:val="9"/>
      </w:numPr>
      <w:spacing w:before="240" w:after="240"/>
      <w:outlineLvl w:val="1"/>
    </w:pPr>
    <w:rPr>
      <w:rFonts w:cs="Arial"/>
      <w:b/>
      <w:bCs/>
      <w:iCs/>
      <w:color w:val="000000" w:themeColor="text1"/>
      <w:sz w:val="28"/>
      <w:szCs w:val="28"/>
    </w:rPr>
  </w:style>
  <w:style w:type="paragraph" w:styleId="Heading3">
    <w:name w:val="heading 3"/>
    <w:basedOn w:val="Normal"/>
    <w:next w:val="Normal"/>
    <w:link w:val="Heading3Char"/>
    <w:qFormat/>
    <w:rsid w:val="008B1F54"/>
    <w:pPr>
      <w:keepNext/>
      <w:keepLines/>
      <w:numPr>
        <w:ilvl w:val="2"/>
        <w:numId w:val="9"/>
      </w:numPr>
      <w:spacing w:before="240" w:after="240"/>
      <w:outlineLvl w:val="2"/>
    </w:pPr>
    <w:rPr>
      <w:rFonts w:eastAsia="Arial"/>
      <w:b/>
      <w:bCs/>
      <w:iCs/>
      <w:color w:val="000000" w:themeColor="text1"/>
      <w:sz w:val="27"/>
    </w:rPr>
  </w:style>
  <w:style w:type="paragraph" w:styleId="Heading4">
    <w:name w:val="heading 4"/>
    <w:basedOn w:val="Normal"/>
    <w:next w:val="Normal"/>
    <w:link w:val="Heading4Char"/>
    <w:qFormat/>
    <w:rsid w:val="008B1F54"/>
    <w:pPr>
      <w:keepNext/>
      <w:keepLines/>
      <w:numPr>
        <w:ilvl w:val="3"/>
        <w:numId w:val="9"/>
      </w:numPr>
      <w:spacing w:before="240" w:after="240"/>
      <w:outlineLvl w:val="3"/>
    </w:pPr>
    <w:rPr>
      <w:b/>
      <w:bCs/>
      <w:i/>
      <w:sz w:val="26"/>
      <w:szCs w:val="28"/>
    </w:rPr>
  </w:style>
  <w:style w:type="paragraph" w:styleId="Heading5">
    <w:name w:val="heading 5"/>
    <w:basedOn w:val="Normal"/>
    <w:next w:val="Normal"/>
    <w:link w:val="Heading5Char"/>
    <w:qFormat/>
    <w:rsid w:val="008B1F54"/>
    <w:pPr>
      <w:keepNext/>
      <w:keepLines/>
      <w:widowControl w:val="0"/>
      <w:numPr>
        <w:ilvl w:val="4"/>
        <w:numId w:val="9"/>
      </w:numPr>
      <w:autoSpaceDE w:val="0"/>
      <w:autoSpaceDN w:val="0"/>
      <w:adjustRightInd w:val="0"/>
      <w:spacing w:before="240" w:after="240"/>
      <w:outlineLvl w:val="4"/>
    </w:pPr>
    <w:rPr>
      <w:bCs/>
      <w:i/>
      <w:iCs/>
      <w:sz w:val="26"/>
      <w:szCs w:val="26"/>
    </w:rPr>
  </w:style>
  <w:style w:type="paragraph" w:styleId="Heading6">
    <w:name w:val="heading 6"/>
    <w:basedOn w:val="Normal"/>
    <w:next w:val="Normal"/>
    <w:link w:val="Heading6Char"/>
    <w:qFormat/>
    <w:rsid w:val="008B1F54"/>
    <w:pPr>
      <w:keepNext/>
      <w:keepLines/>
      <w:numPr>
        <w:ilvl w:val="5"/>
        <w:numId w:val="9"/>
      </w:numPr>
      <w:tabs>
        <w:tab w:val="left" w:pos="2160"/>
      </w:tabs>
      <w:autoSpaceDE w:val="0"/>
      <w:autoSpaceDN w:val="0"/>
      <w:adjustRightInd w:val="0"/>
      <w:spacing w:before="240" w:after="240"/>
      <w:outlineLvl w:val="5"/>
    </w:pPr>
    <w:rPr>
      <w:b/>
      <w:bCs/>
      <w:sz w:val="26"/>
    </w:rPr>
  </w:style>
  <w:style w:type="paragraph" w:styleId="Heading7">
    <w:name w:val="heading 7"/>
    <w:basedOn w:val="Normal"/>
    <w:next w:val="Normal"/>
    <w:link w:val="Heading7Char"/>
    <w:qFormat/>
    <w:rsid w:val="008B1F54"/>
    <w:pPr>
      <w:keepNext/>
      <w:keepLines/>
      <w:numPr>
        <w:ilvl w:val="6"/>
        <w:numId w:val="9"/>
      </w:numPr>
      <w:autoSpaceDE w:val="0"/>
      <w:autoSpaceDN w:val="0"/>
      <w:adjustRightInd w:val="0"/>
      <w:spacing w:before="240" w:after="240"/>
      <w:outlineLvl w:val="6"/>
    </w:pPr>
    <w:rPr>
      <w:i/>
      <w:sz w:val="25"/>
    </w:rPr>
  </w:style>
  <w:style w:type="paragraph" w:styleId="Heading8">
    <w:name w:val="heading 8"/>
    <w:basedOn w:val="Normal"/>
    <w:next w:val="Normal"/>
    <w:link w:val="Heading8Char"/>
    <w:qFormat/>
    <w:rsid w:val="008B1F54"/>
    <w:pPr>
      <w:keepNext/>
      <w:keepLines/>
      <w:numPr>
        <w:ilvl w:val="7"/>
        <w:numId w:val="9"/>
      </w:numPr>
      <w:autoSpaceDE w:val="0"/>
      <w:autoSpaceDN w:val="0"/>
      <w:adjustRightInd w:val="0"/>
      <w:spacing w:before="240" w:after="240"/>
      <w:outlineLvl w:val="7"/>
    </w:pPr>
    <w:rPr>
      <w:b/>
      <w:i/>
      <w:iCs/>
      <w:sz w:val="23"/>
    </w:rPr>
  </w:style>
  <w:style w:type="paragraph" w:styleId="Heading9">
    <w:name w:val="heading 9"/>
    <w:basedOn w:val="Normal"/>
    <w:next w:val="Normal"/>
    <w:link w:val="Heading9Char"/>
    <w:qFormat/>
    <w:rsid w:val="008B1F54"/>
    <w:pPr>
      <w:keepNext/>
      <w:keepLines/>
      <w:numPr>
        <w:ilvl w:val="8"/>
        <w:numId w:val="9"/>
      </w:numPr>
      <w:autoSpaceDE w:val="0"/>
      <w:autoSpaceDN w:val="0"/>
      <w:adjustRightInd w:val="0"/>
      <w:spacing w:before="240" w:after="240"/>
      <w:outlineLvl w:val="8"/>
    </w:pPr>
    <w:rPr>
      <w:rFonts w:cs="Arial"/>
      <w:i/>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Style">
    <w:name w:val="RFP Style"/>
    <w:basedOn w:val="NoList"/>
    <w:semiHidden/>
    <w:rsid w:val="00B63C7D"/>
    <w:pPr>
      <w:numPr>
        <w:numId w:val="10"/>
      </w:numPr>
    </w:pPr>
  </w:style>
  <w:style w:type="table" w:styleId="TableGrid">
    <w:name w:val="Table Grid"/>
    <w:aliases w:val="Header Table Grid,GCP-Table Grid,new tab,Table contant"/>
    <w:basedOn w:val="TableNormal"/>
    <w:uiPriority w:val="59"/>
    <w:rsid w:val="008B1F54"/>
    <w:tblPr/>
  </w:style>
  <w:style w:type="paragraph" w:styleId="TOC1">
    <w:name w:val="toc 1"/>
    <w:basedOn w:val="Normal"/>
    <w:next w:val="Normal"/>
    <w:link w:val="TOC1Char"/>
    <w:autoRedefine/>
    <w:uiPriority w:val="39"/>
    <w:qFormat/>
    <w:rsid w:val="00FE5E85"/>
    <w:pPr>
      <w:tabs>
        <w:tab w:val="left" w:pos="576"/>
        <w:tab w:val="right" w:leader="dot" w:pos="10800"/>
      </w:tabs>
      <w:spacing w:before="0" w:after="0" w:line="240" w:lineRule="auto"/>
    </w:pPr>
    <w:rPr>
      <w:b/>
      <w:noProof/>
    </w:rPr>
  </w:style>
  <w:style w:type="character" w:styleId="Hyperlink">
    <w:name w:val="Hyperlink"/>
    <w:basedOn w:val="DefaultParagraphFont"/>
    <w:uiPriority w:val="99"/>
    <w:rsid w:val="008B1F54"/>
    <w:rPr>
      <w:color w:val="0000FF"/>
      <w:u w:val="single"/>
    </w:rPr>
  </w:style>
  <w:style w:type="character" w:customStyle="1" w:styleId="Heading2Char">
    <w:name w:val="Heading 2 Char"/>
    <w:basedOn w:val="DefaultParagraphFont"/>
    <w:link w:val="Heading2"/>
    <w:rsid w:val="008B1F54"/>
    <w:rPr>
      <w:rFonts w:cs="Arial"/>
      <w:b/>
      <w:bCs/>
      <w:iCs/>
      <w:color w:val="000000" w:themeColor="text1"/>
      <w:sz w:val="28"/>
      <w:szCs w:val="28"/>
    </w:rPr>
  </w:style>
  <w:style w:type="paragraph" w:styleId="FootnoteText">
    <w:name w:val="footnote text"/>
    <w:basedOn w:val="Normal"/>
    <w:link w:val="FootnoteTextChar"/>
    <w:semiHidden/>
    <w:rsid w:val="008B1F54"/>
    <w:pPr>
      <w:spacing w:before="0" w:after="0" w:line="240" w:lineRule="auto"/>
    </w:pPr>
    <w:rPr>
      <w:sz w:val="18"/>
      <w:szCs w:val="20"/>
    </w:rPr>
  </w:style>
  <w:style w:type="character" w:styleId="FootnoteReference">
    <w:name w:val="footnote reference"/>
    <w:basedOn w:val="DefaultParagraphFont"/>
    <w:semiHidden/>
    <w:rsid w:val="008B1F54"/>
    <w:rPr>
      <w:vertAlign w:val="superscript"/>
    </w:rPr>
  </w:style>
  <w:style w:type="numbering" w:customStyle="1" w:styleId="NumberedHeadings">
    <w:name w:val="NumberedHeadings"/>
    <w:uiPriority w:val="99"/>
    <w:rsid w:val="00B63C7D"/>
    <w:pPr>
      <w:numPr>
        <w:numId w:val="9"/>
      </w:numPr>
    </w:pPr>
  </w:style>
  <w:style w:type="paragraph" w:styleId="TOC2">
    <w:name w:val="toc 2"/>
    <w:basedOn w:val="TOC1"/>
    <w:next w:val="TOC1"/>
    <w:link w:val="TOC2Char"/>
    <w:autoRedefine/>
    <w:uiPriority w:val="39"/>
    <w:rsid w:val="00FE5E85"/>
    <w:pPr>
      <w:tabs>
        <w:tab w:val="clear" w:pos="576"/>
      </w:tabs>
      <w:ind w:left="1080" w:hanging="504"/>
    </w:pPr>
    <w:rPr>
      <w:b w:val="0"/>
    </w:rPr>
  </w:style>
  <w:style w:type="paragraph" w:styleId="TOC3">
    <w:name w:val="toc 3"/>
    <w:basedOn w:val="Normal"/>
    <w:next w:val="Normal"/>
    <w:link w:val="TOC3Char"/>
    <w:autoRedefine/>
    <w:uiPriority w:val="39"/>
    <w:rsid w:val="00405D6D"/>
    <w:pPr>
      <w:tabs>
        <w:tab w:val="left" w:pos="1980"/>
        <w:tab w:val="right" w:leader="dot" w:pos="10800"/>
      </w:tabs>
      <w:spacing w:before="0" w:after="0" w:line="240" w:lineRule="auto"/>
      <w:ind w:left="1980" w:hanging="900"/>
    </w:pPr>
    <w:rPr>
      <w:i/>
      <w:noProof/>
    </w:rPr>
  </w:style>
  <w:style w:type="paragraph" w:styleId="TOC4">
    <w:name w:val="toc 4"/>
    <w:basedOn w:val="Normal"/>
    <w:next w:val="Normal"/>
    <w:autoRedefine/>
    <w:uiPriority w:val="39"/>
    <w:rsid w:val="008B1F54"/>
    <w:pPr>
      <w:spacing w:before="160" w:after="160" w:line="240" w:lineRule="auto"/>
      <w:ind w:left="720"/>
    </w:pPr>
    <w:rPr>
      <w:rFonts w:ascii="Times New Roman" w:hAnsi="Times New Roman"/>
    </w:rPr>
  </w:style>
  <w:style w:type="paragraph" w:styleId="TOC5">
    <w:name w:val="toc 5"/>
    <w:basedOn w:val="Normal"/>
    <w:next w:val="Normal"/>
    <w:autoRedefine/>
    <w:uiPriority w:val="39"/>
    <w:rsid w:val="008B1F54"/>
    <w:pPr>
      <w:spacing w:before="160" w:after="160" w:line="240" w:lineRule="auto"/>
      <w:ind w:left="960"/>
    </w:pPr>
    <w:rPr>
      <w:rFonts w:ascii="Times New Roman" w:hAnsi="Times New Roman"/>
    </w:rPr>
  </w:style>
  <w:style w:type="paragraph" w:styleId="TOC6">
    <w:name w:val="toc 6"/>
    <w:basedOn w:val="Normal"/>
    <w:next w:val="Normal"/>
    <w:autoRedefine/>
    <w:uiPriority w:val="39"/>
    <w:rsid w:val="008B1F54"/>
    <w:pPr>
      <w:spacing w:before="160" w:after="160" w:line="240" w:lineRule="auto"/>
      <w:ind w:left="1200"/>
    </w:pPr>
    <w:rPr>
      <w:rFonts w:ascii="Times New Roman" w:hAnsi="Times New Roman"/>
    </w:rPr>
  </w:style>
  <w:style w:type="paragraph" w:styleId="TOC7">
    <w:name w:val="toc 7"/>
    <w:basedOn w:val="Normal"/>
    <w:next w:val="Normal"/>
    <w:autoRedefine/>
    <w:uiPriority w:val="39"/>
    <w:rsid w:val="008B1F54"/>
    <w:pPr>
      <w:spacing w:before="160" w:after="160" w:line="240" w:lineRule="auto"/>
      <w:ind w:left="1440"/>
    </w:pPr>
    <w:rPr>
      <w:rFonts w:ascii="Times New Roman" w:hAnsi="Times New Roman"/>
    </w:rPr>
  </w:style>
  <w:style w:type="paragraph" w:styleId="TOC8">
    <w:name w:val="toc 8"/>
    <w:basedOn w:val="Normal"/>
    <w:next w:val="Normal"/>
    <w:autoRedefine/>
    <w:uiPriority w:val="39"/>
    <w:rsid w:val="008B1F54"/>
    <w:pPr>
      <w:spacing w:before="160" w:after="160" w:line="240" w:lineRule="auto"/>
      <w:ind w:left="1680"/>
    </w:pPr>
    <w:rPr>
      <w:rFonts w:ascii="Times New Roman" w:hAnsi="Times New Roman"/>
    </w:rPr>
  </w:style>
  <w:style w:type="paragraph" w:styleId="TOC9">
    <w:name w:val="toc 9"/>
    <w:basedOn w:val="Normal"/>
    <w:next w:val="Normal"/>
    <w:autoRedefine/>
    <w:uiPriority w:val="39"/>
    <w:rsid w:val="008B1F54"/>
    <w:pPr>
      <w:spacing w:before="160" w:after="160" w:line="240" w:lineRule="auto"/>
      <w:ind w:left="1920"/>
    </w:pPr>
    <w:rPr>
      <w:rFonts w:ascii="Times New Roman" w:hAnsi="Times New Roman"/>
    </w:rPr>
  </w:style>
  <w:style w:type="paragraph" w:styleId="Footer">
    <w:name w:val="footer"/>
    <w:basedOn w:val="Normal"/>
    <w:link w:val="FooterChar"/>
    <w:rsid w:val="008B1F54"/>
    <w:pPr>
      <w:tabs>
        <w:tab w:val="center" w:pos="4320"/>
        <w:tab w:val="right" w:pos="8640"/>
      </w:tabs>
    </w:pPr>
  </w:style>
  <w:style w:type="character" w:styleId="PageNumber">
    <w:name w:val="page number"/>
    <w:basedOn w:val="DefaultParagraphFont"/>
    <w:semiHidden/>
    <w:rsid w:val="008B1F54"/>
  </w:style>
  <w:style w:type="paragraph" w:styleId="Header">
    <w:name w:val="header"/>
    <w:basedOn w:val="Normal"/>
    <w:link w:val="HeaderChar"/>
    <w:rsid w:val="008B1F54"/>
    <w:pPr>
      <w:tabs>
        <w:tab w:val="center" w:pos="4320"/>
        <w:tab w:val="right" w:pos="8640"/>
      </w:tabs>
    </w:pPr>
  </w:style>
  <w:style w:type="paragraph" w:styleId="BodyTextIndent">
    <w:name w:val="Body Text Indent"/>
    <w:basedOn w:val="Normal"/>
    <w:link w:val="BodyTextIndentChar"/>
    <w:semiHidden/>
    <w:rsid w:val="008B1F54"/>
    <w:pPr>
      <w:spacing w:after="120"/>
      <w:ind w:left="360"/>
    </w:pPr>
  </w:style>
  <w:style w:type="paragraph" w:styleId="NormalWeb">
    <w:name w:val="Normal (Web)"/>
    <w:basedOn w:val="Normal"/>
    <w:semiHidden/>
    <w:unhideWhenUsed/>
    <w:qFormat/>
    <w:rsid w:val="008B1F54"/>
    <w:rPr>
      <w:szCs w:val="24"/>
    </w:rPr>
  </w:style>
  <w:style w:type="character" w:styleId="Strong">
    <w:name w:val="Strong"/>
    <w:basedOn w:val="DefaultParagraphFont"/>
    <w:semiHidden/>
    <w:qFormat/>
    <w:rsid w:val="008B1F54"/>
    <w:rPr>
      <w:b/>
      <w:bCs/>
    </w:rPr>
  </w:style>
  <w:style w:type="paragraph" w:styleId="Caption">
    <w:name w:val="caption"/>
    <w:basedOn w:val="Normal"/>
    <w:next w:val="Normal"/>
    <w:qFormat/>
    <w:rsid w:val="008B1F54"/>
    <w:pPr>
      <w:keepNext/>
      <w:keepLines/>
      <w:spacing w:before="240" w:after="240"/>
      <w:jc w:val="center"/>
    </w:pPr>
    <w:rPr>
      <w:b/>
      <w:bCs/>
      <w:i/>
    </w:rPr>
  </w:style>
  <w:style w:type="paragraph" w:styleId="BodyText3">
    <w:name w:val="Body Text 3"/>
    <w:basedOn w:val="Normal"/>
    <w:link w:val="BodyText3Char"/>
    <w:semiHidden/>
    <w:rsid w:val="008B1F54"/>
    <w:pPr>
      <w:spacing w:after="120"/>
    </w:pPr>
    <w:rPr>
      <w:sz w:val="16"/>
      <w:szCs w:val="16"/>
    </w:rPr>
  </w:style>
  <w:style w:type="paragraph" w:styleId="Title">
    <w:name w:val="Title"/>
    <w:basedOn w:val="Normal"/>
    <w:link w:val="TitleChar"/>
    <w:semiHidden/>
    <w:qFormat/>
    <w:rsid w:val="008B1F54"/>
    <w:pPr>
      <w:jc w:val="center"/>
    </w:pPr>
    <w:rPr>
      <w:b/>
      <w:bCs/>
      <w:u w:val="single"/>
    </w:rPr>
  </w:style>
  <w:style w:type="character" w:styleId="EndnoteReference">
    <w:name w:val="endnote reference"/>
    <w:basedOn w:val="DefaultParagraphFont"/>
    <w:semiHidden/>
    <w:rsid w:val="008B1F54"/>
    <w:rPr>
      <w:vertAlign w:val="superscript"/>
    </w:rPr>
  </w:style>
  <w:style w:type="paragraph" w:styleId="BodyTextIndent2">
    <w:name w:val="Body Text Indent 2"/>
    <w:basedOn w:val="Normal"/>
    <w:link w:val="BodyTextIndent2Char"/>
    <w:semiHidden/>
    <w:rsid w:val="008B1F54"/>
    <w:pPr>
      <w:ind w:left="288"/>
    </w:pPr>
    <w:rPr>
      <w:rFonts w:ascii="Times New Roman" w:hAnsi="Times New Roman"/>
      <w:b/>
      <w:bCs/>
      <w:i/>
      <w:iCs/>
      <w:szCs w:val="20"/>
    </w:rPr>
  </w:style>
  <w:style w:type="paragraph" w:styleId="BalloonText">
    <w:name w:val="Balloon Text"/>
    <w:basedOn w:val="Normal"/>
    <w:link w:val="BalloonTextChar"/>
    <w:semiHidden/>
    <w:rsid w:val="008B1F54"/>
    <w:rPr>
      <w:rFonts w:ascii="Tahoma" w:hAnsi="Tahoma" w:cs="Tahoma"/>
      <w:sz w:val="16"/>
      <w:szCs w:val="16"/>
    </w:rPr>
  </w:style>
  <w:style w:type="paragraph" w:styleId="BodyTextIndent3">
    <w:name w:val="Body Text Indent 3"/>
    <w:basedOn w:val="Normal"/>
    <w:link w:val="BodyTextIndent3Char"/>
    <w:semiHidden/>
    <w:rsid w:val="008B1F54"/>
    <w:pPr>
      <w:tabs>
        <w:tab w:val="left" w:pos="364"/>
        <w:tab w:val="left" w:pos="706"/>
      </w:tabs>
      <w:ind w:left="706" w:hanging="706"/>
    </w:pPr>
    <w:rPr>
      <w:rFonts w:ascii="Times New Roman" w:hAnsi="Times New Roman"/>
      <w:szCs w:val="20"/>
    </w:rPr>
  </w:style>
  <w:style w:type="character" w:styleId="CommentReference">
    <w:name w:val="annotation reference"/>
    <w:basedOn w:val="DefaultParagraphFont"/>
    <w:semiHidden/>
    <w:rsid w:val="008B1F54"/>
    <w:rPr>
      <w:sz w:val="16"/>
      <w:szCs w:val="16"/>
    </w:rPr>
  </w:style>
  <w:style w:type="paragraph" w:styleId="CommentText">
    <w:name w:val="annotation text"/>
    <w:basedOn w:val="Normal"/>
    <w:link w:val="CommentTextChar"/>
    <w:rsid w:val="008B1F54"/>
    <w:rPr>
      <w:rFonts w:ascii="Times New Roman" w:hAnsi="Times New Roman"/>
      <w:szCs w:val="20"/>
    </w:rPr>
  </w:style>
  <w:style w:type="paragraph" w:styleId="CommentSubject">
    <w:name w:val="annotation subject"/>
    <w:basedOn w:val="CommentText"/>
    <w:next w:val="CommentText"/>
    <w:link w:val="CommentSubjectChar"/>
    <w:semiHidden/>
    <w:rsid w:val="008B1F54"/>
    <w:rPr>
      <w:b/>
      <w:bCs/>
    </w:rPr>
  </w:style>
  <w:style w:type="numbering" w:styleId="111111">
    <w:name w:val="Outline List 2"/>
    <w:aliases w:val="1.0 / 1.1 / 1.1.1"/>
    <w:basedOn w:val="NoList"/>
    <w:rsid w:val="008B1F54"/>
  </w:style>
  <w:style w:type="character" w:styleId="FollowedHyperlink">
    <w:name w:val="FollowedHyperlink"/>
    <w:basedOn w:val="DefaultParagraphFont"/>
    <w:semiHidden/>
    <w:rsid w:val="008B1F54"/>
    <w:rPr>
      <w:color w:val="800080"/>
      <w:u w:val="single"/>
    </w:rPr>
  </w:style>
  <w:style w:type="paragraph" w:styleId="DocumentMap">
    <w:name w:val="Document Map"/>
    <w:basedOn w:val="Normal"/>
    <w:link w:val="DocumentMapChar"/>
    <w:semiHidden/>
    <w:rsid w:val="008B1F54"/>
    <w:pPr>
      <w:shd w:val="clear" w:color="auto" w:fill="000080"/>
    </w:pPr>
    <w:rPr>
      <w:rFonts w:ascii="Tahoma" w:hAnsi="Tahoma" w:cs="Tahoma"/>
      <w:szCs w:val="20"/>
    </w:rPr>
  </w:style>
  <w:style w:type="paragraph" w:styleId="Subtitle">
    <w:name w:val="Subtitle"/>
    <w:basedOn w:val="Normal"/>
    <w:link w:val="SubtitleChar"/>
    <w:semiHidden/>
    <w:qFormat/>
    <w:rsid w:val="008B1F54"/>
    <w:pPr>
      <w:jc w:val="center"/>
    </w:pPr>
    <w:rPr>
      <w:rFonts w:cs="Arial"/>
      <w:b/>
      <w:bCs/>
    </w:rPr>
  </w:style>
  <w:style w:type="paragraph" w:styleId="ListParagraph">
    <w:name w:val="List Paragraph"/>
    <w:basedOn w:val="Normal"/>
    <w:link w:val="ListParagraphChar"/>
    <w:semiHidden/>
    <w:qFormat/>
    <w:rsid w:val="008B1F54"/>
    <w:rPr>
      <w:szCs w:val="24"/>
    </w:rPr>
  </w:style>
  <w:style w:type="character" w:customStyle="1" w:styleId="HeaderChar">
    <w:name w:val="Header Char"/>
    <w:basedOn w:val="DefaultParagraphFont"/>
    <w:link w:val="Header"/>
    <w:rsid w:val="008B1F54"/>
  </w:style>
  <w:style w:type="character" w:customStyle="1" w:styleId="Heading1Char">
    <w:name w:val="Heading 1 Char"/>
    <w:basedOn w:val="DefaultParagraphFont"/>
    <w:link w:val="Heading1"/>
    <w:rsid w:val="008B1F54"/>
    <w:rPr>
      <w:rFonts w:cs="Arial"/>
      <w:b/>
      <w:bCs/>
      <w:caps/>
      <w:kern w:val="32"/>
      <w:sz w:val="28"/>
    </w:rPr>
  </w:style>
  <w:style w:type="character" w:customStyle="1" w:styleId="FootnoteTextChar">
    <w:name w:val="Footnote Text Char"/>
    <w:basedOn w:val="DefaultParagraphFont"/>
    <w:link w:val="FootnoteText"/>
    <w:semiHidden/>
    <w:rsid w:val="008B1F54"/>
    <w:rPr>
      <w:sz w:val="18"/>
      <w:szCs w:val="20"/>
    </w:rPr>
  </w:style>
  <w:style w:type="character" w:customStyle="1" w:styleId="FooterChar">
    <w:name w:val="Footer Char"/>
    <w:basedOn w:val="DefaultParagraphFont"/>
    <w:link w:val="Footer"/>
    <w:rsid w:val="008B1F54"/>
  </w:style>
  <w:style w:type="character" w:customStyle="1" w:styleId="BalloonTextChar">
    <w:name w:val="Balloon Text Char"/>
    <w:basedOn w:val="DefaultParagraphFont"/>
    <w:link w:val="BalloonText"/>
    <w:semiHidden/>
    <w:rsid w:val="008B1F54"/>
    <w:rPr>
      <w:rFonts w:ascii="Tahoma" w:hAnsi="Tahoma" w:cs="Tahoma"/>
      <w:sz w:val="16"/>
      <w:szCs w:val="16"/>
    </w:rPr>
  </w:style>
  <w:style w:type="character" w:customStyle="1" w:styleId="Heading3Char">
    <w:name w:val="Heading 3 Char"/>
    <w:basedOn w:val="DefaultParagraphFont"/>
    <w:link w:val="Heading3"/>
    <w:rsid w:val="008B1F54"/>
    <w:rPr>
      <w:rFonts w:eastAsia="Arial"/>
      <w:b/>
      <w:bCs/>
      <w:iCs/>
      <w:color w:val="000000" w:themeColor="text1"/>
      <w:sz w:val="27"/>
    </w:rPr>
  </w:style>
  <w:style w:type="paragraph" w:styleId="NoSpacing">
    <w:name w:val="No Spacing"/>
    <w:link w:val="NoSpacingChar"/>
    <w:qFormat/>
    <w:rsid w:val="008B1F54"/>
    <w:pPr>
      <w:spacing w:line="240" w:lineRule="auto"/>
      <w:contextualSpacing/>
    </w:pPr>
    <w:rPr>
      <w:rFonts w:eastAsiaTheme="minorEastAsia" w:cstheme="minorBidi"/>
    </w:rPr>
  </w:style>
  <w:style w:type="character" w:customStyle="1" w:styleId="NoSpacingChar">
    <w:name w:val="No Spacing Char"/>
    <w:basedOn w:val="DefaultParagraphFont"/>
    <w:link w:val="NoSpacing"/>
    <w:rsid w:val="008B1F54"/>
    <w:rPr>
      <w:rFonts w:eastAsiaTheme="minorEastAsia" w:cstheme="minorBidi"/>
    </w:rPr>
  </w:style>
  <w:style w:type="character" w:styleId="PlaceholderText">
    <w:name w:val="Placeholder Text"/>
    <w:basedOn w:val="DefaultParagraphFont"/>
    <w:semiHidden/>
    <w:rsid w:val="008B1F54"/>
    <w:rPr>
      <w:color w:val="808080"/>
    </w:rPr>
  </w:style>
  <w:style w:type="paragraph" w:styleId="Revision">
    <w:name w:val="Revision"/>
    <w:hidden/>
    <w:uiPriority w:val="99"/>
    <w:semiHidden/>
    <w:rsid w:val="00304483"/>
    <w:rPr>
      <w:sz w:val="24"/>
      <w:szCs w:val="24"/>
    </w:rPr>
  </w:style>
  <w:style w:type="character" w:customStyle="1" w:styleId="CommentTextChar">
    <w:name w:val="Comment Text Char"/>
    <w:basedOn w:val="DefaultParagraphFont"/>
    <w:link w:val="CommentText"/>
    <w:rsid w:val="008B1F54"/>
    <w:rPr>
      <w:rFonts w:ascii="Times New Roman" w:hAnsi="Times New Roman"/>
      <w:szCs w:val="20"/>
    </w:rPr>
  </w:style>
  <w:style w:type="paragraph" w:styleId="Index1">
    <w:name w:val="index 1"/>
    <w:basedOn w:val="Normal"/>
    <w:next w:val="Normal"/>
    <w:semiHidden/>
    <w:rsid w:val="008B1F54"/>
    <w:pPr>
      <w:widowControl w:val="0"/>
      <w:tabs>
        <w:tab w:val="right" w:leader="dot" w:pos="9360"/>
      </w:tabs>
      <w:suppressAutoHyphens/>
      <w:ind w:left="1440" w:right="720" w:hanging="1440"/>
    </w:pPr>
    <w:rPr>
      <w:rFonts w:ascii="Courier New" w:hAnsi="Courier New"/>
      <w:szCs w:val="20"/>
    </w:rPr>
  </w:style>
  <w:style w:type="paragraph" w:styleId="Index2">
    <w:name w:val="index 2"/>
    <w:basedOn w:val="Normal"/>
    <w:next w:val="Normal"/>
    <w:semiHidden/>
    <w:rsid w:val="008B1F54"/>
    <w:pPr>
      <w:widowControl w:val="0"/>
      <w:tabs>
        <w:tab w:val="right" w:leader="dot" w:pos="9360"/>
      </w:tabs>
      <w:suppressAutoHyphens/>
      <w:ind w:left="1440" w:right="720" w:hanging="720"/>
    </w:pPr>
    <w:rPr>
      <w:rFonts w:ascii="Courier New" w:hAnsi="Courier New"/>
      <w:szCs w:val="20"/>
    </w:rPr>
  </w:style>
  <w:style w:type="paragraph" w:customStyle="1" w:styleId="Bullet1">
    <w:name w:val="Bullet 1"/>
    <w:basedOn w:val="Normal"/>
    <w:qFormat/>
    <w:rsid w:val="008B1F54"/>
    <w:pPr>
      <w:numPr>
        <w:numId w:val="6"/>
      </w:numPr>
      <w:contextualSpacing/>
    </w:pPr>
  </w:style>
  <w:style w:type="paragraph" w:styleId="PlainText">
    <w:name w:val="Plain Text"/>
    <w:basedOn w:val="Normal"/>
    <w:link w:val="PlainTextChar"/>
    <w:semiHidden/>
    <w:rsid w:val="008B1F54"/>
    <w:rPr>
      <w:rFonts w:ascii="Courier New" w:hAnsi="Courier New" w:cs="Courier New"/>
      <w:szCs w:val="20"/>
    </w:rPr>
  </w:style>
  <w:style w:type="character" w:customStyle="1" w:styleId="PlainTextChar">
    <w:name w:val="Plain Text Char"/>
    <w:basedOn w:val="DefaultParagraphFont"/>
    <w:link w:val="PlainText"/>
    <w:semiHidden/>
    <w:rsid w:val="008B1F54"/>
    <w:rPr>
      <w:rFonts w:ascii="Courier New" w:hAnsi="Courier New" w:cs="Courier New"/>
      <w:szCs w:val="20"/>
    </w:rPr>
  </w:style>
  <w:style w:type="character" w:customStyle="1" w:styleId="TitleChar">
    <w:name w:val="Title Char"/>
    <w:basedOn w:val="DefaultParagraphFont"/>
    <w:link w:val="Title"/>
    <w:semiHidden/>
    <w:rsid w:val="008B1F54"/>
    <w:rPr>
      <w:b/>
      <w:bCs/>
      <w:u w:val="single"/>
    </w:rPr>
  </w:style>
  <w:style w:type="paragraph" w:styleId="TOCHeading">
    <w:name w:val="TOC Heading"/>
    <w:basedOn w:val="Heading1"/>
    <w:next w:val="Normal"/>
    <w:unhideWhenUsed/>
    <w:qFormat/>
    <w:rsid w:val="008B1F54"/>
    <w:pPr>
      <w:numPr>
        <w:numId w:val="0"/>
      </w:numPr>
      <w:spacing w:before="160" w:line="240" w:lineRule="auto"/>
      <w:outlineLvl w:val="9"/>
    </w:pPr>
    <w:rPr>
      <w:rFonts w:cs="Times New Roman"/>
      <w:kern w:val="0"/>
      <w:szCs w:val="28"/>
    </w:rPr>
  </w:style>
  <w:style w:type="character" w:styleId="SubtleReference">
    <w:name w:val="Subtle Reference"/>
    <w:basedOn w:val="DefaultParagraphFont"/>
    <w:semiHidden/>
    <w:qFormat/>
    <w:rsid w:val="008B1F54"/>
    <w:rPr>
      <w:smallCaps/>
      <w:color w:val="8B7FA0" w:themeColor="accent2"/>
      <w:u w:val="single"/>
    </w:rPr>
  </w:style>
  <w:style w:type="character" w:styleId="Emphasis">
    <w:name w:val="Emphasis"/>
    <w:basedOn w:val="DefaultParagraphFont"/>
    <w:semiHidden/>
    <w:qFormat/>
    <w:rsid w:val="008B1F54"/>
    <w:rPr>
      <w:i/>
      <w:iCs/>
    </w:rPr>
  </w:style>
  <w:style w:type="character" w:customStyle="1" w:styleId="Heading4Char">
    <w:name w:val="Heading 4 Char"/>
    <w:basedOn w:val="DefaultParagraphFont"/>
    <w:link w:val="Heading4"/>
    <w:rsid w:val="008B1F54"/>
    <w:rPr>
      <w:b/>
      <w:bCs/>
      <w:i/>
      <w:sz w:val="26"/>
      <w:szCs w:val="28"/>
    </w:rPr>
  </w:style>
  <w:style w:type="character" w:customStyle="1" w:styleId="Heading5Char">
    <w:name w:val="Heading 5 Char"/>
    <w:basedOn w:val="DefaultParagraphFont"/>
    <w:link w:val="Heading5"/>
    <w:rsid w:val="008B1F54"/>
    <w:rPr>
      <w:bCs/>
      <w:i/>
      <w:iCs/>
      <w:sz w:val="26"/>
      <w:szCs w:val="26"/>
    </w:rPr>
  </w:style>
  <w:style w:type="character" w:customStyle="1" w:styleId="Heading6Char">
    <w:name w:val="Heading 6 Char"/>
    <w:basedOn w:val="DefaultParagraphFont"/>
    <w:link w:val="Heading6"/>
    <w:rsid w:val="008B1F54"/>
    <w:rPr>
      <w:b/>
      <w:bCs/>
      <w:sz w:val="26"/>
    </w:rPr>
  </w:style>
  <w:style w:type="character" w:customStyle="1" w:styleId="Heading7Char">
    <w:name w:val="Heading 7 Char"/>
    <w:basedOn w:val="DefaultParagraphFont"/>
    <w:link w:val="Heading7"/>
    <w:rsid w:val="008B1F54"/>
    <w:rPr>
      <w:i/>
      <w:sz w:val="25"/>
    </w:rPr>
  </w:style>
  <w:style w:type="character" w:customStyle="1" w:styleId="Heading8Char">
    <w:name w:val="Heading 8 Char"/>
    <w:basedOn w:val="DefaultParagraphFont"/>
    <w:link w:val="Heading8"/>
    <w:rsid w:val="008B1F54"/>
    <w:rPr>
      <w:b/>
      <w:i/>
      <w:iCs/>
      <w:sz w:val="23"/>
    </w:rPr>
  </w:style>
  <w:style w:type="character" w:customStyle="1" w:styleId="Heading9Char">
    <w:name w:val="Heading 9 Char"/>
    <w:basedOn w:val="DefaultParagraphFont"/>
    <w:link w:val="Heading9"/>
    <w:rsid w:val="008B1F54"/>
    <w:rPr>
      <w:rFonts w:cs="Arial"/>
      <w:i/>
      <w:sz w:val="23"/>
    </w:rPr>
  </w:style>
  <w:style w:type="character" w:customStyle="1" w:styleId="SubtitleChar">
    <w:name w:val="Subtitle Char"/>
    <w:basedOn w:val="DefaultParagraphFont"/>
    <w:link w:val="Subtitle"/>
    <w:semiHidden/>
    <w:rsid w:val="008B1F54"/>
    <w:rPr>
      <w:rFonts w:cs="Arial"/>
      <w:b/>
      <w:bCs/>
    </w:rPr>
  </w:style>
  <w:style w:type="paragraph" w:styleId="Quote">
    <w:name w:val="Quote"/>
    <w:basedOn w:val="Normal"/>
    <w:next w:val="Normal"/>
    <w:link w:val="QuoteChar"/>
    <w:semiHidden/>
    <w:qFormat/>
    <w:rsid w:val="008B1F54"/>
    <w:rPr>
      <w:rFonts w:asciiTheme="minorHAnsi" w:eastAsiaTheme="minorHAnsi" w:hAnsiTheme="minorHAnsi"/>
      <w:i/>
      <w:sz w:val="24"/>
    </w:rPr>
  </w:style>
  <w:style w:type="character" w:customStyle="1" w:styleId="QuoteChar">
    <w:name w:val="Quote Char"/>
    <w:basedOn w:val="DefaultParagraphFont"/>
    <w:link w:val="Quote"/>
    <w:semiHidden/>
    <w:rsid w:val="008B1F54"/>
    <w:rPr>
      <w:rFonts w:asciiTheme="minorHAnsi" w:eastAsiaTheme="minorHAnsi" w:hAnsiTheme="minorHAnsi"/>
      <w:i/>
      <w:sz w:val="24"/>
    </w:rPr>
  </w:style>
  <w:style w:type="paragraph" w:styleId="IntenseQuote">
    <w:name w:val="Intense Quote"/>
    <w:basedOn w:val="Normal"/>
    <w:next w:val="Normal"/>
    <w:link w:val="IntenseQuoteChar"/>
    <w:semiHidden/>
    <w:qFormat/>
    <w:rsid w:val="008B1F54"/>
    <w:pPr>
      <w:ind w:left="720" w:right="720"/>
    </w:pPr>
    <w:rPr>
      <w:rFonts w:asciiTheme="minorHAnsi" w:eastAsiaTheme="minorHAnsi" w:hAnsiTheme="minorHAnsi"/>
      <w:b/>
      <w:i/>
      <w:sz w:val="24"/>
    </w:rPr>
  </w:style>
  <w:style w:type="character" w:customStyle="1" w:styleId="IntenseQuoteChar">
    <w:name w:val="Intense Quote Char"/>
    <w:basedOn w:val="DefaultParagraphFont"/>
    <w:link w:val="IntenseQuote"/>
    <w:semiHidden/>
    <w:rsid w:val="008B1F54"/>
    <w:rPr>
      <w:rFonts w:asciiTheme="minorHAnsi" w:eastAsiaTheme="minorHAnsi" w:hAnsiTheme="minorHAnsi"/>
      <w:b/>
      <w:i/>
      <w:sz w:val="24"/>
    </w:rPr>
  </w:style>
  <w:style w:type="character" w:styleId="SubtleEmphasis">
    <w:name w:val="Subtle Emphasis"/>
    <w:semiHidden/>
    <w:qFormat/>
    <w:rsid w:val="008B1F54"/>
    <w:rPr>
      <w:i/>
      <w:color w:val="5A5A5A" w:themeColor="text1" w:themeTint="A5"/>
    </w:rPr>
  </w:style>
  <w:style w:type="character" w:styleId="IntenseEmphasis">
    <w:name w:val="Intense Emphasis"/>
    <w:basedOn w:val="DefaultParagraphFont"/>
    <w:semiHidden/>
    <w:qFormat/>
    <w:rsid w:val="008B1F54"/>
    <w:rPr>
      <w:b/>
      <w:i/>
      <w:sz w:val="24"/>
      <w:szCs w:val="24"/>
      <w:u w:val="single"/>
    </w:rPr>
  </w:style>
  <w:style w:type="character" w:styleId="IntenseReference">
    <w:name w:val="Intense Reference"/>
    <w:basedOn w:val="DefaultParagraphFont"/>
    <w:semiHidden/>
    <w:qFormat/>
    <w:rsid w:val="008B1F54"/>
    <w:rPr>
      <w:b/>
      <w:sz w:val="24"/>
      <w:u w:val="single"/>
    </w:rPr>
  </w:style>
  <w:style w:type="character" w:styleId="BookTitle">
    <w:name w:val="Book Title"/>
    <w:basedOn w:val="DefaultParagraphFont"/>
    <w:semiHidden/>
    <w:qFormat/>
    <w:rsid w:val="008B1F54"/>
    <w:rPr>
      <w:rFonts w:asciiTheme="majorHAnsi" w:eastAsiaTheme="majorEastAsia" w:hAnsiTheme="majorHAnsi"/>
      <w:b/>
      <w:i/>
      <w:sz w:val="24"/>
      <w:szCs w:val="24"/>
    </w:rPr>
  </w:style>
  <w:style w:type="character" w:customStyle="1" w:styleId="ListParagraphChar">
    <w:name w:val="List Paragraph Char"/>
    <w:link w:val="ListParagraph"/>
    <w:semiHidden/>
    <w:locked/>
    <w:rsid w:val="008B1F54"/>
    <w:rPr>
      <w:szCs w:val="24"/>
    </w:rPr>
  </w:style>
  <w:style w:type="table" w:styleId="GridTable4-Accent2">
    <w:name w:val="Grid Table 4 Accent 2"/>
    <w:basedOn w:val="TableNormal"/>
    <w:uiPriority w:val="49"/>
    <w:rsid w:val="008B1F54"/>
    <w:tblPr/>
    <w:tblStylePr w:type="firstRow">
      <w:pPr>
        <w:jc w:val="left"/>
      </w:pPr>
      <w:rPr>
        <w:b/>
        <w:bCs/>
        <w:color w:val="FFFFFF" w:themeColor="background1"/>
      </w:rPr>
    </w:tblStylePr>
    <w:tblStylePr w:type="lastRow">
      <w:rPr>
        <w:b/>
        <w:bCs/>
      </w:rPr>
    </w:tblStylePr>
    <w:tblStylePr w:type="firstCol">
      <w:rPr>
        <w:b/>
        <w:bCs/>
      </w:rPr>
    </w:tblStylePr>
    <w:tblStylePr w:type="lastCol">
      <w:rPr>
        <w:b/>
        <w:bCs/>
      </w:rPr>
    </w:tblStylePr>
  </w:style>
  <w:style w:type="character" w:styleId="Mention">
    <w:name w:val="Mention"/>
    <w:basedOn w:val="DefaultParagraphFont"/>
    <w:semiHidden/>
    <w:rsid w:val="008B1F54"/>
    <w:rPr>
      <w:color w:val="2B579A"/>
      <w:shd w:val="clear" w:color="auto" w:fill="E1DFDD"/>
    </w:rPr>
  </w:style>
  <w:style w:type="character" w:customStyle="1" w:styleId="CommentSubjectChar">
    <w:name w:val="Comment Subject Char"/>
    <w:basedOn w:val="CommentTextChar"/>
    <w:link w:val="CommentSubject"/>
    <w:semiHidden/>
    <w:rsid w:val="008B1F54"/>
    <w:rPr>
      <w:rFonts w:ascii="Times New Roman" w:hAnsi="Times New Roman"/>
      <w:b/>
      <w:bCs/>
      <w:szCs w:val="20"/>
    </w:rPr>
  </w:style>
  <w:style w:type="table" w:styleId="ListTable4-Accent2">
    <w:name w:val="List Table 4 Accent 2"/>
    <w:basedOn w:val="TableNormal"/>
    <w:uiPriority w:val="49"/>
    <w:rsid w:val="008B1F54"/>
    <w:tblPr/>
    <w:tblStylePr w:type="firstRow">
      <w:pPr>
        <w:jc w:val="left"/>
      </w:pPr>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4-Accent3">
    <w:name w:val="Grid Table 4 Accent 3"/>
    <w:basedOn w:val="TableNormal"/>
    <w:uiPriority w:val="49"/>
    <w:rsid w:val="008B1F54"/>
    <w:pPr>
      <w:spacing w:before="160" w:after="160"/>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customStyle="1" w:styleId="TitlePage1">
    <w:name w:val="Title Page 1"/>
    <w:basedOn w:val="Normal"/>
    <w:qFormat/>
    <w:rsid w:val="008B1F54"/>
    <w:pPr>
      <w:spacing w:before="240" w:after="240" w:line="240" w:lineRule="auto"/>
      <w:jc w:val="center"/>
    </w:pPr>
    <w:rPr>
      <w:rFonts w:cs="Arial"/>
      <w:b/>
      <w:sz w:val="28"/>
      <w:szCs w:val="28"/>
    </w:rPr>
  </w:style>
  <w:style w:type="paragraph" w:customStyle="1" w:styleId="TitlePage2">
    <w:name w:val="Title Page 2"/>
    <w:basedOn w:val="Normal"/>
    <w:qFormat/>
    <w:rsid w:val="008B1F54"/>
    <w:pPr>
      <w:spacing w:before="160" w:after="160" w:line="240" w:lineRule="auto"/>
    </w:pPr>
    <w:rPr>
      <w:rFonts w:cs="Arial"/>
      <w:b/>
      <w:smallCaps/>
      <w:sz w:val="24"/>
    </w:rPr>
  </w:style>
  <w:style w:type="character" w:customStyle="1" w:styleId="DocumentMapChar">
    <w:name w:val="Document Map Char"/>
    <w:basedOn w:val="DefaultParagraphFont"/>
    <w:link w:val="DocumentMap"/>
    <w:semiHidden/>
    <w:rsid w:val="008B1F54"/>
    <w:rPr>
      <w:rFonts w:ascii="Tahoma" w:hAnsi="Tahoma" w:cs="Tahoma"/>
      <w:szCs w:val="20"/>
      <w:shd w:val="clear" w:color="auto" w:fill="000080"/>
    </w:rPr>
  </w:style>
  <w:style w:type="paragraph" w:styleId="ListBullet">
    <w:name w:val="List Bullet"/>
    <w:basedOn w:val="Normal"/>
    <w:semiHidden/>
    <w:rsid w:val="008B1F54"/>
    <w:pPr>
      <w:numPr>
        <w:numId w:val="5"/>
      </w:numPr>
      <w:spacing w:before="160" w:after="160"/>
      <w:contextualSpacing/>
    </w:pPr>
  </w:style>
  <w:style w:type="table" w:styleId="GridTable4-Accent1">
    <w:name w:val="Grid Table 4 Accent 1"/>
    <w:basedOn w:val="TableNormal"/>
    <w:uiPriority w:val="49"/>
    <w:rsid w:val="008B1F54"/>
    <w:pPr>
      <w:spacing w:before="160" w:after="160"/>
    </w:pPr>
    <w:tblPr/>
    <w:tblStylePr w:type="firstRow">
      <w:pPr>
        <w:wordWrap/>
        <w:spacing w:beforeLines="0" w:before="0" w:beforeAutospacing="0" w:afterLines="0" w:after="0" w:afterAutospacing="0"/>
        <w:jc w:val="left"/>
      </w:pPr>
      <w:rPr>
        <w:b/>
        <w:bCs/>
        <w:color w:val="FFFFFF" w:themeColor="background1"/>
      </w:rPr>
    </w:tblStylePr>
    <w:tblStylePr w:type="lastRow">
      <w:rPr>
        <w:b/>
        <w:bCs/>
      </w:rPr>
    </w:tblStylePr>
    <w:tblStylePr w:type="firstCol">
      <w:rPr>
        <w:b/>
        <w:bCs/>
      </w:rPr>
    </w:tblStylePr>
    <w:tblStylePr w:type="lastCol">
      <w:rPr>
        <w:b/>
        <w:bCs/>
      </w:rPr>
    </w:tblStylePr>
  </w:style>
  <w:style w:type="table" w:styleId="TableGrid4">
    <w:name w:val="Table Grid 4"/>
    <w:basedOn w:val="TableNormal"/>
    <w:semiHidden/>
    <w:unhideWhenUsed/>
    <w:rsid w:val="008B1F54"/>
    <w:pPr>
      <w:spacing w:before="160" w:after="160"/>
    </w:pPr>
    <w:tblPr/>
    <w:tblStylePr w:type="firstRow">
      <w:rPr>
        <w:color w:val="auto"/>
      </w:rPr>
    </w:tblStylePr>
    <w:tblStylePr w:type="lastRow">
      <w:rPr>
        <w:b/>
        <w:bCs/>
        <w:color w:val="auto"/>
      </w:rPr>
    </w:tblStylePr>
    <w:tblStylePr w:type="lastCol">
      <w:rPr>
        <w:b/>
        <w:bCs/>
        <w:color w:val="auto"/>
      </w:rPr>
    </w:tblStylePr>
  </w:style>
  <w:style w:type="table" w:styleId="ListTable3-Accent1">
    <w:name w:val="List Table 3 Accent 1"/>
    <w:basedOn w:val="TableNormal"/>
    <w:uiPriority w:val="48"/>
    <w:rsid w:val="008B1F54"/>
    <w:pPr>
      <w:spacing w:before="160" w:after="160"/>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1Light-Accent1">
    <w:name w:val="Grid Table 1 Light Accent 1"/>
    <w:basedOn w:val="TableNormal"/>
    <w:uiPriority w:val="46"/>
    <w:rsid w:val="008B1F54"/>
    <w:pPr>
      <w:spacing w:before="160" w:after="160"/>
    </w:pPr>
    <w:tblPr/>
    <w:tblStylePr w:type="firstRow">
      <w:rPr>
        <w:b/>
        <w:bCs/>
      </w:rPr>
    </w:tblStylePr>
    <w:tblStylePr w:type="lastRow">
      <w:rPr>
        <w:b/>
        <w:bCs/>
      </w:rPr>
    </w:tblStylePr>
    <w:tblStylePr w:type="firstCol">
      <w:rPr>
        <w:b/>
        <w:bCs/>
      </w:rPr>
    </w:tblStylePr>
    <w:tblStylePr w:type="lastCol">
      <w:rPr>
        <w:b/>
        <w:bCs/>
      </w:rPr>
    </w:tblStylePr>
  </w:style>
  <w:style w:type="table" w:styleId="GridTable5Dark-Accent1">
    <w:name w:val="Grid Table 5 Dark Accent 1"/>
    <w:basedOn w:val="TableNormal"/>
    <w:uiPriority w:val="50"/>
    <w:rsid w:val="008B1F54"/>
    <w:pPr>
      <w:spacing w:before="160" w:after="160"/>
    </w:p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styleId="ListTable4-Accent1">
    <w:name w:val="List Table 4 Accent 1"/>
    <w:basedOn w:val="TableNormal"/>
    <w:uiPriority w:val="49"/>
    <w:rsid w:val="008B1F54"/>
    <w:pPr>
      <w:spacing w:before="160" w:after="160"/>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4">
    <w:name w:val="Grid Table 4"/>
    <w:basedOn w:val="TableNormal"/>
    <w:uiPriority w:val="49"/>
    <w:rsid w:val="008B1F54"/>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character" w:customStyle="1" w:styleId="TOC1Char">
    <w:name w:val="TOC 1 Char"/>
    <w:basedOn w:val="DefaultParagraphFont"/>
    <w:link w:val="TOC1"/>
    <w:uiPriority w:val="39"/>
    <w:rsid w:val="00FE5E85"/>
    <w:rPr>
      <w:b/>
      <w:noProof/>
    </w:rPr>
  </w:style>
  <w:style w:type="character" w:customStyle="1" w:styleId="TOC2Char">
    <w:name w:val="TOC 2 Char"/>
    <w:basedOn w:val="TOC1Char"/>
    <w:link w:val="TOC2"/>
    <w:uiPriority w:val="39"/>
    <w:rsid w:val="00FE5E85"/>
    <w:rPr>
      <w:b w:val="0"/>
      <w:noProof/>
    </w:rPr>
  </w:style>
  <w:style w:type="character" w:customStyle="1" w:styleId="TOC3Char">
    <w:name w:val="TOC 3 Char"/>
    <w:basedOn w:val="DefaultParagraphFont"/>
    <w:link w:val="TOC3"/>
    <w:uiPriority w:val="39"/>
    <w:rsid w:val="00405D6D"/>
    <w:rPr>
      <w:i/>
      <w:noProof/>
    </w:rPr>
  </w:style>
  <w:style w:type="paragraph" w:styleId="TableofFigures">
    <w:name w:val="table of figures"/>
    <w:basedOn w:val="Normal"/>
    <w:next w:val="Normal"/>
    <w:unhideWhenUsed/>
    <w:rsid w:val="008B1F54"/>
    <w:pPr>
      <w:spacing w:before="0" w:after="0" w:line="240" w:lineRule="auto"/>
    </w:pPr>
  </w:style>
  <w:style w:type="character" w:customStyle="1" w:styleId="BodyTextIndentChar">
    <w:name w:val="Body Text Indent Char"/>
    <w:basedOn w:val="DefaultParagraphFont"/>
    <w:link w:val="BodyTextIndent"/>
    <w:semiHidden/>
    <w:rsid w:val="008B1F54"/>
  </w:style>
  <w:style w:type="character" w:customStyle="1" w:styleId="BodyText3Char">
    <w:name w:val="Body Text 3 Char"/>
    <w:basedOn w:val="DefaultParagraphFont"/>
    <w:link w:val="BodyText3"/>
    <w:semiHidden/>
    <w:rsid w:val="008B1F54"/>
    <w:rPr>
      <w:sz w:val="16"/>
      <w:szCs w:val="16"/>
    </w:rPr>
  </w:style>
  <w:style w:type="character" w:customStyle="1" w:styleId="BodyTextIndent2Char">
    <w:name w:val="Body Text Indent 2 Char"/>
    <w:basedOn w:val="DefaultParagraphFont"/>
    <w:link w:val="BodyTextIndent2"/>
    <w:semiHidden/>
    <w:rsid w:val="008B1F54"/>
    <w:rPr>
      <w:rFonts w:ascii="Times New Roman" w:hAnsi="Times New Roman"/>
      <w:b/>
      <w:bCs/>
      <w:i/>
      <w:iCs/>
      <w:szCs w:val="20"/>
    </w:rPr>
  </w:style>
  <w:style w:type="character" w:customStyle="1" w:styleId="BodyTextIndent3Char">
    <w:name w:val="Body Text Indent 3 Char"/>
    <w:basedOn w:val="DefaultParagraphFont"/>
    <w:link w:val="BodyTextIndent3"/>
    <w:semiHidden/>
    <w:rsid w:val="008B1F54"/>
    <w:rPr>
      <w:rFonts w:ascii="Times New Roman" w:hAnsi="Times New Roman"/>
      <w:szCs w:val="20"/>
    </w:rPr>
  </w:style>
  <w:style w:type="numbering" w:customStyle="1" w:styleId="RFPStyle1">
    <w:name w:val="RFP Style1"/>
    <w:basedOn w:val="NoList"/>
    <w:semiHidden/>
    <w:rsid w:val="008B1F54"/>
  </w:style>
  <w:style w:type="numbering" w:customStyle="1" w:styleId="10111111">
    <w:name w:val="1.0 / 1.1 / 1.1.11"/>
    <w:basedOn w:val="NoList"/>
    <w:next w:val="111111"/>
    <w:rsid w:val="008B1F54"/>
  </w:style>
  <w:style w:type="table" w:customStyle="1" w:styleId="DOH-LeftHeader">
    <w:name w:val="DOH - Left Header"/>
    <w:basedOn w:val="TableNormal"/>
    <w:next w:val="GridTable4-Accent2"/>
    <w:uiPriority w:val="49"/>
    <w:rsid w:val="00AE7C7C"/>
    <w:pPr>
      <w:spacing w:before="0" w:after="0"/>
    </w:pPr>
    <w:rPr>
      <w:sz w:val="20"/>
      <w:szCs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wordWrap/>
        <w:jc w:val="left"/>
      </w:pPr>
      <w:rPr>
        <w:b/>
        <w:bCs/>
        <w:color w:val="FFFFFF"/>
      </w:rPr>
      <w:tblPr/>
      <w:trPr>
        <w:tblHeader/>
      </w:trPr>
      <w:tcPr>
        <w:shd w:val="clear" w:color="auto" w:fill="43285D"/>
        <w:vAlign w:val="center"/>
      </w:tcPr>
    </w:tblStylePr>
    <w:tblStylePr w:type="lastRow">
      <w:rPr>
        <w:b/>
        <w:bCs/>
      </w:rPr>
      <w:tblPr/>
      <w:tcPr>
        <w:shd w:val="clear" w:color="auto" w:fill="43285D"/>
      </w:tcPr>
    </w:tblStylePr>
    <w:tblStylePr w:type="firstCol">
      <w:rPr>
        <w:b/>
        <w:bCs/>
      </w:rPr>
      <w:tblPr/>
      <w:tcPr>
        <w:shd w:val="clear" w:color="auto" w:fill="43285D" w:themeFill="accent1"/>
      </w:tcPr>
    </w:tblStylePr>
    <w:tblStylePr w:type="lastCol">
      <w:rPr>
        <w:b/>
        <w:bCs/>
      </w:rPr>
    </w:tblStylePr>
    <w:tblStylePr w:type="band1Vert">
      <w:tblPr/>
      <w:tcPr>
        <w:shd w:val="clear" w:color="auto" w:fill="E7E5EC"/>
      </w:tcPr>
    </w:tblStylePr>
    <w:tblStylePr w:type="band2Horz">
      <w:tblPr/>
      <w:tcPr>
        <w:shd w:val="clear" w:color="auto" w:fill="F2F2F2" w:themeFill="background1" w:themeFillShade="F2"/>
      </w:tcPr>
    </w:tblStylePr>
  </w:style>
  <w:style w:type="paragraph" w:customStyle="1" w:styleId="Bullet2">
    <w:name w:val="Bullet 2"/>
    <w:basedOn w:val="ListBullet2"/>
    <w:qFormat/>
    <w:rsid w:val="008B1F54"/>
    <w:pPr>
      <w:numPr>
        <w:ilvl w:val="1"/>
        <w:numId w:val="6"/>
      </w:numPr>
    </w:pPr>
    <w:rPr>
      <w:szCs w:val="24"/>
    </w:rPr>
  </w:style>
  <w:style w:type="paragraph" w:styleId="ListBullet2">
    <w:name w:val="List Bullet 2"/>
    <w:basedOn w:val="Normal"/>
    <w:semiHidden/>
    <w:rsid w:val="008B1F54"/>
    <w:pPr>
      <w:numPr>
        <w:numId w:val="1"/>
      </w:numPr>
      <w:contextualSpacing/>
    </w:pPr>
  </w:style>
  <w:style w:type="paragraph" w:customStyle="1" w:styleId="Bullet3">
    <w:name w:val="Bullet 3"/>
    <w:basedOn w:val="ListBullet3"/>
    <w:qFormat/>
    <w:rsid w:val="008B1F54"/>
    <w:pPr>
      <w:numPr>
        <w:ilvl w:val="2"/>
        <w:numId w:val="6"/>
      </w:numPr>
    </w:pPr>
    <w:rPr>
      <w:szCs w:val="24"/>
    </w:rPr>
  </w:style>
  <w:style w:type="paragraph" w:styleId="ListBullet3">
    <w:name w:val="List Bullet 3"/>
    <w:basedOn w:val="Normal"/>
    <w:semiHidden/>
    <w:rsid w:val="008B1F54"/>
    <w:pPr>
      <w:numPr>
        <w:numId w:val="2"/>
      </w:numPr>
      <w:contextualSpacing/>
    </w:pPr>
  </w:style>
  <w:style w:type="paragraph" w:customStyle="1" w:styleId="Bullet4">
    <w:name w:val="Bullet 4"/>
    <w:basedOn w:val="ListBullet4"/>
    <w:qFormat/>
    <w:rsid w:val="008B1F54"/>
    <w:pPr>
      <w:numPr>
        <w:ilvl w:val="3"/>
        <w:numId w:val="6"/>
      </w:numPr>
    </w:pPr>
    <w:rPr>
      <w:szCs w:val="24"/>
    </w:rPr>
  </w:style>
  <w:style w:type="paragraph" w:styleId="ListBullet4">
    <w:name w:val="List Bullet 4"/>
    <w:basedOn w:val="Normal"/>
    <w:semiHidden/>
    <w:rsid w:val="008B1F54"/>
    <w:pPr>
      <w:numPr>
        <w:numId w:val="3"/>
      </w:numPr>
      <w:contextualSpacing/>
    </w:pPr>
  </w:style>
  <w:style w:type="paragraph" w:customStyle="1" w:styleId="Bullet5">
    <w:name w:val="Bullet 5"/>
    <w:basedOn w:val="ListBullet5"/>
    <w:qFormat/>
    <w:rsid w:val="008B1F54"/>
    <w:pPr>
      <w:numPr>
        <w:ilvl w:val="4"/>
        <w:numId w:val="6"/>
      </w:numPr>
    </w:pPr>
    <w:rPr>
      <w:szCs w:val="24"/>
    </w:rPr>
  </w:style>
  <w:style w:type="paragraph" w:styleId="ListBullet5">
    <w:name w:val="List Bullet 5"/>
    <w:basedOn w:val="Normal"/>
    <w:semiHidden/>
    <w:rsid w:val="008B1F54"/>
    <w:pPr>
      <w:numPr>
        <w:numId w:val="4"/>
      </w:numPr>
      <w:contextualSpacing/>
    </w:pPr>
  </w:style>
  <w:style w:type="numbering" w:customStyle="1" w:styleId="ListBullets">
    <w:name w:val="ListBullets"/>
    <w:uiPriority w:val="99"/>
    <w:rsid w:val="00B63C7D"/>
    <w:pPr>
      <w:numPr>
        <w:numId w:val="6"/>
      </w:numPr>
    </w:pPr>
  </w:style>
  <w:style w:type="numbering" w:customStyle="1" w:styleId="ListNumbers">
    <w:name w:val="ListNumbers"/>
    <w:uiPriority w:val="99"/>
    <w:rsid w:val="00B63C7D"/>
    <w:pPr>
      <w:numPr>
        <w:numId w:val="7"/>
      </w:numPr>
    </w:pPr>
  </w:style>
  <w:style w:type="paragraph" w:customStyle="1" w:styleId="Number1">
    <w:name w:val="Number 1"/>
    <w:basedOn w:val="Normal"/>
    <w:rsid w:val="008B1F54"/>
    <w:pPr>
      <w:numPr>
        <w:numId w:val="8"/>
      </w:numPr>
      <w:contextualSpacing/>
    </w:pPr>
    <w:rPr>
      <w:rFonts w:eastAsiaTheme="minorHAnsi" w:cstheme="minorBidi"/>
      <w:szCs w:val="24"/>
    </w:rPr>
  </w:style>
  <w:style w:type="paragraph" w:customStyle="1" w:styleId="Number2">
    <w:name w:val="Number 2"/>
    <w:basedOn w:val="Normal"/>
    <w:rsid w:val="008B1F54"/>
    <w:pPr>
      <w:numPr>
        <w:ilvl w:val="1"/>
        <w:numId w:val="8"/>
      </w:numPr>
      <w:contextualSpacing/>
    </w:pPr>
    <w:rPr>
      <w:rFonts w:eastAsiaTheme="minorHAnsi" w:cstheme="minorBidi"/>
      <w:szCs w:val="24"/>
    </w:rPr>
  </w:style>
  <w:style w:type="paragraph" w:customStyle="1" w:styleId="Number3">
    <w:name w:val="Number 3"/>
    <w:basedOn w:val="Normal"/>
    <w:rsid w:val="008B1F54"/>
    <w:pPr>
      <w:numPr>
        <w:ilvl w:val="2"/>
        <w:numId w:val="8"/>
      </w:numPr>
      <w:contextualSpacing/>
    </w:pPr>
    <w:rPr>
      <w:rFonts w:eastAsiaTheme="minorHAnsi" w:cstheme="minorBidi"/>
      <w:szCs w:val="24"/>
    </w:rPr>
  </w:style>
  <w:style w:type="paragraph" w:customStyle="1" w:styleId="Number4">
    <w:name w:val="Number 4"/>
    <w:basedOn w:val="Normal"/>
    <w:rsid w:val="008B1F54"/>
    <w:pPr>
      <w:numPr>
        <w:ilvl w:val="3"/>
        <w:numId w:val="8"/>
      </w:numPr>
      <w:contextualSpacing/>
    </w:pPr>
    <w:rPr>
      <w:rFonts w:eastAsiaTheme="minorHAnsi" w:cstheme="minorBidi"/>
      <w:szCs w:val="24"/>
    </w:rPr>
  </w:style>
  <w:style w:type="paragraph" w:customStyle="1" w:styleId="Number5">
    <w:name w:val="Number 5"/>
    <w:basedOn w:val="Normal"/>
    <w:rsid w:val="008B1F54"/>
    <w:pPr>
      <w:numPr>
        <w:ilvl w:val="4"/>
        <w:numId w:val="8"/>
      </w:numPr>
      <w:contextualSpacing/>
    </w:pPr>
    <w:rPr>
      <w:rFonts w:eastAsiaTheme="minorHAnsi" w:cstheme="minorBidi"/>
      <w:szCs w:val="24"/>
    </w:rPr>
  </w:style>
  <w:style w:type="paragraph" w:customStyle="1" w:styleId="TableBullet">
    <w:name w:val="Table Bullet"/>
    <w:basedOn w:val="Normal"/>
    <w:qFormat/>
    <w:rsid w:val="008B1F54"/>
    <w:pPr>
      <w:numPr>
        <w:numId w:val="11"/>
      </w:numPr>
    </w:pPr>
    <w:rPr>
      <w:rFonts w:cs="Arial"/>
      <w:szCs w:val="24"/>
    </w:rPr>
  </w:style>
  <w:style w:type="paragraph" w:customStyle="1" w:styleId="TableBullet2">
    <w:name w:val="Table Bullet 2"/>
    <w:basedOn w:val="Normal"/>
    <w:rsid w:val="008B1F54"/>
    <w:pPr>
      <w:numPr>
        <w:ilvl w:val="1"/>
        <w:numId w:val="11"/>
      </w:numPr>
    </w:pPr>
    <w:rPr>
      <w:szCs w:val="24"/>
    </w:rPr>
  </w:style>
  <w:style w:type="paragraph" w:customStyle="1" w:styleId="TableBullet3">
    <w:name w:val="Table Bullet 3"/>
    <w:basedOn w:val="Normal"/>
    <w:rsid w:val="008B1F54"/>
    <w:pPr>
      <w:numPr>
        <w:ilvl w:val="2"/>
        <w:numId w:val="11"/>
      </w:numPr>
    </w:pPr>
    <w:rPr>
      <w:szCs w:val="24"/>
    </w:rPr>
  </w:style>
  <w:style w:type="paragraph" w:customStyle="1" w:styleId="TableBullet4">
    <w:name w:val="Table Bullet 4"/>
    <w:basedOn w:val="Normal"/>
    <w:rsid w:val="008B1F54"/>
    <w:pPr>
      <w:numPr>
        <w:ilvl w:val="3"/>
        <w:numId w:val="11"/>
      </w:numPr>
    </w:pPr>
    <w:rPr>
      <w:szCs w:val="24"/>
    </w:rPr>
  </w:style>
  <w:style w:type="paragraph" w:customStyle="1" w:styleId="TableBullet5">
    <w:name w:val="Table Bullet 5"/>
    <w:basedOn w:val="Normal"/>
    <w:rsid w:val="008B1F54"/>
    <w:pPr>
      <w:numPr>
        <w:ilvl w:val="4"/>
        <w:numId w:val="11"/>
      </w:numPr>
    </w:pPr>
    <w:rPr>
      <w:szCs w:val="24"/>
    </w:rPr>
  </w:style>
  <w:style w:type="paragraph" w:customStyle="1" w:styleId="TableNumber">
    <w:name w:val="Table Number"/>
    <w:basedOn w:val="Normal"/>
    <w:qFormat/>
    <w:rsid w:val="00B63C7D"/>
    <w:pPr>
      <w:numPr>
        <w:numId w:val="14"/>
      </w:numPr>
    </w:pPr>
    <w:rPr>
      <w:szCs w:val="24"/>
    </w:rPr>
  </w:style>
  <w:style w:type="paragraph" w:customStyle="1" w:styleId="TableNumber2">
    <w:name w:val="Table Number 2"/>
    <w:basedOn w:val="Normal"/>
    <w:qFormat/>
    <w:rsid w:val="008B1F54"/>
    <w:pPr>
      <w:numPr>
        <w:ilvl w:val="1"/>
        <w:numId w:val="14"/>
      </w:numPr>
    </w:pPr>
    <w:rPr>
      <w:szCs w:val="24"/>
    </w:rPr>
  </w:style>
  <w:style w:type="paragraph" w:customStyle="1" w:styleId="TableNumber3">
    <w:name w:val="Table Number 3"/>
    <w:basedOn w:val="Normal"/>
    <w:qFormat/>
    <w:rsid w:val="008B1F54"/>
    <w:pPr>
      <w:numPr>
        <w:ilvl w:val="2"/>
        <w:numId w:val="14"/>
      </w:numPr>
    </w:pPr>
    <w:rPr>
      <w:szCs w:val="24"/>
    </w:rPr>
  </w:style>
  <w:style w:type="paragraph" w:customStyle="1" w:styleId="TableNumber4">
    <w:name w:val="Table Number 4"/>
    <w:basedOn w:val="Normal"/>
    <w:qFormat/>
    <w:rsid w:val="008B1F54"/>
    <w:pPr>
      <w:numPr>
        <w:ilvl w:val="3"/>
        <w:numId w:val="14"/>
      </w:numPr>
    </w:pPr>
    <w:rPr>
      <w:szCs w:val="24"/>
    </w:rPr>
  </w:style>
  <w:style w:type="paragraph" w:customStyle="1" w:styleId="TableNumber5">
    <w:name w:val="Table Number 5"/>
    <w:basedOn w:val="Normal"/>
    <w:qFormat/>
    <w:rsid w:val="008B1F54"/>
    <w:pPr>
      <w:numPr>
        <w:ilvl w:val="4"/>
        <w:numId w:val="14"/>
      </w:numPr>
    </w:pPr>
    <w:rPr>
      <w:szCs w:val="24"/>
    </w:rPr>
  </w:style>
  <w:style w:type="numbering" w:customStyle="1" w:styleId="TableBullets">
    <w:name w:val="TableBullets"/>
    <w:uiPriority w:val="99"/>
    <w:rsid w:val="00B63C7D"/>
    <w:pPr>
      <w:numPr>
        <w:numId w:val="11"/>
      </w:numPr>
    </w:pPr>
  </w:style>
  <w:style w:type="numbering" w:customStyle="1" w:styleId="TableNumbers">
    <w:name w:val="TableNumbers"/>
    <w:uiPriority w:val="99"/>
    <w:rsid w:val="00B63C7D"/>
    <w:pPr>
      <w:numPr>
        <w:numId w:val="12"/>
      </w:numPr>
    </w:pPr>
  </w:style>
  <w:style w:type="paragraph" w:styleId="EndnoteText">
    <w:name w:val="endnote text"/>
    <w:basedOn w:val="Normal"/>
    <w:link w:val="EndnoteTextChar"/>
    <w:semiHidden/>
    <w:rsid w:val="008B1F54"/>
    <w:rPr>
      <w:rFonts w:eastAsiaTheme="minorEastAsia" w:cstheme="minorBidi"/>
      <w:szCs w:val="20"/>
      <w:lang w:eastAsia="ja-JP"/>
    </w:rPr>
  </w:style>
  <w:style w:type="character" w:customStyle="1" w:styleId="EndnoteTextChar">
    <w:name w:val="Endnote Text Char"/>
    <w:basedOn w:val="DefaultParagraphFont"/>
    <w:link w:val="EndnoteText"/>
    <w:semiHidden/>
    <w:rsid w:val="008B1F54"/>
    <w:rPr>
      <w:rFonts w:eastAsiaTheme="minorEastAsia" w:cstheme="minorBidi"/>
      <w:szCs w:val="20"/>
      <w:lang w:eastAsia="ja-JP"/>
    </w:rPr>
  </w:style>
  <w:style w:type="numbering" w:customStyle="1" w:styleId="NoList1">
    <w:name w:val="No List1"/>
    <w:next w:val="NoList"/>
    <w:uiPriority w:val="99"/>
    <w:semiHidden/>
    <w:unhideWhenUsed/>
    <w:rsid w:val="008B1F54"/>
  </w:style>
  <w:style w:type="numbering" w:customStyle="1" w:styleId="NoList2">
    <w:name w:val="No List2"/>
    <w:next w:val="NoList"/>
    <w:semiHidden/>
    <w:unhideWhenUsed/>
    <w:rsid w:val="008B1F54"/>
  </w:style>
  <w:style w:type="paragraph" w:styleId="TOAHeading">
    <w:name w:val="toa heading"/>
    <w:basedOn w:val="Normal"/>
    <w:next w:val="Normal"/>
    <w:semiHidden/>
    <w:rsid w:val="008B1F54"/>
    <w:pPr>
      <w:widowControl w:val="0"/>
      <w:tabs>
        <w:tab w:val="right" w:pos="9360"/>
      </w:tabs>
      <w:suppressAutoHyphens/>
      <w:spacing w:after="0" w:line="240" w:lineRule="auto"/>
    </w:pPr>
    <w:rPr>
      <w:rFonts w:ascii="Courier New" w:hAnsi="Courier New"/>
      <w:szCs w:val="20"/>
    </w:rPr>
  </w:style>
  <w:style w:type="character" w:styleId="UnresolvedMention">
    <w:name w:val="Unresolved Mention"/>
    <w:basedOn w:val="DefaultParagraphFont"/>
    <w:uiPriority w:val="99"/>
    <w:semiHidden/>
    <w:rsid w:val="008B1F54"/>
    <w:rPr>
      <w:color w:val="808080"/>
      <w:shd w:val="clear" w:color="auto" w:fill="E6E6E6"/>
    </w:rPr>
  </w:style>
  <w:style w:type="numbering" w:customStyle="1" w:styleId="NoList11">
    <w:name w:val="No List11"/>
    <w:next w:val="NoList"/>
    <w:uiPriority w:val="99"/>
    <w:semiHidden/>
    <w:unhideWhenUsed/>
    <w:rsid w:val="008B1F54"/>
  </w:style>
  <w:style w:type="numbering" w:customStyle="1" w:styleId="NoList3">
    <w:name w:val="No List3"/>
    <w:next w:val="NoList"/>
    <w:uiPriority w:val="99"/>
    <w:semiHidden/>
    <w:unhideWhenUsed/>
    <w:rsid w:val="008B1F54"/>
  </w:style>
  <w:style w:type="numbering" w:customStyle="1" w:styleId="NoList12">
    <w:name w:val="No List12"/>
    <w:next w:val="NoList"/>
    <w:uiPriority w:val="99"/>
    <w:semiHidden/>
    <w:unhideWhenUsed/>
    <w:rsid w:val="008B1F54"/>
  </w:style>
  <w:style w:type="numbering" w:customStyle="1" w:styleId="NoList21">
    <w:name w:val="No List21"/>
    <w:next w:val="NoList"/>
    <w:semiHidden/>
    <w:unhideWhenUsed/>
    <w:rsid w:val="008B1F54"/>
  </w:style>
  <w:style w:type="paragraph" w:customStyle="1" w:styleId="NoteBeneathTable">
    <w:name w:val="Note Beneath Table"/>
    <w:basedOn w:val="Normal"/>
    <w:qFormat/>
    <w:rsid w:val="008B1F54"/>
    <w:pPr>
      <w:contextualSpacing/>
    </w:pPr>
    <w:rPr>
      <w:sz w:val="20"/>
      <w:szCs w:val="20"/>
    </w:rPr>
  </w:style>
  <w:style w:type="table" w:customStyle="1" w:styleId="DOH">
    <w:name w:val="DOH"/>
    <w:basedOn w:val="TableNormal"/>
    <w:next w:val="GridTable4-Accent2"/>
    <w:uiPriority w:val="49"/>
    <w:rsid w:val="008B1F54"/>
    <w:pPr>
      <w:spacing w:before="0" w:after="0"/>
    </w:pPr>
    <w:rPr>
      <w:sz w:val="20"/>
      <w:szCs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wordWrap/>
        <w:jc w:val="left"/>
      </w:pPr>
      <w:rPr>
        <w:b/>
        <w:bCs/>
        <w:color w:val="FFFFFF"/>
      </w:rPr>
      <w:tblPr/>
      <w:trPr>
        <w:tblHeader/>
      </w:trPr>
      <w:tcPr>
        <w:shd w:val="clear" w:color="auto" w:fill="43285D"/>
        <w:vAlign w:val="center"/>
      </w:tcPr>
    </w:tblStylePr>
    <w:tblStylePr w:type="lastRow">
      <w:rPr>
        <w:b/>
        <w:bCs/>
      </w:rPr>
      <w:tblPr/>
      <w:tcPr>
        <w:shd w:val="clear" w:color="auto" w:fill="43285D"/>
      </w:tcPr>
    </w:tblStylePr>
    <w:tblStylePr w:type="firstCol">
      <w:rPr>
        <w:b/>
        <w:bCs/>
      </w:rPr>
    </w:tblStylePr>
    <w:tblStylePr w:type="lastCol">
      <w:rPr>
        <w:b/>
        <w:bCs/>
      </w:rPr>
    </w:tblStylePr>
    <w:tblStylePr w:type="band1Vert">
      <w:tblPr/>
      <w:tcPr>
        <w:shd w:val="clear" w:color="auto" w:fill="E7E5EC"/>
      </w:tcPr>
    </w:tblStylePr>
    <w:tblStylePr w:type="band2Horz">
      <w:tblPr/>
      <w:tcPr>
        <w:shd w:val="clear" w:color="auto" w:fill="F2F2F2" w:themeFill="background1" w:themeFillShade="F2"/>
      </w:tcPr>
    </w:tblStylePr>
  </w:style>
  <w:style w:type="paragraph" w:customStyle="1" w:styleId="HeadingSLA">
    <w:name w:val="Heading SLA"/>
    <w:basedOn w:val="Normal"/>
    <w:next w:val="Normal"/>
    <w:qFormat/>
    <w:rsid w:val="00937454"/>
    <w:pPr>
      <w:keepNext/>
      <w:keepLines/>
      <w:numPr>
        <w:numId w:val="13"/>
      </w:numPr>
      <w:spacing w:before="240" w:after="240"/>
      <w:ind w:left="1152" w:hanging="1152"/>
      <w:outlineLvl w:val="2"/>
    </w:pPr>
    <w:rPr>
      <w:b/>
      <w:sz w:val="28"/>
    </w:rPr>
  </w:style>
  <w:style w:type="paragraph" w:customStyle="1" w:styleId="paragraph">
    <w:name w:val="paragraph"/>
    <w:basedOn w:val="Normal"/>
    <w:rsid w:val="0084006F"/>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4006F"/>
  </w:style>
  <w:style w:type="character" w:customStyle="1" w:styleId="eop">
    <w:name w:val="eop"/>
    <w:basedOn w:val="DefaultParagraphFont"/>
    <w:rsid w:val="0084006F"/>
  </w:style>
  <w:style w:type="character" w:customStyle="1" w:styleId="contentcontrolboundarysink">
    <w:name w:val="contentcontrolboundarysink"/>
    <w:basedOn w:val="DefaultParagraphFont"/>
    <w:rsid w:val="00840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60215">
      <w:bodyDiv w:val="1"/>
      <w:marLeft w:val="0"/>
      <w:marRight w:val="0"/>
      <w:marTop w:val="0"/>
      <w:marBottom w:val="0"/>
      <w:divBdr>
        <w:top w:val="none" w:sz="0" w:space="0" w:color="auto"/>
        <w:left w:val="none" w:sz="0" w:space="0" w:color="auto"/>
        <w:bottom w:val="none" w:sz="0" w:space="0" w:color="auto"/>
        <w:right w:val="none" w:sz="0" w:space="0" w:color="auto"/>
      </w:divBdr>
    </w:div>
    <w:div w:id="11037664">
      <w:bodyDiv w:val="1"/>
      <w:marLeft w:val="0"/>
      <w:marRight w:val="0"/>
      <w:marTop w:val="0"/>
      <w:marBottom w:val="0"/>
      <w:divBdr>
        <w:top w:val="none" w:sz="0" w:space="0" w:color="auto"/>
        <w:left w:val="none" w:sz="0" w:space="0" w:color="auto"/>
        <w:bottom w:val="none" w:sz="0" w:space="0" w:color="auto"/>
        <w:right w:val="none" w:sz="0" w:space="0" w:color="auto"/>
      </w:divBdr>
      <w:divsChild>
        <w:div w:id="512960102">
          <w:marLeft w:val="0"/>
          <w:marRight w:val="0"/>
          <w:marTop w:val="0"/>
          <w:marBottom w:val="0"/>
          <w:divBdr>
            <w:top w:val="none" w:sz="0" w:space="0" w:color="auto"/>
            <w:left w:val="none" w:sz="0" w:space="0" w:color="auto"/>
            <w:bottom w:val="none" w:sz="0" w:space="0" w:color="auto"/>
            <w:right w:val="none" w:sz="0" w:space="0" w:color="auto"/>
          </w:divBdr>
        </w:div>
        <w:div w:id="1298801933">
          <w:marLeft w:val="0"/>
          <w:marRight w:val="0"/>
          <w:marTop w:val="0"/>
          <w:marBottom w:val="0"/>
          <w:divBdr>
            <w:top w:val="none" w:sz="0" w:space="0" w:color="auto"/>
            <w:left w:val="none" w:sz="0" w:space="0" w:color="auto"/>
            <w:bottom w:val="none" w:sz="0" w:space="0" w:color="auto"/>
            <w:right w:val="none" w:sz="0" w:space="0" w:color="auto"/>
          </w:divBdr>
        </w:div>
        <w:div w:id="1501502364">
          <w:marLeft w:val="0"/>
          <w:marRight w:val="0"/>
          <w:marTop w:val="0"/>
          <w:marBottom w:val="0"/>
          <w:divBdr>
            <w:top w:val="none" w:sz="0" w:space="0" w:color="auto"/>
            <w:left w:val="none" w:sz="0" w:space="0" w:color="auto"/>
            <w:bottom w:val="none" w:sz="0" w:space="0" w:color="auto"/>
            <w:right w:val="none" w:sz="0" w:space="0" w:color="auto"/>
          </w:divBdr>
        </w:div>
        <w:div w:id="1501851933">
          <w:marLeft w:val="0"/>
          <w:marRight w:val="0"/>
          <w:marTop w:val="0"/>
          <w:marBottom w:val="0"/>
          <w:divBdr>
            <w:top w:val="none" w:sz="0" w:space="0" w:color="auto"/>
            <w:left w:val="none" w:sz="0" w:space="0" w:color="auto"/>
            <w:bottom w:val="none" w:sz="0" w:space="0" w:color="auto"/>
            <w:right w:val="none" w:sz="0" w:space="0" w:color="auto"/>
          </w:divBdr>
        </w:div>
        <w:div w:id="1815832222">
          <w:marLeft w:val="0"/>
          <w:marRight w:val="0"/>
          <w:marTop w:val="0"/>
          <w:marBottom w:val="0"/>
          <w:divBdr>
            <w:top w:val="none" w:sz="0" w:space="0" w:color="auto"/>
            <w:left w:val="none" w:sz="0" w:space="0" w:color="auto"/>
            <w:bottom w:val="none" w:sz="0" w:space="0" w:color="auto"/>
            <w:right w:val="none" w:sz="0" w:space="0" w:color="auto"/>
          </w:divBdr>
        </w:div>
      </w:divsChild>
    </w:div>
    <w:div w:id="18509343">
      <w:bodyDiv w:val="1"/>
      <w:marLeft w:val="0"/>
      <w:marRight w:val="0"/>
      <w:marTop w:val="0"/>
      <w:marBottom w:val="0"/>
      <w:divBdr>
        <w:top w:val="none" w:sz="0" w:space="0" w:color="auto"/>
        <w:left w:val="none" w:sz="0" w:space="0" w:color="auto"/>
        <w:bottom w:val="none" w:sz="0" w:space="0" w:color="auto"/>
        <w:right w:val="none" w:sz="0" w:space="0" w:color="auto"/>
      </w:divBdr>
    </w:div>
    <w:div w:id="36321165">
      <w:bodyDiv w:val="1"/>
      <w:marLeft w:val="0"/>
      <w:marRight w:val="0"/>
      <w:marTop w:val="0"/>
      <w:marBottom w:val="0"/>
      <w:divBdr>
        <w:top w:val="none" w:sz="0" w:space="0" w:color="auto"/>
        <w:left w:val="none" w:sz="0" w:space="0" w:color="auto"/>
        <w:bottom w:val="none" w:sz="0" w:space="0" w:color="auto"/>
        <w:right w:val="none" w:sz="0" w:space="0" w:color="auto"/>
      </w:divBdr>
    </w:div>
    <w:div w:id="39668137">
      <w:bodyDiv w:val="1"/>
      <w:marLeft w:val="0"/>
      <w:marRight w:val="0"/>
      <w:marTop w:val="0"/>
      <w:marBottom w:val="0"/>
      <w:divBdr>
        <w:top w:val="none" w:sz="0" w:space="0" w:color="auto"/>
        <w:left w:val="none" w:sz="0" w:space="0" w:color="auto"/>
        <w:bottom w:val="none" w:sz="0" w:space="0" w:color="auto"/>
        <w:right w:val="none" w:sz="0" w:space="0" w:color="auto"/>
      </w:divBdr>
    </w:div>
    <w:div w:id="50884524">
      <w:bodyDiv w:val="1"/>
      <w:marLeft w:val="0"/>
      <w:marRight w:val="0"/>
      <w:marTop w:val="0"/>
      <w:marBottom w:val="0"/>
      <w:divBdr>
        <w:top w:val="none" w:sz="0" w:space="0" w:color="auto"/>
        <w:left w:val="none" w:sz="0" w:space="0" w:color="auto"/>
        <w:bottom w:val="none" w:sz="0" w:space="0" w:color="auto"/>
        <w:right w:val="none" w:sz="0" w:space="0" w:color="auto"/>
      </w:divBdr>
    </w:div>
    <w:div w:id="69275323">
      <w:bodyDiv w:val="1"/>
      <w:marLeft w:val="0"/>
      <w:marRight w:val="0"/>
      <w:marTop w:val="0"/>
      <w:marBottom w:val="0"/>
      <w:divBdr>
        <w:top w:val="none" w:sz="0" w:space="0" w:color="auto"/>
        <w:left w:val="none" w:sz="0" w:space="0" w:color="auto"/>
        <w:bottom w:val="none" w:sz="0" w:space="0" w:color="auto"/>
        <w:right w:val="none" w:sz="0" w:space="0" w:color="auto"/>
      </w:divBdr>
    </w:div>
    <w:div w:id="70854371">
      <w:bodyDiv w:val="1"/>
      <w:marLeft w:val="0"/>
      <w:marRight w:val="0"/>
      <w:marTop w:val="0"/>
      <w:marBottom w:val="0"/>
      <w:divBdr>
        <w:top w:val="none" w:sz="0" w:space="0" w:color="auto"/>
        <w:left w:val="none" w:sz="0" w:space="0" w:color="auto"/>
        <w:bottom w:val="none" w:sz="0" w:space="0" w:color="auto"/>
        <w:right w:val="none" w:sz="0" w:space="0" w:color="auto"/>
      </w:divBdr>
    </w:div>
    <w:div w:id="87780193">
      <w:bodyDiv w:val="1"/>
      <w:marLeft w:val="0"/>
      <w:marRight w:val="0"/>
      <w:marTop w:val="0"/>
      <w:marBottom w:val="0"/>
      <w:divBdr>
        <w:top w:val="none" w:sz="0" w:space="0" w:color="auto"/>
        <w:left w:val="none" w:sz="0" w:space="0" w:color="auto"/>
        <w:bottom w:val="none" w:sz="0" w:space="0" w:color="auto"/>
        <w:right w:val="none" w:sz="0" w:space="0" w:color="auto"/>
      </w:divBdr>
    </w:div>
    <w:div w:id="113908306">
      <w:bodyDiv w:val="1"/>
      <w:marLeft w:val="0"/>
      <w:marRight w:val="0"/>
      <w:marTop w:val="0"/>
      <w:marBottom w:val="0"/>
      <w:divBdr>
        <w:top w:val="none" w:sz="0" w:space="0" w:color="auto"/>
        <w:left w:val="none" w:sz="0" w:space="0" w:color="auto"/>
        <w:bottom w:val="none" w:sz="0" w:space="0" w:color="auto"/>
        <w:right w:val="none" w:sz="0" w:space="0" w:color="auto"/>
      </w:divBdr>
    </w:div>
    <w:div w:id="121731081">
      <w:bodyDiv w:val="1"/>
      <w:marLeft w:val="0"/>
      <w:marRight w:val="0"/>
      <w:marTop w:val="0"/>
      <w:marBottom w:val="0"/>
      <w:divBdr>
        <w:top w:val="none" w:sz="0" w:space="0" w:color="auto"/>
        <w:left w:val="none" w:sz="0" w:space="0" w:color="auto"/>
        <w:bottom w:val="none" w:sz="0" w:space="0" w:color="auto"/>
        <w:right w:val="none" w:sz="0" w:space="0" w:color="auto"/>
      </w:divBdr>
    </w:div>
    <w:div w:id="131025495">
      <w:bodyDiv w:val="1"/>
      <w:marLeft w:val="0"/>
      <w:marRight w:val="0"/>
      <w:marTop w:val="0"/>
      <w:marBottom w:val="0"/>
      <w:divBdr>
        <w:top w:val="none" w:sz="0" w:space="0" w:color="auto"/>
        <w:left w:val="none" w:sz="0" w:space="0" w:color="auto"/>
        <w:bottom w:val="none" w:sz="0" w:space="0" w:color="auto"/>
        <w:right w:val="none" w:sz="0" w:space="0" w:color="auto"/>
      </w:divBdr>
    </w:div>
    <w:div w:id="132068921">
      <w:bodyDiv w:val="1"/>
      <w:marLeft w:val="0"/>
      <w:marRight w:val="0"/>
      <w:marTop w:val="0"/>
      <w:marBottom w:val="0"/>
      <w:divBdr>
        <w:top w:val="none" w:sz="0" w:space="0" w:color="auto"/>
        <w:left w:val="none" w:sz="0" w:space="0" w:color="auto"/>
        <w:bottom w:val="none" w:sz="0" w:space="0" w:color="auto"/>
        <w:right w:val="none" w:sz="0" w:space="0" w:color="auto"/>
      </w:divBdr>
    </w:div>
    <w:div w:id="146821392">
      <w:bodyDiv w:val="1"/>
      <w:marLeft w:val="0"/>
      <w:marRight w:val="0"/>
      <w:marTop w:val="0"/>
      <w:marBottom w:val="0"/>
      <w:divBdr>
        <w:top w:val="none" w:sz="0" w:space="0" w:color="auto"/>
        <w:left w:val="none" w:sz="0" w:space="0" w:color="auto"/>
        <w:bottom w:val="none" w:sz="0" w:space="0" w:color="auto"/>
        <w:right w:val="none" w:sz="0" w:space="0" w:color="auto"/>
      </w:divBdr>
    </w:div>
    <w:div w:id="154421946">
      <w:bodyDiv w:val="1"/>
      <w:marLeft w:val="0"/>
      <w:marRight w:val="0"/>
      <w:marTop w:val="0"/>
      <w:marBottom w:val="0"/>
      <w:divBdr>
        <w:top w:val="none" w:sz="0" w:space="0" w:color="auto"/>
        <w:left w:val="none" w:sz="0" w:space="0" w:color="auto"/>
        <w:bottom w:val="none" w:sz="0" w:space="0" w:color="auto"/>
        <w:right w:val="none" w:sz="0" w:space="0" w:color="auto"/>
      </w:divBdr>
    </w:div>
    <w:div w:id="158690600">
      <w:bodyDiv w:val="1"/>
      <w:marLeft w:val="0"/>
      <w:marRight w:val="0"/>
      <w:marTop w:val="0"/>
      <w:marBottom w:val="0"/>
      <w:divBdr>
        <w:top w:val="none" w:sz="0" w:space="0" w:color="auto"/>
        <w:left w:val="none" w:sz="0" w:space="0" w:color="auto"/>
        <w:bottom w:val="none" w:sz="0" w:space="0" w:color="auto"/>
        <w:right w:val="none" w:sz="0" w:space="0" w:color="auto"/>
      </w:divBdr>
    </w:div>
    <w:div w:id="168107047">
      <w:bodyDiv w:val="1"/>
      <w:marLeft w:val="0"/>
      <w:marRight w:val="0"/>
      <w:marTop w:val="0"/>
      <w:marBottom w:val="0"/>
      <w:divBdr>
        <w:top w:val="none" w:sz="0" w:space="0" w:color="auto"/>
        <w:left w:val="none" w:sz="0" w:space="0" w:color="auto"/>
        <w:bottom w:val="none" w:sz="0" w:space="0" w:color="auto"/>
        <w:right w:val="none" w:sz="0" w:space="0" w:color="auto"/>
      </w:divBdr>
    </w:div>
    <w:div w:id="188298347">
      <w:bodyDiv w:val="1"/>
      <w:marLeft w:val="0"/>
      <w:marRight w:val="0"/>
      <w:marTop w:val="0"/>
      <w:marBottom w:val="0"/>
      <w:divBdr>
        <w:top w:val="none" w:sz="0" w:space="0" w:color="auto"/>
        <w:left w:val="none" w:sz="0" w:space="0" w:color="auto"/>
        <w:bottom w:val="none" w:sz="0" w:space="0" w:color="auto"/>
        <w:right w:val="none" w:sz="0" w:space="0" w:color="auto"/>
      </w:divBdr>
    </w:div>
    <w:div w:id="189421451">
      <w:bodyDiv w:val="1"/>
      <w:marLeft w:val="0"/>
      <w:marRight w:val="0"/>
      <w:marTop w:val="0"/>
      <w:marBottom w:val="0"/>
      <w:divBdr>
        <w:top w:val="none" w:sz="0" w:space="0" w:color="auto"/>
        <w:left w:val="none" w:sz="0" w:space="0" w:color="auto"/>
        <w:bottom w:val="none" w:sz="0" w:space="0" w:color="auto"/>
        <w:right w:val="none" w:sz="0" w:space="0" w:color="auto"/>
      </w:divBdr>
    </w:div>
    <w:div w:id="195698638">
      <w:bodyDiv w:val="1"/>
      <w:marLeft w:val="0"/>
      <w:marRight w:val="0"/>
      <w:marTop w:val="0"/>
      <w:marBottom w:val="0"/>
      <w:divBdr>
        <w:top w:val="none" w:sz="0" w:space="0" w:color="auto"/>
        <w:left w:val="none" w:sz="0" w:space="0" w:color="auto"/>
        <w:bottom w:val="none" w:sz="0" w:space="0" w:color="auto"/>
        <w:right w:val="none" w:sz="0" w:space="0" w:color="auto"/>
      </w:divBdr>
    </w:div>
    <w:div w:id="205529876">
      <w:bodyDiv w:val="1"/>
      <w:marLeft w:val="0"/>
      <w:marRight w:val="0"/>
      <w:marTop w:val="0"/>
      <w:marBottom w:val="0"/>
      <w:divBdr>
        <w:top w:val="none" w:sz="0" w:space="0" w:color="auto"/>
        <w:left w:val="none" w:sz="0" w:space="0" w:color="auto"/>
        <w:bottom w:val="none" w:sz="0" w:space="0" w:color="auto"/>
        <w:right w:val="none" w:sz="0" w:space="0" w:color="auto"/>
      </w:divBdr>
    </w:div>
    <w:div w:id="219363798">
      <w:bodyDiv w:val="1"/>
      <w:marLeft w:val="0"/>
      <w:marRight w:val="0"/>
      <w:marTop w:val="0"/>
      <w:marBottom w:val="0"/>
      <w:divBdr>
        <w:top w:val="none" w:sz="0" w:space="0" w:color="auto"/>
        <w:left w:val="none" w:sz="0" w:space="0" w:color="auto"/>
        <w:bottom w:val="none" w:sz="0" w:space="0" w:color="auto"/>
        <w:right w:val="none" w:sz="0" w:space="0" w:color="auto"/>
      </w:divBdr>
    </w:div>
    <w:div w:id="237788908">
      <w:bodyDiv w:val="1"/>
      <w:marLeft w:val="0"/>
      <w:marRight w:val="0"/>
      <w:marTop w:val="0"/>
      <w:marBottom w:val="0"/>
      <w:divBdr>
        <w:top w:val="none" w:sz="0" w:space="0" w:color="auto"/>
        <w:left w:val="none" w:sz="0" w:space="0" w:color="auto"/>
        <w:bottom w:val="none" w:sz="0" w:space="0" w:color="auto"/>
        <w:right w:val="none" w:sz="0" w:space="0" w:color="auto"/>
      </w:divBdr>
    </w:div>
    <w:div w:id="249973793">
      <w:bodyDiv w:val="1"/>
      <w:marLeft w:val="0"/>
      <w:marRight w:val="0"/>
      <w:marTop w:val="0"/>
      <w:marBottom w:val="0"/>
      <w:divBdr>
        <w:top w:val="none" w:sz="0" w:space="0" w:color="auto"/>
        <w:left w:val="none" w:sz="0" w:space="0" w:color="auto"/>
        <w:bottom w:val="none" w:sz="0" w:space="0" w:color="auto"/>
        <w:right w:val="none" w:sz="0" w:space="0" w:color="auto"/>
      </w:divBdr>
    </w:div>
    <w:div w:id="252595211">
      <w:bodyDiv w:val="1"/>
      <w:marLeft w:val="0"/>
      <w:marRight w:val="0"/>
      <w:marTop w:val="0"/>
      <w:marBottom w:val="0"/>
      <w:divBdr>
        <w:top w:val="none" w:sz="0" w:space="0" w:color="auto"/>
        <w:left w:val="none" w:sz="0" w:space="0" w:color="auto"/>
        <w:bottom w:val="none" w:sz="0" w:space="0" w:color="auto"/>
        <w:right w:val="none" w:sz="0" w:space="0" w:color="auto"/>
      </w:divBdr>
    </w:div>
    <w:div w:id="271910600">
      <w:bodyDiv w:val="1"/>
      <w:marLeft w:val="0"/>
      <w:marRight w:val="0"/>
      <w:marTop w:val="0"/>
      <w:marBottom w:val="0"/>
      <w:divBdr>
        <w:top w:val="none" w:sz="0" w:space="0" w:color="auto"/>
        <w:left w:val="none" w:sz="0" w:space="0" w:color="auto"/>
        <w:bottom w:val="none" w:sz="0" w:space="0" w:color="auto"/>
        <w:right w:val="none" w:sz="0" w:space="0" w:color="auto"/>
      </w:divBdr>
    </w:div>
    <w:div w:id="280961114">
      <w:bodyDiv w:val="1"/>
      <w:marLeft w:val="0"/>
      <w:marRight w:val="0"/>
      <w:marTop w:val="0"/>
      <w:marBottom w:val="0"/>
      <w:divBdr>
        <w:top w:val="none" w:sz="0" w:space="0" w:color="auto"/>
        <w:left w:val="none" w:sz="0" w:space="0" w:color="auto"/>
        <w:bottom w:val="none" w:sz="0" w:space="0" w:color="auto"/>
        <w:right w:val="none" w:sz="0" w:space="0" w:color="auto"/>
      </w:divBdr>
    </w:div>
    <w:div w:id="284654527">
      <w:bodyDiv w:val="1"/>
      <w:marLeft w:val="0"/>
      <w:marRight w:val="0"/>
      <w:marTop w:val="0"/>
      <w:marBottom w:val="0"/>
      <w:divBdr>
        <w:top w:val="none" w:sz="0" w:space="0" w:color="auto"/>
        <w:left w:val="none" w:sz="0" w:space="0" w:color="auto"/>
        <w:bottom w:val="none" w:sz="0" w:space="0" w:color="auto"/>
        <w:right w:val="none" w:sz="0" w:space="0" w:color="auto"/>
      </w:divBdr>
    </w:div>
    <w:div w:id="290988580">
      <w:bodyDiv w:val="1"/>
      <w:marLeft w:val="0"/>
      <w:marRight w:val="0"/>
      <w:marTop w:val="0"/>
      <w:marBottom w:val="0"/>
      <w:divBdr>
        <w:top w:val="none" w:sz="0" w:space="0" w:color="auto"/>
        <w:left w:val="none" w:sz="0" w:space="0" w:color="auto"/>
        <w:bottom w:val="none" w:sz="0" w:space="0" w:color="auto"/>
        <w:right w:val="none" w:sz="0" w:space="0" w:color="auto"/>
      </w:divBdr>
    </w:div>
    <w:div w:id="295182569">
      <w:bodyDiv w:val="1"/>
      <w:marLeft w:val="0"/>
      <w:marRight w:val="0"/>
      <w:marTop w:val="0"/>
      <w:marBottom w:val="0"/>
      <w:divBdr>
        <w:top w:val="none" w:sz="0" w:space="0" w:color="auto"/>
        <w:left w:val="none" w:sz="0" w:space="0" w:color="auto"/>
        <w:bottom w:val="none" w:sz="0" w:space="0" w:color="auto"/>
        <w:right w:val="none" w:sz="0" w:space="0" w:color="auto"/>
      </w:divBdr>
      <w:divsChild>
        <w:div w:id="88701814">
          <w:marLeft w:val="0"/>
          <w:marRight w:val="0"/>
          <w:marTop w:val="0"/>
          <w:marBottom w:val="0"/>
          <w:divBdr>
            <w:top w:val="none" w:sz="0" w:space="0" w:color="auto"/>
            <w:left w:val="none" w:sz="0" w:space="0" w:color="auto"/>
            <w:bottom w:val="none" w:sz="0" w:space="0" w:color="auto"/>
            <w:right w:val="none" w:sz="0" w:space="0" w:color="auto"/>
          </w:divBdr>
        </w:div>
        <w:div w:id="230777485">
          <w:marLeft w:val="0"/>
          <w:marRight w:val="0"/>
          <w:marTop w:val="0"/>
          <w:marBottom w:val="0"/>
          <w:divBdr>
            <w:top w:val="none" w:sz="0" w:space="0" w:color="auto"/>
            <w:left w:val="none" w:sz="0" w:space="0" w:color="auto"/>
            <w:bottom w:val="none" w:sz="0" w:space="0" w:color="auto"/>
            <w:right w:val="none" w:sz="0" w:space="0" w:color="auto"/>
          </w:divBdr>
        </w:div>
        <w:div w:id="424421019">
          <w:marLeft w:val="0"/>
          <w:marRight w:val="0"/>
          <w:marTop w:val="0"/>
          <w:marBottom w:val="0"/>
          <w:divBdr>
            <w:top w:val="none" w:sz="0" w:space="0" w:color="auto"/>
            <w:left w:val="none" w:sz="0" w:space="0" w:color="auto"/>
            <w:bottom w:val="none" w:sz="0" w:space="0" w:color="auto"/>
            <w:right w:val="none" w:sz="0" w:space="0" w:color="auto"/>
          </w:divBdr>
        </w:div>
        <w:div w:id="1365212548">
          <w:marLeft w:val="0"/>
          <w:marRight w:val="0"/>
          <w:marTop w:val="0"/>
          <w:marBottom w:val="0"/>
          <w:divBdr>
            <w:top w:val="none" w:sz="0" w:space="0" w:color="auto"/>
            <w:left w:val="none" w:sz="0" w:space="0" w:color="auto"/>
            <w:bottom w:val="none" w:sz="0" w:space="0" w:color="auto"/>
            <w:right w:val="none" w:sz="0" w:space="0" w:color="auto"/>
          </w:divBdr>
        </w:div>
        <w:div w:id="1436441362">
          <w:marLeft w:val="0"/>
          <w:marRight w:val="0"/>
          <w:marTop w:val="0"/>
          <w:marBottom w:val="0"/>
          <w:divBdr>
            <w:top w:val="none" w:sz="0" w:space="0" w:color="auto"/>
            <w:left w:val="none" w:sz="0" w:space="0" w:color="auto"/>
            <w:bottom w:val="none" w:sz="0" w:space="0" w:color="auto"/>
            <w:right w:val="none" w:sz="0" w:space="0" w:color="auto"/>
          </w:divBdr>
        </w:div>
      </w:divsChild>
    </w:div>
    <w:div w:id="300308688">
      <w:bodyDiv w:val="1"/>
      <w:marLeft w:val="0"/>
      <w:marRight w:val="0"/>
      <w:marTop w:val="0"/>
      <w:marBottom w:val="0"/>
      <w:divBdr>
        <w:top w:val="none" w:sz="0" w:space="0" w:color="auto"/>
        <w:left w:val="none" w:sz="0" w:space="0" w:color="auto"/>
        <w:bottom w:val="none" w:sz="0" w:space="0" w:color="auto"/>
        <w:right w:val="none" w:sz="0" w:space="0" w:color="auto"/>
      </w:divBdr>
    </w:div>
    <w:div w:id="314069479">
      <w:bodyDiv w:val="1"/>
      <w:marLeft w:val="0"/>
      <w:marRight w:val="0"/>
      <w:marTop w:val="0"/>
      <w:marBottom w:val="0"/>
      <w:divBdr>
        <w:top w:val="none" w:sz="0" w:space="0" w:color="auto"/>
        <w:left w:val="none" w:sz="0" w:space="0" w:color="auto"/>
        <w:bottom w:val="none" w:sz="0" w:space="0" w:color="auto"/>
        <w:right w:val="none" w:sz="0" w:space="0" w:color="auto"/>
      </w:divBdr>
    </w:div>
    <w:div w:id="343091043">
      <w:bodyDiv w:val="1"/>
      <w:marLeft w:val="0"/>
      <w:marRight w:val="0"/>
      <w:marTop w:val="0"/>
      <w:marBottom w:val="0"/>
      <w:divBdr>
        <w:top w:val="none" w:sz="0" w:space="0" w:color="auto"/>
        <w:left w:val="none" w:sz="0" w:space="0" w:color="auto"/>
        <w:bottom w:val="none" w:sz="0" w:space="0" w:color="auto"/>
        <w:right w:val="none" w:sz="0" w:space="0" w:color="auto"/>
      </w:divBdr>
    </w:div>
    <w:div w:id="343557054">
      <w:bodyDiv w:val="1"/>
      <w:marLeft w:val="0"/>
      <w:marRight w:val="0"/>
      <w:marTop w:val="0"/>
      <w:marBottom w:val="0"/>
      <w:divBdr>
        <w:top w:val="none" w:sz="0" w:space="0" w:color="auto"/>
        <w:left w:val="none" w:sz="0" w:space="0" w:color="auto"/>
        <w:bottom w:val="none" w:sz="0" w:space="0" w:color="auto"/>
        <w:right w:val="none" w:sz="0" w:space="0" w:color="auto"/>
      </w:divBdr>
    </w:div>
    <w:div w:id="359359682">
      <w:bodyDiv w:val="1"/>
      <w:marLeft w:val="0"/>
      <w:marRight w:val="0"/>
      <w:marTop w:val="0"/>
      <w:marBottom w:val="0"/>
      <w:divBdr>
        <w:top w:val="none" w:sz="0" w:space="0" w:color="auto"/>
        <w:left w:val="none" w:sz="0" w:space="0" w:color="auto"/>
        <w:bottom w:val="none" w:sz="0" w:space="0" w:color="auto"/>
        <w:right w:val="none" w:sz="0" w:space="0" w:color="auto"/>
      </w:divBdr>
    </w:div>
    <w:div w:id="367531167">
      <w:bodyDiv w:val="1"/>
      <w:marLeft w:val="0"/>
      <w:marRight w:val="0"/>
      <w:marTop w:val="0"/>
      <w:marBottom w:val="0"/>
      <w:divBdr>
        <w:top w:val="none" w:sz="0" w:space="0" w:color="auto"/>
        <w:left w:val="none" w:sz="0" w:space="0" w:color="auto"/>
        <w:bottom w:val="none" w:sz="0" w:space="0" w:color="auto"/>
        <w:right w:val="none" w:sz="0" w:space="0" w:color="auto"/>
      </w:divBdr>
      <w:divsChild>
        <w:div w:id="31610637">
          <w:marLeft w:val="0"/>
          <w:marRight w:val="0"/>
          <w:marTop w:val="0"/>
          <w:marBottom w:val="0"/>
          <w:divBdr>
            <w:top w:val="none" w:sz="0" w:space="0" w:color="auto"/>
            <w:left w:val="none" w:sz="0" w:space="0" w:color="auto"/>
            <w:bottom w:val="none" w:sz="0" w:space="0" w:color="auto"/>
            <w:right w:val="none" w:sz="0" w:space="0" w:color="auto"/>
          </w:divBdr>
          <w:divsChild>
            <w:div w:id="1381201875">
              <w:marLeft w:val="0"/>
              <w:marRight w:val="0"/>
              <w:marTop w:val="0"/>
              <w:marBottom w:val="0"/>
              <w:divBdr>
                <w:top w:val="none" w:sz="0" w:space="0" w:color="auto"/>
                <w:left w:val="none" w:sz="0" w:space="0" w:color="auto"/>
                <w:bottom w:val="none" w:sz="0" w:space="0" w:color="auto"/>
                <w:right w:val="none" w:sz="0" w:space="0" w:color="auto"/>
              </w:divBdr>
            </w:div>
          </w:divsChild>
        </w:div>
        <w:div w:id="32924064">
          <w:marLeft w:val="0"/>
          <w:marRight w:val="0"/>
          <w:marTop w:val="0"/>
          <w:marBottom w:val="0"/>
          <w:divBdr>
            <w:top w:val="none" w:sz="0" w:space="0" w:color="auto"/>
            <w:left w:val="none" w:sz="0" w:space="0" w:color="auto"/>
            <w:bottom w:val="none" w:sz="0" w:space="0" w:color="auto"/>
            <w:right w:val="none" w:sz="0" w:space="0" w:color="auto"/>
          </w:divBdr>
          <w:divsChild>
            <w:div w:id="1595088698">
              <w:marLeft w:val="0"/>
              <w:marRight w:val="0"/>
              <w:marTop w:val="0"/>
              <w:marBottom w:val="0"/>
              <w:divBdr>
                <w:top w:val="none" w:sz="0" w:space="0" w:color="auto"/>
                <w:left w:val="none" w:sz="0" w:space="0" w:color="auto"/>
                <w:bottom w:val="none" w:sz="0" w:space="0" w:color="auto"/>
                <w:right w:val="none" w:sz="0" w:space="0" w:color="auto"/>
              </w:divBdr>
            </w:div>
          </w:divsChild>
        </w:div>
        <w:div w:id="385224620">
          <w:marLeft w:val="0"/>
          <w:marRight w:val="0"/>
          <w:marTop w:val="0"/>
          <w:marBottom w:val="0"/>
          <w:divBdr>
            <w:top w:val="none" w:sz="0" w:space="0" w:color="auto"/>
            <w:left w:val="none" w:sz="0" w:space="0" w:color="auto"/>
            <w:bottom w:val="none" w:sz="0" w:space="0" w:color="auto"/>
            <w:right w:val="none" w:sz="0" w:space="0" w:color="auto"/>
          </w:divBdr>
          <w:divsChild>
            <w:div w:id="746925667">
              <w:marLeft w:val="0"/>
              <w:marRight w:val="0"/>
              <w:marTop w:val="0"/>
              <w:marBottom w:val="0"/>
              <w:divBdr>
                <w:top w:val="none" w:sz="0" w:space="0" w:color="auto"/>
                <w:left w:val="none" w:sz="0" w:space="0" w:color="auto"/>
                <w:bottom w:val="none" w:sz="0" w:space="0" w:color="auto"/>
                <w:right w:val="none" w:sz="0" w:space="0" w:color="auto"/>
              </w:divBdr>
            </w:div>
          </w:divsChild>
        </w:div>
        <w:div w:id="439451457">
          <w:marLeft w:val="0"/>
          <w:marRight w:val="0"/>
          <w:marTop w:val="0"/>
          <w:marBottom w:val="0"/>
          <w:divBdr>
            <w:top w:val="none" w:sz="0" w:space="0" w:color="auto"/>
            <w:left w:val="none" w:sz="0" w:space="0" w:color="auto"/>
            <w:bottom w:val="none" w:sz="0" w:space="0" w:color="auto"/>
            <w:right w:val="none" w:sz="0" w:space="0" w:color="auto"/>
          </w:divBdr>
          <w:divsChild>
            <w:div w:id="964848071">
              <w:marLeft w:val="0"/>
              <w:marRight w:val="0"/>
              <w:marTop w:val="0"/>
              <w:marBottom w:val="0"/>
              <w:divBdr>
                <w:top w:val="none" w:sz="0" w:space="0" w:color="auto"/>
                <w:left w:val="none" w:sz="0" w:space="0" w:color="auto"/>
                <w:bottom w:val="none" w:sz="0" w:space="0" w:color="auto"/>
                <w:right w:val="none" w:sz="0" w:space="0" w:color="auto"/>
              </w:divBdr>
            </w:div>
          </w:divsChild>
        </w:div>
        <w:div w:id="541019800">
          <w:marLeft w:val="0"/>
          <w:marRight w:val="0"/>
          <w:marTop w:val="0"/>
          <w:marBottom w:val="0"/>
          <w:divBdr>
            <w:top w:val="none" w:sz="0" w:space="0" w:color="auto"/>
            <w:left w:val="none" w:sz="0" w:space="0" w:color="auto"/>
            <w:bottom w:val="none" w:sz="0" w:space="0" w:color="auto"/>
            <w:right w:val="none" w:sz="0" w:space="0" w:color="auto"/>
          </w:divBdr>
          <w:divsChild>
            <w:div w:id="290600130">
              <w:marLeft w:val="0"/>
              <w:marRight w:val="0"/>
              <w:marTop w:val="0"/>
              <w:marBottom w:val="0"/>
              <w:divBdr>
                <w:top w:val="none" w:sz="0" w:space="0" w:color="auto"/>
                <w:left w:val="none" w:sz="0" w:space="0" w:color="auto"/>
                <w:bottom w:val="none" w:sz="0" w:space="0" w:color="auto"/>
                <w:right w:val="none" w:sz="0" w:space="0" w:color="auto"/>
              </w:divBdr>
            </w:div>
          </w:divsChild>
        </w:div>
        <w:div w:id="743724181">
          <w:marLeft w:val="0"/>
          <w:marRight w:val="0"/>
          <w:marTop w:val="0"/>
          <w:marBottom w:val="0"/>
          <w:divBdr>
            <w:top w:val="none" w:sz="0" w:space="0" w:color="auto"/>
            <w:left w:val="none" w:sz="0" w:space="0" w:color="auto"/>
            <w:bottom w:val="none" w:sz="0" w:space="0" w:color="auto"/>
            <w:right w:val="none" w:sz="0" w:space="0" w:color="auto"/>
          </w:divBdr>
          <w:divsChild>
            <w:div w:id="1524247619">
              <w:marLeft w:val="0"/>
              <w:marRight w:val="0"/>
              <w:marTop w:val="0"/>
              <w:marBottom w:val="0"/>
              <w:divBdr>
                <w:top w:val="none" w:sz="0" w:space="0" w:color="auto"/>
                <w:left w:val="none" w:sz="0" w:space="0" w:color="auto"/>
                <w:bottom w:val="none" w:sz="0" w:space="0" w:color="auto"/>
                <w:right w:val="none" w:sz="0" w:space="0" w:color="auto"/>
              </w:divBdr>
            </w:div>
          </w:divsChild>
        </w:div>
        <w:div w:id="747580947">
          <w:marLeft w:val="0"/>
          <w:marRight w:val="0"/>
          <w:marTop w:val="0"/>
          <w:marBottom w:val="0"/>
          <w:divBdr>
            <w:top w:val="none" w:sz="0" w:space="0" w:color="auto"/>
            <w:left w:val="none" w:sz="0" w:space="0" w:color="auto"/>
            <w:bottom w:val="none" w:sz="0" w:space="0" w:color="auto"/>
            <w:right w:val="none" w:sz="0" w:space="0" w:color="auto"/>
          </w:divBdr>
          <w:divsChild>
            <w:div w:id="1250893357">
              <w:marLeft w:val="0"/>
              <w:marRight w:val="0"/>
              <w:marTop w:val="0"/>
              <w:marBottom w:val="0"/>
              <w:divBdr>
                <w:top w:val="none" w:sz="0" w:space="0" w:color="auto"/>
                <w:left w:val="none" w:sz="0" w:space="0" w:color="auto"/>
                <w:bottom w:val="none" w:sz="0" w:space="0" w:color="auto"/>
                <w:right w:val="none" w:sz="0" w:space="0" w:color="auto"/>
              </w:divBdr>
            </w:div>
          </w:divsChild>
        </w:div>
        <w:div w:id="811404689">
          <w:marLeft w:val="0"/>
          <w:marRight w:val="0"/>
          <w:marTop w:val="0"/>
          <w:marBottom w:val="0"/>
          <w:divBdr>
            <w:top w:val="none" w:sz="0" w:space="0" w:color="auto"/>
            <w:left w:val="none" w:sz="0" w:space="0" w:color="auto"/>
            <w:bottom w:val="none" w:sz="0" w:space="0" w:color="auto"/>
            <w:right w:val="none" w:sz="0" w:space="0" w:color="auto"/>
          </w:divBdr>
          <w:divsChild>
            <w:div w:id="964578457">
              <w:marLeft w:val="0"/>
              <w:marRight w:val="0"/>
              <w:marTop w:val="0"/>
              <w:marBottom w:val="0"/>
              <w:divBdr>
                <w:top w:val="none" w:sz="0" w:space="0" w:color="auto"/>
                <w:left w:val="none" w:sz="0" w:space="0" w:color="auto"/>
                <w:bottom w:val="none" w:sz="0" w:space="0" w:color="auto"/>
                <w:right w:val="none" w:sz="0" w:space="0" w:color="auto"/>
              </w:divBdr>
            </w:div>
          </w:divsChild>
        </w:div>
        <w:div w:id="836652516">
          <w:marLeft w:val="0"/>
          <w:marRight w:val="0"/>
          <w:marTop w:val="0"/>
          <w:marBottom w:val="0"/>
          <w:divBdr>
            <w:top w:val="none" w:sz="0" w:space="0" w:color="auto"/>
            <w:left w:val="none" w:sz="0" w:space="0" w:color="auto"/>
            <w:bottom w:val="none" w:sz="0" w:space="0" w:color="auto"/>
            <w:right w:val="none" w:sz="0" w:space="0" w:color="auto"/>
          </w:divBdr>
          <w:divsChild>
            <w:div w:id="1059137573">
              <w:marLeft w:val="0"/>
              <w:marRight w:val="0"/>
              <w:marTop w:val="0"/>
              <w:marBottom w:val="0"/>
              <w:divBdr>
                <w:top w:val="none" w:sz="0" w:space="0" w:color="auto"/>
                <w:left w:val="none" w:sz="0" w:space="0" w:color="auto"/>
                <w:bottom w:val="none" w:sz="0" w:space="0" w:color="auto"/>
                <w:right w:val="none" w:sz="0" w:space="0" w:color="auto"/>
              </w:divBdr>
            </w:div>
          </w:divsChild>
        </w:div>
        <w:div w:id="1063986499">
          <w:marLeft w:val="0"/>
          <w:marRight w:val="0"/>
          <w:marTop w:val="0"/>
          <w:marBottom w:val="0"/>
          <w:divBdr>
            <w:top w:val="none" w:sz="0" w:space="0" w:color="auto"/>
            <w:left w:val="none" w:sz="0" w:space="0" w:color="auto"/>
            <w:bottom w:val="none" w:sz="0" w:space="0" w:color="auto"/>
            <w:right w:val="none" w:sz="0" w:space="0" w:color="auto"/>
          </w:divBdr>
          <w:divsChild>
            <w:div w:id="44573057">
              <w:marLeft w:val="0"/>
              <w:marRight w:val="0"/>
              <w:marTop w:val="0"/>
              <w:marBottom w:val="0"/>
              <w:divBdr>
                <w:top w:val="none" w:sz="0" w:space="0" w:color="auto"/>
                <w:left w:val="none" w:sz="0" w:space="0" w:color="auto"/>
                <w:bottom w:val="none" w:sz="0" w:space="0" w:color="auto"/>
                <w:right w:val="none" w:sz="0" w:space="0" w:color="auto"/>
              </w:divBdr>
            </w:div>
            <w:div w:id="198399444">
              <w:marLeft w:val="0"/>
              <w:marRight w:val="0"/>
              <w:marTop w:val="0"/>
              <w:marBottom w:val="0"/>
              <w:divBdr>
                <w:top w:val="none" w:sz="0" w:space="0" w:color="auto"/>
                <w:left w:val="none" w:sz="0" w:space="0" w:color="auto"/>
                <w:bottom w:val="none" w:sz="0" w:space="0" w:color="auto"/>
                <w:right w:val="none" w:sz="0" w:space="0" w:color="auto"/>
              </w:divBdr>
            </w:div>
            <w:div w:id="1714505034">
              <w:marLeft w:val="0"/>
              <w:marRight w:val="0"/>
              <w:marTop w:val="0"/>
              <w:marBottom w:val="0"/>
              <w:divBdr>
                <w:top w:val="none" w:sz="0" w:space="0" w:color="auto"/>
                <w:left w:val="none" w:sz="0" w:space="0" w:color="auto"/>
                <w:bottom w:val="none" w:sz="0" w:space="0" w:color="auto"/>
                <w:right w:val="none" w:sz="0" w:space="0" w:color="auto"/>
              </w:divBdr>
            </w:div>
          </w:divsChild>
        </w:div>
        <w:div w:id="1092236067">
          <w:marLeft w:val="0"/>
          <w:marRight w:val="0"/>
          <w:marTop w:val="0"/>
          <w:marBottom w:val="0"/>
          <w:divBdr>
            <w:top w:val="none" w:sz="0" w:space="0" w:color="auto"/>
            <w:left w:val="none" w:sz="0" w:space="0" w:color="auto"/>
            <w:bottom w:val="none" w:sz="0" w:space="0" w:color="auto"/>
            <w:right w:val="none" w:sz="0" w:space="0" w:color="auto"/>
          </w:divBdr>
          <w:divsChild>
            <w:div w:id="589698608">
              <w:marLeft w:val="0"/>
              <w:marRight w:val="0"/>
              <w:marTop w:val="0"/>
              <w:marBottom w:val="0"/>
              <w:divBdr>
                <w:top w:val="none" w:sz="0" w:space="0" w:color="auto"/>
                <w:left w:val="none" w:sz="0" w:space="0" w:color="auto"/>
                <w:bottom w:val="none" w:sz="0" w:space="0" w:color="auto"/>
                <w:right w:val="none" w:sz="0" w:space="0" w:color="auto"/>
              </w:divBdr>
            </w:div>
          </w:divsChild>
        </w:div>
        <w:div w:id="1197429434">
          <w:marLeft w:val="0"/>
          <w:marRight w:val="0"/>
          <w:marTop w:val="0"/>
          <w:marBottom w:val="0"/>
          <w:divBdr>
            <w:top w:val="none" w:sz="0" w:space="0" w:color="auto"/>
            <w:left w:val="none" w:sz="0" w:space="0" w:color="auto"/>
            <w:bottom w:val="none" w:sz="0" w:space="0" w:color="auto"/>
            <w:right w:val="none" w:sz="0" w:space="0" w:color="auto"/>
          </w:divBdr>
          <w:divsChild>
            <w:div w:id="806170596">
              <w:marLeft w:val="0"/>
              <w:marRight w:val="0"/>
              <w:marTop w:val="0"/>
              <w:marBottom w:val="0"/>
              <w:divBdr>
                <w:top w:val="none" w:sz="0" w:space="0" w:color="auto"/>
                <w:left w:val="none" w:sz="0" w:space="0" w:color="auto"/>
                <w:bottom w:val="none" w:sz="0" w:space="0" w:color="auto"/>
                <w:right w:val="none" w:sz="0" w:space="0" w:color="auto"/>
              </w:divBdr>
            </w:div>
          </w:divsChild>
        </w:div>
        <w:div w:id="1334185910">
          <w:marLeft w:val="0"/>
          <w:marRight w:val="0"/>
          <w:marTop w:val="0"/>
          <w:marBottom w:val="0"/>
          <w:divBdr>
            <w:top w:val="none" w:sz="0" w:space="0" w:color="auto"/>
            <w:left w:val="none" w:sz="0" w:space="0" w:color="auto"/>
            <w:bottom w:val="none" w:sz="0" w:space="0" w:color="auto"/>
            <w:right w:val="none" w:sz="0" w:space="0" w:color="auto"/>
          </w:divBdr>
          <w:divsChild>
            <w:div w:id="397436787">
              <w:marLeft w:val="0"/>
              <w:marRight w:val="0"/>
              <w:marTop w:val="0"/>
              <w:marBottom w:val="0"/>
              <w:divBdr>
                <w:top w:val="none" w:sz="0" w:space="0" w:color="auto"/>
                <w:left w:val="none" w:sz="0" w:space="0" w:color="auto"/>
                <w:bottom w:val="none" w:sz="0" w:space="0" w:color="auto"/>
                <w:right w:val="none" w:sz="0" w:space="0" w:color="auto"/>
              </w:divBdr>
            </w:div>
          </w:divsChild>
        </w:div>
        <w:div w:id="1644188975">
          <w:marLeft w:val="0"/>
          <w:marRight w:val="0"/>
          <w:marTop w:val="0"/>
          <w:marBottom w:val="0"/>
          <w:divBdr>
            <w:top w:val="none" w:sz="0" w:space="0" w:color="auto"/>
            <w:left w:val="none" w:sz="0" w:space="0" w:color="auto"/>
            <w:bottom w:val="none" w:sz="0" w:space="0" w:color="auto"/>
            <w:right w:val="none" w:sz="0" w:space="0" w:color="auto"/>
          </w:divBdr>
          <w:divsChild>
            <w:div w:id="1865633416">
              <w:marLeft w:val="0"/>
              <w:marRight w:val="0"/>
              <w:marTop w:val="0"/>
              <w:marBottom w:val="0"/>
              <w:divBdr>
                <w:top w:val="none" w:sz="0" w:space="0" w:color="auto"/>
                <w:left w:val="none" w:sz="0" w:space="0" w:color="auto"/>
                <w:bottom w:val="none" w:sz="0" w:space="0" w:color="auto"/>
                <w:right w:val="none" w:sz="0" w:space="0" w:color="auto"/>
              </w:divBdr>
            </w:div>
          </w:divsChild>
        </w:div>
        <w:div w:id="1671373994">
          <w:marLeft w:val="0"/>
          <w:marRight w:val="0"/>
          <w:marTop w:val="0"/>
          <w:marBottom w:val="0"/>
          <w:divBdr>
            <w:top w:val="none" w:sz="0" w:space="0" w:color="auto"/>
            <w:left w:val="none" w:sz="0" w:space="0" w:color="auto"/>
            <w:bottom w:val="none" w:sz="0" w:space="0" w:color="auto"/>
            <w:right w:val="none" w:sz="0" w:space="0" w:color="auto"/>
          </w:divBdr>
          <w:divsChild>
            <w:div w:id="1897353888">
              <w:marLeft w:val="0"/>
              <w:marRight w:val="0"/>
              <w:marTop w:val="0"/>
              <w:marBottom w:val="0"/>
              <w:divBdr>
                <w:top w:val="none" w:sz="0" w:space="0" w:color="auto"/>
                <w:left w:val="none" w:sz="0" w:space="0" w:color="auto"/>
                <w:bottom w:val="none" w:sz="0" w:space="0" w:color="auto"/>
                <w:right w:val="none" w:sz="0" w:space="0" w:color="auto"/>
              </w:divBdr>
            </w:div>
          </w:divsChild>
        </w:div>
        <w:div w:id="1715034133">
          <w:marLeft w:val="0"/>
          <w:marRight w:val="0"/>
          <w:marTop w:val="0"/>
          <w:marBottom w:val="0"/>
          <w:divBdr>
            <w:top w:val="none" w:sz="0" w:space="0" w:color="auto"/>
            <w:left w:val="none" w:sz="0" w:space="0" w:color="auto"/>
            <w:bottom w:val="none" w:sz="0" w:space="0" w:color="auto"/>
            <w:right w:val="none" w:sz="0" w:space="0" w:color="auto"/>
          </w:divBdr>
          <w:divsChild>
            <w:div w:id="558519768">
              <w:marLeft w:val="0"/>
              <w:marRight w:val="0"/>
              <w:marTop w:val="0"/>
              <w:marBottom w:val="0"/>
              <w:divBdr>
                <w:top w:val="none" w:sz="0" w:space="0" w:color="auto"/>
                <w:left w:val="none" w:sz="0" w:space="0" w:color="auto"/>
                <w:bottom w:val="none" w:sz="0" w:space="0" w:color="auto"/>
                <w:right w:val="none" w:sz="0" w:space="0" w:color="auto"/>
              </w:divBdr>
            </w:div>
          </w:divsChild>
        </w:div>
        <w:div w:id="1729527592">
          <w:marLeft w:val="0"/>
          <w:marRight w:val="0"/>
          <w:marTop w:val="0"/>
          <w:marBottom w:val="0"/>
          <w:divBdr>
            <w:top w:val="none" w:sz="0" w:space="0" w:color="auto"/>
            <w:left w:val="none" w:sz="0" w:space="0" w:color="auto"/>
            <w:bottom w:val="none" w:sz="0" w:space="0" w:color="auto"/>
            <w:right w:val="none" w:sz="0" w:space="0" w:color="auto"/>
          </w:divBdr>
          <w:divsChild>
            <w:div w:id="1866550694">
              <w:marLeft w:val="0"/>
              <w:marRight w:val="0"/>
              <w:marTop w:val="0"/>
              <w:marBottom w:val="0"/>
              <w:divBdr>
                <w:top w:val="none" w:sz="0" w:space="0" w:color="auto"/>
                <w:left w:val="none" w:sz="0" w:space="0" w:color="auto"/>
                <w:bottom w:val="none" w:sz="0" w:space="0" w:color="auto"/>
                <w:right w:val="none" w:sz="0" w:space="0" w:color="auto"/>
              </w:divBdr>
            </w:div>
          </w:divsChild>
        </w:div>
        <w:div w:id="1737315650">
          <w:marLeft w:val="0"/>
          <w:marRight w:val="0"/>
          <w:marTop w:val="0"/>
          <w:marBottom w:val="0"/>
          <w:divBdr>
            <w:top w:val="none" w:sz="0" w:space="0" w:color="auto"/>
            <w:left w:val="none" w:sz="0" w:space="0" w:color="auto"/>
            <w:bottom w:val="none" w:sz="0" w:space="0" w:color="auto"/>
            <w:right w:val="none" w:sz="0" w:space="0" w:color="auto"/>
          </w:divBdr>
          <w:divsChild>
            <w:div w:id="656231779">
              <w:marLeft w:val="0"/>
              <w:marRight w:val="0"/>
              <w:marTop w:val="0"/>
              <w:marBottom w:val="0"/>
              <w:divBdr>
                <w:top w:val="none" w:sz="0" w:space="0" w:color="auto"/>
                <w:left w:val="none" w:sz="0" w:space="0" w:color="auto"/>
                <w:bottom w:val="none" w:sz="0" w:space="0" w:color="auto"/>
                <w:right w:val="none" w:sz="0" w:space="0" w:color="auto"/>
              </w:divBdr>
            </w:div>
          </w:divsChild>
        </w:div>
        <w:div w:id="1852796825">
          <w:marLeft w:val="0"/>
          <w:marRight w:val="0"/>
          <w:marTop w:val="0"/>
          <w:marBottom w:val="0"/>
          <w:divBdr>
            <w:top w:val="none" w:sz="0" w:space="0" w:color="auto"/>
            <w:left w:val="none" w:sz="0" w:space="0" w:color="auto"/>
            <w:bottom w:val="none" w:sz="0" w:space="0" w:color="auto"/>
            <w:right w:val="none" w:sz="0" w:space="0" w:color="auto"/>
          </w:divBdr>
          <w:divsChild>
            <w:div w:id="1819373966">
              <w:marLeft w:val="0"/>
              <w:marRight w:val="0"/>
              <w:marTop w:val="0"/>
              <w:marBottom w:val="0"/>
              <w:divBdr>
                <w:top w:val="none" w:sz="0" w:space="0" w:color="auto"/>
                <w:left w:val="none" w:sz="0" w:space="0" w:color="auto"/>
                <w:bottom w:val="none" w:sz="0" w:space="0" w:color="auto"/>
                <w:right w:val="none" w:sz="0" w:space="0" w:color="auto"/>
              </w:divBdr>
            </w:div>
          </w:divsChild>
        </w:div>
        <w:div w:id="1864397436">
          <w:marLeft w:val="0"/>
          <w:marRight w:val="0"/>
          <w:marTop w:val="0"/>
          <w:marBottom w:val="0"/>
          <w:divBdr>
            <w:top w:val="none" w:sz="0" w:space="0" w:color="auto"/>
            <w:left w:val="none" w:sz="0" w:space="0" w:color="auto"/>
            <w:bottom w:val="none" w:sz="0" w:space="0" w:color="auto"/>
            <w:right w:val="none" w:sz="0" w:space="0" w:color="auto"/>
          </w:divBdr>
          <w:divsChild>
            <w:div w:id="1107038095">
              <w:marLeft w:val="0"/>
              <w:marRight w:val="0"/>
              <w:marTop w:val="0"/>
              <w:marBottom w:val="0"/>
              <w:divBdr>
                <w:top w:val="none" w:sz="0" w:space="0" w:color="auto"/>
                <w:left w:val="none" w:sz="0" w:space="0" w:color="auto"/>
                <w:bottom w:val="none" w:sz="0" w:space="0" w:color="auto"/>
                <w:right w:val="none" w:sz="0" w:space="0" w:color="auto"/>
              </w:divBdr>
            </w:div>
          </w:divsChild>
        </w:div>
        <w:div w:id="1900511123">
          <w:marLeft w:val="0"/>
          <w:marRight w:val="0"/>
          <w:marTop w:val="0"/>
          <w:marBottom w:val="0"/>
          <w:divBdr>
            <w:top w:val="none" w:sz="0" w:space="0" w:color="auto"/>
            <w:left w:val="none" w:sz="0" w:space="0" w:color="auto"/>
            <w:bottom w:val="none" w:sz="0" w:space="0" w:color="auto"/>
            <w:right w:val="none" w:sz="0" w:space="0" w:color="auto"/>
          </w:divBdr>
          <w:divsChild>
            <w:div w:id="1502087165">
              <w:marLeft w:val="0"/>
              <w:marRight w:val="0"/>
              <w:marTop w:val="0"/>
              <w:marBottom w:val="0"/>
              <w:divBdr>
                <w:top w:val="none" w:sz="0" w:space="0" w:color="auto"/>
                <w:left w:val="none" w:sz="0" w:space="0" w:color="auto"/>
                <w:bottom w:val="none" w:sz="0" w:space="0" w:color="auto"/>
                <w:right w:val="none" w:sz="0" w:space="0" w:color="auto"/>
              </w:divBdr>
            </w:div>
          </w:divsChild>
        </w:div>
        <w:div w:id="1982036278">
          <w:marLeft w:val="0"/>
          <w:marRight w:val="0"/>
          <w:marTop w:val="0"/>
          <w:marBottom w:val="0"/>
          <w:divBdr>
            <w:top w:val="none" w:sz="0" w:space="0" w:color="auto"/>
            <w:left w:val="none" w:sz="0" w:space="0" w:color="auto"/>
            <w:bottom w:val="none" w:sz="0" w:space="0" w:color="auto"/>
            <w:right w:val="none" w:sz="0" w:space="0" w:color="auto"/>
          </w:divBdr>
          <w:divsChild>
            <w:div w:id="2653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937242">
      <w:bodyDiv w:val="1"/>
      <w:marLeft w:val="0"/>
      <w:marRight w:val="0"/>
      <w:marTop w:val="0"/>
      <w:marBottom w:val="0"/>
      <w:divBdr>
        <w:top w:val="none" w:sz="0" w:space="0" w:color="auto"/>
        <w:left w:val="none" w:sz="0" w:space="0" w:color="auto"/>
        <w:bottom w:val="none" w:sz="0" w:space="0" w:color="auto"/>
        <w:right w:val="none" w:sz="0" w:space="0" w:color="auto"/>
      </w:divBdr>
      <w:divsChild>
        <w:div w:id="35738942">
          <w:marLeft w:val="0"/>
          <w:marRight w:val="0"/>
          <w:marTop w:val="0"/>
          <w:marBottom w:val="0"/>
          <w:divBdr>
            <w:top w:val="none" w:sz="0" w:space="0" w:color="auto"/>
            <w:left w:val="none" w:sz="0" w:space="0" w:color="auto"/>
            <w:bottom w:val="none" w:sz="0" w:space="0" w:color="auto"/>
            <w:right w:val="none" w:sz="0" w:space="0" w:color="auto"/>
          </w:divBdr>
        </w:div>
        <w:div w:id="254944009">
          <w:marLeft w:val="0"/>
          <w:marRight w:val="0"/>
          <w:marTop w:val="0"/>
          <w:marBottom w:val="0"/>
          <w:divBdr>
            <w:top w:val="none" w:sz="0" w:space="0" w:color="auto"/>
            <w:left w:val="none" w:sz="0" w:space="0" w:color="auto"/>
            <w:bottom w:val="none" w:sz="0" w:space="0" w:color="auto"/>
            <w:right w:val="none" w:sz="0" w:space="0" w:color="auto"/>
          </w:divBdr>
        </w:div>
        <w:div w:id="369302710">
          <w:marLeft w:val="0"/>
          <w:marRight w:val="0"/>
          <w:marTop w:val="0"/>
          <w:marBottom w:val="0"/>
          <w:divBdr>
            <w:top w:val="none" w:sz="0" w:space="0" w:color="auto"/>
            <w:left w:val="none" w:sz="0" w:space="0" w:color="auto"/>
            <w:bottom w:val="none" w:sz="0" w:space="0" w:color="auto"/>
            <w:right w:val="none" w:sz="0" w:space="0" w:color="auto"/>
          </w:divBdr>
        </w:div>
        <w:div w:id="785808570">
          <w:marLeft w:val="0"/>
          <w:marRight w:val="0"/>
          <w:marTop w:val="0"/>
          <w:marBottom w:val="0"/>
          <w:divBdr>
            <w:top w:val="none" w:sz="0" w:space="0" w:color="auto"/>
            <w:left w:val="none" w:sz="0" w:space="0" w:color="auto"/>
            <w:bottom w:val="none" w:sz="0" w:space="0" w:color="auto"/>
            <w:right w:val="none" w:sz="0" w:space="0" w:color="auto"/>
          </w:divBdr>
        </w:div>
        <w:div w:id="1321303992">
          <w:marLeft w:val="0"/>
          <w:marRight w:val="0"/>
          <w:marTop w:val="0"/>
          <w:marBottom w:val="0"/>
          <w:divBdr>
            <w:top w:val="none" w:sz="0" w:space="0" w:color="auto"/>
            <w:left w:val="none" w:sz="0" w:space="0" w:color="auto"/>
            <w:bottom w:val="none" w:sz="0" w:space="0" w:color="auto"/>
            <w:right w:val="none" w:sz="0" w:space="0" w:color="auto"/>
          </w:divBdr>
        </w:div>
        <w:div w:id="1449591829">
          <w:marLeft w:val="0"/>
          <w:marRight w:val="0"/>
          <w:marTop w:val="0"/>
          <w:marBottom w:val="0"/>
          <w:divBdr>
            <w:top w:val="none" w:sz="0" w:space="0" w:color="auto"/>
            <w:left w:val="none" w:sz="0" w:space="0" w:color="auto"/>
            <w:bottom w:val="none" w:sz="0" w:space="0" w:color="auto"/>
            <w:right w:val="none" w:sz="0" w:space="0" w:color="auto"/>
          </w:divBdr>
        </w:div>
        <w:div w:id="1463036887">
          <w:marLeft w:val="0"/>
          <w:marRight w:val="0"/>
          <w:marTop w:val="0"/>
          <w:marBottom w:val="0"/>
          <w:divBdr>
            <w:top w:val="none" w:sz="0" w:space="0" w:color="auto"/>
            <w:left w:val="none" w:sz="0" w:space="0" w:color="auto"/>
            <w:bottom w:val="none" w:sz="0" w:space="0" w:color="auto"/>
            <w:right w:val="none" w:sz="0" w:space="0" w:color="auto"/>
          </w:divBdr>
        </w:div>
        <w:div w:id="1623462802">
          <w:marLeft w:val="0"/>
          <w:marRight w:val="0"/>
          <w:marTop w:val="0"/>
          <w:marBottom w:val="0"/>
          <w:divBdr>
            <w:top w:val="none" w:sz="0" w:space="0" w:color="auto"/>
            <w:left w:val="none" w:sz="0" w:space="0" w:color="auto"/>
            <w:bottom w:val="none" w:sz="0" w:space="0" w:color="auto"/>
            <w:right w:val="none" w:sz="0" w:space="0" w:color="auto"/>
          </w:divBdr>
        </w:div>
        <w:div w:id="1922635661">
          <w:marLeft w:val="0"/>
          <w:marRight w:val="0"/>
          <w:marTop w:val="0"/>
          <w:marBottom w:val="0"/>
          <w:divBdr>
            <w:top w:val="none" w:sz="0" w:space="0" w:color="auto"/>
            <w:left w:val="none" w:sz="0" w:space="0" w:color="auto"/>
            <w:bottom w:val="none" w:sz="0" w:space="0" w:color="auto"/>
            <w:right w:val="none" w:sz="0" w:space="0" w:color="auto"/>
          </w:divBdr>
        </w:div>
        <w:div w:id="1996227116">
          <w:marLeft w:val="0"/>
          <w:marRight w:val="0"/>
          <w:marTop w:val="0"/>
          <w:marBottom w:val="0"/>
          <w:divBdr>
            <w:top w:val="none" w:sz="0" w:space="0" w:color="auto"/>
            <w:left w:val="none" w:sz="0" w:space="0" w:color="auto"/>
            <w:bottom w:val="none" w:sz="0" w:space="0" w:color="auto"/>
            <w:right w:val="none" w:sz="0" w:space="0" w:color="auto"/>
          </w:divBdr>
        </w:div>
      </w:divsChild>
    </w:div>
    <w:div w:id="392237712">
      <w:bodyDiv w:val="1"/>
      <w:marLeft w:val="0"/>
      <w:marRight w:val="0"/>
      <w:marTop w:val="0"/>
      <w:marBottom w:val="0"/>
      <w:divBdr>
        <w:top w:val="none" w:sz="0" w:space="0" w:color="auto"/>
        <w:left w:val="none" w:sz="0" w:space="0" w:color="auto"/>
        <w:bottom w:val="none" w:sz="0" w:space="0" w:color="auto"/>
        <w:right w:val="none" w:sz="0" w:space="0" w:color="auto"/>
      </w:divBdr>
    </w:div>
    <w:div w:id="393161397">
      <w:bodyDiv w:val="1"/>
      <w:marLeft w:val="0"/>
      <w:marRight w:val="0"/>
      <w:marTop w:val="0"/>
      <w:marBottom w:val="0"/>
      <w:divBdr>
        <w:top w:val="none" w:sz="0" w:space="0" w:color="auto"/>
        <w:left w:val="none" w:sz="0" w:space="0" w:color="auto"/>
        <w:bottom w:val="none" w:sz="0" w:space="0" w:color="auto"/>
        <w:right w:val="none" w:sz="0" w:space="0" w:color="auto"/>
      </w:divBdr>
    </w:div>
    <w:div w:id="399906799">
      <w:bodyDiv w:val="1"/>
      <w:marLeft w:val="0"/>
      <w:marRight w:val="0"/>
      <w:marTop w:val="0"/>
      <w:marBottom w:val="0"/>
      <w:divBdr>
        <w:top w:val="none" w:sz="0" w:space="0" w:color="auto"/>
        <w:left w:val="none" w:sz="0" w:space="0" w:color="auto"/>
        <w:bottom w:val="none" w:sz="0" w:space="0" w:color="auto"/>
        <w:right w:val="none" w:sz="0" w:space="0" w:color="auto"/>
      </w:divBdr>
    </w:div>
    <w:div w:id="414858788">
      <w:bodyDiv w:val="1"/>
      <w:marLeft w:val="0"/>
      <w:marRight w:val="0"/>
      <w:marTop w:val="0"/>
      <w:marBottom w:val="0"/>
      <w:divBdr>
        <w:top w:val="none" w:sz="0" w:space="0" w:color="auto"/>
        <w:left w:val="none" w:sz="0" w:space="0" w:color="auto"/>
        <w:bottom w:val="none" w:sz="0" w:space="0" w:color="auto"/>
        <w:right w:val="none" w:sz="0" w:space="0" w:color="auto"/>
      </w:divBdr>
    </w:div>
    <w:div w:id="422726847">
      <w:bodyDiv w:val="1"/>
      <w:marLeft w:val="0"/>
      <w:marRight w:val="0"/>
      <w:marTop w:val="0"/>
      <w:marBottom w:val="0"/>
      <w:divBdr>
        <w:top w:val="none" w:sz="0" w:space="0" w:color="auto"/>
        <w:left w:val="none" w:sz="0" w:space="0" w:color="auto"/>
        <w:bottom w:val="none" w:sz="0" w:space="0" w:color="auto"/>
        <w:right w:val="none" w:sz="0" w:space="0" w:color="auto"/>
      </w:divBdr>
      <w:divsChild>
        <w:div w:id="583953299">
          <w:marLeft w:val="720"/>
          <w:marRight w:val="0"/>
          <w:marTop w:val="160"/>
          <w:marBottom w:val="120"/>
          <w:divBdr>
            <w:top w:val="none" w:sz="0" w:space="0" w:color="auto"/>
            <w:left w:val="none" w:sz="0" w:space="0" w:color="auto"/>
            <w:bottom w:val="none" w:sz="0" w:space="0" w:color="auto"/>
            <w:right w:val="none" w:sz="0" w:space="0" w:color="auto"/>
          </w:divBdr>
        </w:div>
        <w:div w:id="693113245">
          <w:marLeft w:val="720"/>
          <w:marRight w:val="0"/>
          <w:marTop w:val="160"/>
          <w:marBottom w:val="120"/>
          <w:divBdr>
            <w:top w:val="none" w:sz="0" w:space="0" w:color="auto"/>
            <w:left w:val="none" w:sz="0" w:space="0" w:color="auto"/>
            <w:bottom w:val="none" w:sz="0" w:space="0" w:color="auto"/>
            <w:right w:val="none" w:sz="0" w:space="0" w:color="auto"/>
          </w:divBdr>
        </w:div>
        <w:div w:id="1727678860">
          <w:marLeft w:val="720"/>
          <w:marRight w:val="0"/>
          <w:marTop w:val="160"/>
          <w:marBottom w:val="120"/>
          <w:divBdr>
            <w:top w:val="none" w:sz="0" w:space="0" w:color="auto"/>
            <w:left w:val="none" w:sz="0" w:space="0" w:color="auto"/>
            <w:bottom w:val="none" w:sz="0" w:space="0" w:color="auto"/>
            <w:right w:val="none" w:sz="0" w:space="0" w:color="auto"/>
          </w:divBdr>
        </w:div>
        <w:div w:id="1901862661">
          <w:marLeft w:val="720"/>
          <w:marRight w:val="0"/>
          <w:marTop w:val="160"/>
          <w:marBottom w:val="120"/>
          <w:divBdr>
            <w:top w:val="none" w:sz="0" w:space="0" w:color="auto"/>
            <w:left w:val="none" w:sz="0" w:space="0" w:color="auto"/>
            <w:bottom w:val="none" w:sz="0" w:space="0" w:color="auto"/>
            <w:right w:val="none" w:sz="0" w:space="0" w:color="auto"/>
          </w:divBdr>
        </w:div>
      </w:divsChild>
    </w:div>
    <w:div w:id="423840044">
      <w:bodyDiv w:val="1"/>
      <w:marLeft w:val="0"/>
      <w:marRight w:val="0"/>
      <w:marTop w:val="0"/>
      <w:marBottom w:val="0"/>
      <w:divBdr>
        <w:top w:val="none" w:sz="0" w:space="0" w:color="auto"/>
        <w:left w:val="none" w:sz="0" w:space="0" w:color="auto"/>
        <w:bottom w:val="none" w:sz="0" w:space="0" w:color="auto"/>
        <w:right w:val="none" w:sz="0" w:space="0" w:color="auto"/>
      </w:divBdr>
    </w:div>
    <w:div w:id="442499362">
      <w:bodyDiv w:val="1"/>
      <w:marLeft w:val="0"/>
      <w:marRight w:val="0"/>
      <w:marTop w:val="0"/>
      <w:marBottom w:val="0"/>
      <w:divBdr>
        <w:top w:val="none" w:sz="0" w:space="0" w:color="auto"/>
        <w:left w:val="none" w:sz="0" w:space="0" w:color="auto"/>
        <w:bottom w:val="none" w:sz="0" w:space="0" w:color="auto"/>
        <w:right w:val="none" w:sz="0" w:space="0" w:color="auto"/>
      </w:divBdr>
    </w:div>
    <w:div w:id="445927771">
      <w:bodyDiv w:val="1"/>
      <w:marLeft w:val="0"/>
      <w:marRight w:val="0"/>
      <w:marTop w:val="0"/>
      <w:marBottom w:val="0"/>
      <w:divBdr>
        <w:top w:val="none" w:sz="0" w:space="0" w:color="auto"/>
        <w:left w:val="none" w:sz="0" w:space="0" w:color="auto"/>
        <w:bottom w:val="none" w:sz="0" w:space="0" w:color="auto"/>
        <w:right w:val="none" w:sz="0" w:space="0" w:color="auto"/>
      </w:divBdr>
    </w:div>
    <w:div w:id="454759124">
      <w:bodyDiv w:val="1"/>
      <w:marLeft w:val="0"/>
      <w:marRight w:val="0"/>
      <w:marTop w:val="0"/>
      <w:marBottom w:val="0"/>
      <w:divBdr>
        <w:top w:val="none" w:sz="0" w:space="0" w:color="auto"/>
        <w:left w:val="none" w:sz="0" w:space="0" w:color="auto"/>
        <w:bottom w:val="none" w:sz="0" w:space="0" w:color="auto"/>
        <w:right w:val="none" w:sz="0" w:space="0" w:color="auto"/>
      </w:divBdr>
    </w:div>
    <w:div w:id="465663980">
      <w:bodyDiv w:val="1"/>
      <w:marLeft w:val="0"/>
      <w:marRight w:val="0"/>
      <w:marTop w:val="0"/>
      <w:marBottom w:val="0"/>
      <w:divBdr>
        <w:top w:val="none" w:sz="0" w:space="0" w:color="auto"/>
        <w:left w:val="none" w:sz="0" w:space="0" w:color="auto"/>
        <w:bottom w:val="none" w:sz="0" w:space="0" w:color="auto"/>
        <w:right w:val="none" w:sz="0" w:space="0" w:color="auto"/>
      </w:divBdr>
    </w:div>
    <w:div w:id="475758395">
      <w:bodyDiv w:val="1"/>
      <w:marLeft w:val="0"/>
      <w:marRight w:val="0"/>
      <w:marTop w:val="0"/>
      <w:marBottom w:val="0"/>
      <w:divBdr>
        <w:top w:val="none" w:sz="0" w:space="0" w:color="auto"/>
        <w:left w:val="none" w:sz="0" w:space="0" w:color="auto"/>
        <w:bottom w:val="none" w:sz="0" w:space="0" w:color="auto"/>
        <w:right w:val="none" w:sz="0" w:space="0" w:color="auto"/>
      </w:divBdr>
    </w:div>
    <w:div w:id="479075587">
      <w:bodyDiv w:val="1"/>
      <w:marLeft w:val="0"/>
      <w:marRight w:val="0"/>
      <w:marTop w:val="0"/>
      <w:marBottom w:val="0"/>
      <w:divBdr>
        <w:top w:val="none" w:sz="0" w:space="0" w:color="auto"/>
        <w:left w:val="none" w:sz="0" w:space="0" w:color="auto"/>
        <w:bottom w:val="none" w:sz="0" w:space="0" w:color="auto"/>
        <w:right w:val="none" w:sz="0" w:space="0" w:color="auto"/>
      </w:divBdr>
    </w:div>
    <w:div w:id="524909034">
      <w:bodyDiv w:val="1"/>
      <w:marLeft w:val="0"/>
      <w:marRight w:val="0"/>
      <w:marTop w:val="0"/>
      <w:marBottom w:val="0"/>
      <w:divBdr>
        <w:top w:val="none" w:sz="0" w:space="0" w:color="auto"/>
        <w:left w:val="none" w:sz="0" w:space="0" w:color="auto"/>
        <w:bottom w:val="none" w:sz="0" w:space="0" w:color="auto"/>
        <w:right w:val="none" w:sz="0" w:space="0" w:color="auto"/>
      </w:divBdr>
    </w:div>
    <w:div w:id="557666087">
      <w:bodyDiv w:val="1"/>
      <w:marLeft w:val="0"/>
      <w:marRight w:val="0"/>
      <w:marTop w:val="0"/>
      <w:marBottom w:val="0"/>
      <w:divBdr>
        <w:top w:val="none" w:sz="0" w:space="0" w:color="auto"/>
        <w:left w:val="none" w:sz="0" w:space="0" w:color="auto"/>
        <w:bottom w:val="none" w:sz="0" w:space="0" w:color="auto"/>
        <w:right w:val="none" w:sz="0" w:space="0" w:color="auto"/>
      </w:divBdr>
    </w:div>
    <w:div w:id="573321164">
      <w:bodyDiv w:val="1"/>
      <w:marLeft w:val="0"/>
      <w:marRight w:val="0"/>
      <w:marTop w:val="0"/>
      <w:marBottom w:val="0"/>
      <w:divBdr>
        <w:top w:val="none" w:sz="0" w:space="0" w:color="auto"/>
        <w:left w:val="none" w:sz="0" w:space="0" w:color="auto"/>
        <w:bottom w:val="none" w:sz="0" w:space="0" w:color="auto"/>
        <w:right w:val="none" w:sz="0" w:space="0" w:color="auto"/>
      </w:divBdr>
    </w:div>
    <w:div w:id="613251010">
      <w:bodyDiv w:val="1"/>
      <w:marLeft w:val="0"/>
      <w:marRight w:val="0"/>
      <w:marTop w:val="0"/>
      <w:marBottom w:val="0"/>
      <w:divBdr>
        <w:top w:val="none" w:sz="0" w:space="0" w:color="auto"/>
        <w:left w:val="none" w:sz="0" w:space="0" w:color="auto"/>
        <w:bottom w:val="none" w:sz="0" w:space="0" w:color="auto"/>
        <w:right w:val="none" w:sz="0" w:space="0" w:color="auto"/>
      </w:divBdr>
    </w:div>
    <w:div w:id="617294127">
      <w:bodyDiv w:val="1"/>
      <w:marLeft w:val="0"/>
      <w:marRight w:val="0"/>
      <w:marTop w:val="0"/>
      <w:marBottom w:val="0"/>
      <w:divBdr>
        <w:top w:val="none" w:sz="0" w:space="0" w:color="auto"/>
        <w:left w:val="none" w:sz="0" w:space="0" w:color="auto"/>
        <w:bottom w:val="none" w:sz="0" w:space="0" w:color="auto"/>
        <w:right w:val="none" w:sz="0" w:space="0" w:color="auto"/>
      </w:divBdr>
    </w:div>
    <w:div w:id="617832276">
      <w:bodyDiv w:val="1"/>
      <w:marLeft w:val="0"/>
      <w:marRight w:val="0"/>
      <w:marTop w:val="0"/>
      <w:marBottom w:val="0"/>
      <w:divBdr>
        <w:top w:val="none" w:sz="0" w:space="0" w:color="auto"/>
        <w:left w:val="none" w:sz="0" w:space="0" w:color="auto"/>
        <w:bottom w:val="none" w:sz="0" w:space="0" w:color="auto"/>
        <w:right w:val="none" w:sz="0" w:space="0" w:color="auto"/>
      </w:divBdr>
    </w:div>
    <w:div w:id="630789962">
      <w:bodyDiv w:val="1"/>
      <w:marLeft w:val="0"/>
      <w:marRight w:val="0"/>
      <w:marTop w:val="0"/>
      <w:marBottom w:val="0"/>
      <w:divBdr>
        <w:top w:val="none" w:sz="0" w:space="0" w:color="auto"/>
        <w:left w:val="none" w:sz="0" w:space="0" w:color="auto"/>
        <w:bottom w:val="none" w:sz="0" w:space="0" w:color="auto"/>
        <w:right w:val="none" w:sz="0" w:space="0" w:color="auto"/>
      </w:divBdr>
    </w:div>
    <w:div w:id="642470342">
      <w:bodyDiv w:val="1"/>
      <w:marLeft w:val="0"/>
      <w:marRight w:val="0"/>
      <w:marTop w:val="0"/>
      <w:marBottom w:val="0"/>
      <w:divBdr>
        <w:top w:val="none" w:sz="0" w:space="0" w:color="auto"/>
        <w:left w:val="none" w:sz="0" w:space="0" w:color="auto"/>
        <w:bottom w:val="none" w:sz="0" w:space="0" w:color="auto"/>
        <w:right w:val="none" w:sz="0" w:space="0" w:color="auto"/>
      </w:divBdr>
    </w:div>
    <w:div w:id="653801300">
      <w:bodyDiv w:val="1"/>
      <w:marLeft w:val="0"/>
      <w:marRight w:val="0"/>
      <w:marTop w:val="0"/>
      <w:marBottom w:val="0"/>
      <w:divBdr>
        <w:top w:val="none" w:sz="0" w:space="0" w:color="auto"/>
        <w:left w:val="none" w:sz="0" w:space="0" w:color="auto"/>
        <w:bottom w:val="none" w:sz="0" w:space="0" w:color="auto"/>
        <w:right w:val="none" w:sz="0" w:space="0" w:color="auto"/>
      </w:divBdr>
    </w:div>
    <w:div w:id="666596863">
      <w:bodyDiv w:val="1"/>
      <w:marLeft w:val="0"/>
      <w:marRight w:val="0"/>
      <w:marTop w:val="0"/>
      <w:marBottom w:val="0"/>
      <w:divBdr>
        <w:top w:val="none" w:sz="0" w:space="0" w:color="auto"/>
        <w:left w:val="none" w:sz="0" w:space="0" w:color="auto"/>
        <w:bottom w:val="none" w:sz="0" w:space="0" w:color="auto"/>
        <w:right w:val="none" w:sz="0" w:space="0" w:color="auto"/>
      </w:divBdr>
    </w:div>
    <w:div w:id="702559336">
      <w:bodyDiv w:val="1"/>
      <w:marLeft w:val="0"/>
      <w:marRight w:val="0"/>
      <w:marTop w:val="0"/>
      <w:marBottom w:val="0"/>
      <w:divBdr>
        <w:top w:val="none" w:sz="0" w:space="0" w:color="auto"/>
        <w:left w:val="none" w:sz="0" w:space="0" w:color="auto"/>
        <w:bottom w:val="none" w:sz="0" w:space="0" w:color="auto"/>
        <w:right w:val="none" w:sz="0" w:space="0" w:color="auto"/>
      </w:divBdr>
    </w:div>
    <w:div w:id="718667818">
      <w:bodyDiv w:val="1"/>
      <w:marLeft w:val="0"/>
      <w:marRight w:val="0"/>
      <w:marTop w:val="0"/>
      <w:marBottom w:val="0"/>
      <w:divBdr>
        <w:top w:val="none" w:sz="0" w:space="0" w:color="auto"/>
        <w:left w:val="none" w:sz="0" w:space="0" w:color="auto"/>
        <w:bottom w:val="none" w:sz="0" w:space="0" w:color="auto"/>
        <w:right w:val="none" w:sz="0" w:space="0" w:color="auto"/>
      </w:divBdr>
    </w:div>
    <w:div w:id="738213013">
      <w:bodyDiv w:val="1"/>
      <w:marLeft w:val="0"/>
      <w:marRight w:val="0"/>
      <w:marTop w:val="0"/>
      <w:marBottom w:val="0"/>
      <w:divBdr>
        <w:top w:val="none" w:sz="0" w:space="0" w:color="auto"/>
        <w:left w:val="none" w:sz="0" w:space="0" w:color="auto"/>
        <w:bottom w:val="none" w:sz="0" w:space="0" w:color="auto"/>
        <w:right w:val="none" w:sz="0" w:space="0" w:color="auto"/>
      </w:divBdr>
    </w:div>
    <w:div w:id="745568335">
      <w:bodyDiv w:val="1"/>
      <w:marLeft w:val="0"/>
      <w:marRight w:val="0"/>
      <w:marTop w:val="0"/>
      <w:marBottom w:val="0"/>
      <w:divBdr>
        <w:top w:val="none" w:sz="0" w:space="0" w:color="auto"/>
        <w:left w:val="none" w:sz="0" w:space="0" w:color="auto"/>
        <w:bottom w:val="none" w:sz="0" w:space="0" w:color="auto"/>
        <w:right w:val="none" w:sz="0" w:space="0" w:color="auto"/>
      </w:divBdr>
    </w:div>
    <w:div w:id="749737366">
      <w:bodyDiv w:val="1"/>
      <w:marLeft w:val="0"/>
      <w:marRight w:val="0"/>
      <w:marTop w:val="0"/>
      <w:marBottom w:val="0"/>
      <w:divBdr>
        <w:top w:val="none" w:sz="0" w:space="0" w:color="auto"/>
        <w:left w:val="none" w:sz="0" w:space="0" w:color="auto"/>
        <w:bottom w:val="none" w:sz="0" w:space="0" w:color="auto"/>
        <w:right w:val="none" w:sz="0" w:space="0" w:color="auto"/>
      </w:divBdr>
    </w:div>
    <w:div w:id="750391607">
      <w:bodyDiv w:val="1"/>
      <w:marLeft w:val="0"/>
      <w:marRight w:val="0"/>
      <w:marTop w:val="0"/>
      <w:marBottom w:val="0"/>
      <w:divBdr>
        <w:top w:val="none" w:sz="0" w:space="0" w:color="auto"/>
        <w:left w:val="none" w:sz="0" w:space="0" w:color="auto"/>
        <w:bottom w:val="none" w:sz="0" w:space="0" w:color="auto"/>
        <w:right w:val="none" w:sz="0" w:space="0" w:color="auto"/>
      </w:divBdr>
    </w:div>
    <w:div w:id="770395013">
      <w:bodyDiv w:val="1"/>
      <w:marLeft w:val="0"/>
      <w:marRight w:val="0"/>
      <w:marTop w:val="0"/>
      <w:marBottom w:val="0"/>
      <w:divBdr>
        <w:top w:val="none" w:sz="0" w:space="0" w:color="auto"/>
        <w:left w:val="none" w:sz="0" w:space="0" w:color="auto"/>
        <w:bottom w:val="none" w:sz="0" w:space="0" w:color="auto"/>
        <w:right w:val="none" w:sz="0" w:space="0" w:color="auto"/>
      </w:divBdr>
    </w:div>
    <w:div w:id="788469605">
      <w:bodyDiv w:val="1"/>
      <w:marLeft w:val="0"/>
      <w:marRight w:val="0"/>
      <w:marTop w:val="0"/>
      <w:marBottom w:val="0"/>
      <w:divBdr>
        <w:top w:val="none" w:sz="0" w:space="0" w:color="auto"/>
        <w:left w:val="none" w:sz="0" w:space="0" w:color="auto"/>
        <w:bottom w:val="none" w:sz="0" w:space="0" w:color="auto"/>
        <w:right w:val="none" w:sz="0" w:space="0" w:color="auto"/>
      </w:divBdr>
    </w:div>
    <w:div w:id="815336356">
      <w:bodyDiv w:val="1"/>
      <w:marLeft w:val="0"/>
      <w:marRight w:val="0"/>
      <w:marTop w:val="0"/>
      <w:marBottom w:val="0"/>
      <w:divBdr>
        <w:top w:val="none" w:sz="0" w:space="0" w:color="auto"/>
        <w:left w:val="none" w:sz="0" w:space="0" w:color="auto"/>
        <w:bottom w:val="none" w:sz="0" w:space="0" w:color="auto"/>
        <w:right w:val="none" w:sz="0" w:space="0" w:color="auto"/>
      </w:divBdr>
    </w:div>
    <w:div w:id="823199488">
      <w:bodyDiv w:val="1"/>
      <w:marLeft w:val="0"/>
      <w:marRight w:val="0"/>
      <w:marTop w:val="0"/>
      <w:marBottom w:val="0"/>
      <w:divBdr>
        <w:top w:val="none" w:sz="0" w:space="0" w:color="auto"/>
        <w:left w:val="none" w:sz="0" w:space="0" w:color="auto"/>
        <w:bottom w:val="none" w:sz="0" w:space="0" w:color="auto"/>
        <w:right w:val="none" w:sz="0" w:space="0" w:color="auto"/>
      </w:divBdr>
    </w:div>
    <w:div w:id="848057113">
      <w:bodyDiv w:val="1"/>
      <w:marLeft w:val="0"/>
      <w:marRight w:val="0"/>
      <w:marTop w:val="0"/>
      <w:marBottom w:val="0"/>
      <w:divBdr>
        <w:top w:val="none" w:sz="0" w:space="0" w:color="auto"/>
        <w:left w:val="none" w:sz="0" w:space="0" w:color="auto"/>
        <w:bottom w:val="none" w:sz="0" w:space="0" w:color="auto"/>
        <w:right w:val="none" w:sz="0" w:space="0" w:color="auto"/>
      </w:divBdr>
    </w:div>
    <w:div w:id="852492543">
      <w:bodyDiv w:val="1"/>
      <w:marLeft w:val="0"/>
      <w:marRight w:val="0"/>
      <w:marTop w:val="0"/>
      <w:marBottom w:val="0"/>
      <w:divBdr>
        <w:top w:val="none" w:sz="0" w:space="0" w:color="auto"/>
        <w:left w:val="none" w:sz="0" w:space="0" w:color="auto"/>
        <w:bottom w:val="none" w:sz="0" w:space="0" w:color="auto"/>
        <w:right w:val="none" w:sz="0" w:space="0" w:color="auto"/>
      </w:divBdr>
    </w:div>
    <w:div w:id="853613949">
      <w:bodyDiv w:val="1"/>
      <w:marLeft w:val="0"/>
      <w:marRight w:val="0"/>
      <w:marTop w:val="0"/>
      <w:marBottom w:val="0"/>
      <w:divBdr>
        <w:top w:val="none" w:sz="0" w:space="0" w:color="auto"/>
        <w:left w:val="none" w:sz="0" w:space="0" w:color="auto"/>
        <w:bottom w:val="none" w:sz="0" w:space="0" w:color="auto"/>
        <w:right w:val="none" w:sz="0" w:space="0" w:color="auto"/>
      </w:divBdr>
    </w:div>
    <w:div w:id="862599327">
      <w:bodyDiv w:val="1"/>
      <w:marLeft w:val="0"/>
      <w:marRight w:val="0"/>
      <w:marTop w:val="0"/>
      <w:marBottom w:val="0"/>
      <w:divBdr>
        <w:top w:val="none" w:sz="0" w:space="0" w:color="auto"/>
        <w:left w:val="none" w:sz="0" w:space="0" w:color="auto"/>
        <w:bottom w:val="none" w:sz="0" w:space="0" w:color="auto"/>
        <w:right w:val="none" w:sz="0" w:space="0" w:color="auto"/>
      </w:divBdr>
    </w:div>
    <w:div w:id="875701643">
      <w:bodyDiv w:val="1"/>
      <w:marLeft w:val="0"/>
      <w:marRight w:val="0"/>
      <w:marTop w:val="0"/>
      <w:marBottom w:val="0"/>
      <w:divBdr>
        <w:top w:val="none" w:sz="0" w:space="0" w:color="auto"/>
        <w:left w:val="none" w:sz="0" w:space="0" w:color="auto"/>
        <w:bottom w:val="none" w:sz="0" w:space="0" w:color="auto"/>
        <w:right w:val="none" w:sz="0" w:space="0" w:color="auto"/>
      </w:divBdr>
    </w:div>
    <w:div w:id="886378266">
      <w:bodyDiv w:val="1"/>
      <w:marLeft w:val="0"/>
      <w:marRight w:val="0"/>
      <w:marTop w:val="0"/>
      <w:marBottom w:val="0"/>
      <w:divBdr>
        <w:top w:val="none" w:sz="0" w:space="0" w:color="auto"/>
        <w:left w:val="none" w:sz="0" w:space="0" w:color="auto"/>
        <w:bottom w:val="none" w:sz="0" w:space="0" w:color="auto"/>
        <w:right w:val="none" w:sz="0" w:space="0" w:color="auto"/>
      </w:divBdr>
    </w:div>
    <w:div w:id="894706445">
      <w:bodyDiv w:val="1"/>
      <w:marLeft w:val="0"/>
      <w:marRight w:val="0"/>
      <w:marTop w:val="0"/>
      <w:marBottom w:val="0"/>
      <w:divBdr>
        <w:top w:val="none" w:sz="0" w:space="0" w:color="auto"/>
        <w:left w:val="none" w:sz="0" w:space="0" w:color="auto"/>
        <w:bottom w:val="none" w:sz="0" w:space="0" w:color="auto"/>
        <w:right w:val="none" w:sz="0" w:space="0" w:color="auto"/>
      </w:divBdr>
    </w:div>
    <w:div w:id="907955228">
      <w:bodyDiv w:val="1"/>
      <w:marLeft w:val="0"/>
      <w:marRight w:val="0"/>
      <w:marTop w:val="0"/>
      <w:marBottom w:val="0"/>
      <w:divBdr>
        <w:top w:val="none" w:sz="0" w:space="0" w:color="auto"/>
        <w:left w:val="none" w:sz="0" w:space="0" w:color="auto"/>
        <w:bottom w:val="none" w:sz="0" w:space="0" w:color="auto"/>
        <w:right w:val="none" w:sz="0" w:space="0" w:color="auto"/>
      </w:divBdr>
    </w:div>
    <w:div w:id="927274119">
      <w:bodyDiv w:val="1"/>
      <w:marLeft w:val="0"/>
      <w:marRight w:val="0"/>
      <w:marTop w:val="0"/>
      <w:marBottom w:val="0"/>
      <w:divBdr>
        <w:top w:val="none" w:sz="0" w:space="0" w:color="auto"/>
        <w:left w:val="none" w:sz="0" w:space="0" w:color="auto"/>
        <w:bottom w:val="none" w:sz="0" w:space="0" w:color="auto"/>
        <w:right w:val="none" w:sz="0" w:space="0" w:color="auto"/>
      </w:divBdr>
    </w:div>
    <w:div w:id="932055972">
      <w:bodyDiv w:val="1"/>
      <w:marLeft w:val="0"/>
      <w:marRight w:val="0"/>
      <w:marTop w:val="0"/>
      <w:marBottom w:val="0"/>
      <w:divBdr>
        <w:top w:val="none" w:sz="0" w:space="0" w:color="auto"/>
        <w:left w:val="none" w:sz="0" w:space="0" w:color="auto"/>
        <w:bottom w:val="none" w:sz="0" w:space="0" w:color="auto"/>
        <w:right w:val="none" w:sz="0" w:space="0" w:color="auto"/>
      </w:divBdr>
    </w:div>
    <w:div w:id="946541627">
      <w:bodyDiv w:val="1"/>
      <w:marLeft w:val="0"/>
      <w:marRight w:val="0"/>
      <w:marTop w:val="0"/>
      <w:marBottom w:val="0"/>
      <w:divBdr>
        <w:top w:val="none" w:sz="0" w:space="0" w:color="auto"/>
        <w:left w:val="none" w:sz="0" w:space="0" w:color="auto"/>
        <w:bottom w:val="none" w:sz="0" w:space="0" w:color="auto"/>
        <w:right w:val="none" w:sz="0" w:space="0" w:color="auto"/>
      </w:divBdr>
    </w:div>
    <w:div w:id="956719894">
      <w:bodyDiv w:val="1"/>
      <w:marLeft w:val="0"/>
      <w:marRight w:val="0"/>
      <w:marTop w:val="0"/>
      <w:marBottom w:val="0"/>
      <w:divBdr>
        <w:top w:val="none" w:sz="0" w:space="0" w:color="auto"/>
        <w:left w:val="none" w:sz="0" w:space="0" w:color="auto"/>
        <w:bottom w:val="none" w:sz="0" w:space="0" w:color="auto"/>
        <w:right w:val="none" w:sz="0" w:space="0" w:color="auto"/>
      </w:divBdr>
    </w:div>
    <w:div w:id="972370500">
      <w:bodyDiv w:val="1"/>
      <w:marLeft w:val="0"/>
      <w:marRight w:val="0"/>
      <w:marTop w:val="0"/>
      <w:marBottom w:val="0"/>
      <w:divBdr>
        <w:top w:val="none" w:sz="0" w:space="0" w:color="auto"/>
        <w:left w:val="none" w:sz="0" w:space="0" w:color="auto"/>
        <w:bottom w:val="none" w:sz="0" w:space="0" w:color="auto"/>
        <w:right w:val="none" w:sz="0" w:space="0" w:color="auto"/>
      </w:divBdr>
    </w:div>
    <w:div w:id="1031372585">
      <w:bodyDiv w:val="1"/>
      <w:marLeft w:val="0"/>
      <w:marRight w:val="0"/>
      <w:marTop w:val="0"/>
      <w:marBottom w:val="0"/>
      <w:divBdr>
        <w:top w:val="none" w:sz="0" w:space="0" w:color="auto"/>
        <w:left w:val="none" w:sz="0" w:space="0" w:color="auto"/>
        <w:bottom w:val="none" w:sz="0" w:space="0" w:color="auto"/>
        <w:right w:val="none" w:sz="0" w:space="0" w:color="auto"/>
      </w:divBdr>
    </w:div>
    <w:div w:id="1058633138">
      <w:bodyDiv w:val="1"/>
      <w:marLeft w:val="0"/>
      <w:marRight w:val="0"/>
      <w:marTop w:val="0"/>
      <w:marBottom w:val="0"/>
      <w:divBdr>
        <w:top w:val="none" w:sz="0" w:space="0" w:color="auto"/>
        <w:left w:val="none" w:sz="0" w:space="0" w:color="auto"/>
        <w:bottom w:val="none" w:sz="0" w:space="0" w:color="auto"/>
        <w:right w:val="none" w:sz="0" w:space="0" w:color="auto"/>
      </w:divBdr>
    </w:div>
    <w:div w:id="1059285469">
      <w:bodyDiv w:val="1"/>
      <w:marLeft w:val="0"/>
      <w:marRight w:val="0"/>
      <w:marTop w:val="0"/>
      <w:marBottom w:val="0"/>
      <w:divBdr>
        <w:top w:val="none" w:sz="0" w:space="0" w:color="auto"/>
        <w:left w:val="none" w:sz="0" w:space="0" w:color="auto"/>
        <w:bottom w:val="none" w:sz="0" w:space="0" w:color="auto"/>
        <w:right w:val="none" w:sz="0" w:space="0" w:color="auto"/>
      </w:divBdr>
    </w:div>
    <w:div w:id="1063604872">
      <w:bodyDiv w:val="1"/>
      <w:marLeft w:val="0"/>
      <w:marRight w:val="0"/>
      <w:marTop w:val="0"/>
      <w:marBottom w:val="0"/>
      <w:divBdr>
        <w:top w:val="none" w:sz="0" w:space="0" w:color="auto"/>
        <w:left w:val="none" w:sz="0" w:space="0" w:color="auto"/>
        <w:bottom w:val="none" w:sz="0" w:space="0" w:color="auto"/>
        <w:right w:val="none" w:sz="0" w:space="0" w:color="auto"/>
      </w:divBdr>
    </w:div>
    <w:div w:id="1069034179">
      <w:bodyDiv w:val="1"/>
      <w:marLeft w:val="0"/>
      <w:marRight w:val="0"/>
      <w:marTop w:val="0"/>
      <w:marBottom w:val="0"/>
      <w:divBdr>
        <w:top w:val="none" w:sz="0" w:space="0" w:color="auto"/>
        <w:left w:val="none" w:sz="0" w:space="0" w:color="auto"/>
        <w:bottom w:val="none" w:sz="0" w:space="0" w:color="auto"/>
        <w:right w:val="none" w:sz="0" w:space="0" w:color="auto"/>
      </w:divBdr>
    </w:div>
    <w:div w:id="1090155880">
      <w:bodyDiv w:val="1"/>
      <w:marLeft w:val="0"/>
      <w:marRight w:val="0"/>
      <w:marTop w:val="0"/>
      <w:marBottom w:val="0"/>
      <w:divBdr>
        <w:top w:val="none" w:sz="0" w:space="0" w:color="auto"/>
        <w:left w:val="none" w:sz="0" w:space="0" w:color="auto"/>
        <w:bottom w:val="none" w:sz="0" w:space="0" w:color="auto"/>
        <w:right w:val="none" w:sz="0" w:space="0" w:color="auto"/>
      </w:divBdr>
    </w:div>
    <w:div w:id="1096750878">
      <w:bodyDiv w:val="1"/>
      <w:marLeft w:val="0"/>
      <w:marRight w:val="0"/>
      <w:marTop w:val="0"/>
      <w:marBottom w:val="0"/>
      <w:divBdr>
        <w:top w:val="none" w:sz="0" w:space="0" w:color="auto"/>
        <w:left w:val="none" w:sz="0" w:space="0" w:color="auto"/>
        <w:bottom w:val="none" w:sz="0" w:space="0" w:color="auto"/>
        <w:right w:val="none" w:sz="0" w:space="0" w:color="auto"/>
      </w:divBdr>
    </w:div>
    <w:div w:id="1106542037">
      <w:bodyDiv w:val="1"/>
      <w:marLeft w:val="0"/>
      <w:marRight w:val="0"/>
      <w:marTop w:val="0"/>
      <w:marBottom w:val="0"/>
      <w:divBdr>
        <w:top w:val="none" w:sz="0" w:space="0" w:color="auto"/>
        <w:left w:val="none" w:sz="0" w:space="0" w:color="auto"/>
        <w:bottom w:val="none" w:sz="0" w:space="0" w:color="auto"/>
        <w:right w:val="none" w:sz="0" w:space="0" w:color="auto"/>
      </w:divBdr>
    </w:div>
    <w:div w:id="1118332094">
      <w:bodyDiv w:val="1"/>
      <w:marLeft w:val="0"/>
      <w:marRight w:val="0"/>
      <w:marTop w:val="0"/>
      <w:marBottom w:val="0"/>
      <w:divBdr>
        <w:top w:val="none" w:sz="0" w:space="0" w:color="auto"/>
        <w:left w:val="none" w:sz="0" w:space="0" w:color="auto"/>
        <w:bottom w:val="none" w:sz="0" w:space="0" w:color="auto"/>
        <w:right w:val="none" w:sz="0" w:space="0" w:color="auto"/>
      </w:divBdr>
    </w:div>
    <w:div w:id="1126894250">
      <w:bodyDiv w:val="1"/>
      <w:marLeft w:val="0"/>
      <w:marRight w:val="0"/>
      <w:marTop w:val="0"/>
      <w:marBottom w:val="0"/>
      <w:divBdr>
        <w:top w:val="none" w:sz="0" w:space="0" w:color="auto"/>
        <w:left w:val="none" w:sz="0" w:space="0" w:color="auto"/>
        <w:bottom w:val="none" w:sz="0" w:space="0" w:color="auto"/>
        <w:right w:val="none" w:sz="0" w:space="0" w:color="auto"/>
      </w:divBdr>
    </w:div>
    <w:div w:id="1151143042">
      <w:bodyDiv w:val="1"/>
      <w:marLeft w:val="0"/>
      <w:marRight w:val="0"/>
      <w:marTop w:val="0"/>
      <w:marBottom w:val="0"/>
      <w:divBdr>
        <w:top w:val="none" w:sz="0" w:space="0" w:color="auto"/>
        <w:left w:val="none" w:sz="0" w:space="0" w:color="auto"/>
        <w:bottom w:val="none" w:sz="0" w:space="0" w:color="auto"/>
        <w:right w:val="none" w:sz="0" w:space="0" w:color="auto"/>
      </w:divBdr>
      <w:divsChild>
        <w:div w:id="1140079442">
          <w:marLeft w:val="0"/>
          <w:marRight w:val="0"/>
          <w:marTop w:val="0"/>
          <w:marBottom w:val="0"/>
          <w:divBdr>
            <w:top w:val="none" w:sz="0" w:space="0" w:color="auto"/>
            <w:left w:val="none" w:sz="0" w:space="0" w:color="auto"/>
            <w:bottom w:val="none" w:sz="0" w:space="0" w:color="auto"/>
            <w:right w:val="none" w:sz="0" w:space="0" w:color="auto"/>
          </w:divBdr>
        </w:div>
        <w:div w:id="1148862170">
          <w:marLeft w:val="0"/>
          <w:marRight w:val="0"/>
          <w:marTop w:val="0"/>
          <w:marBottom w:val="0"/>
          <w:divBdr>
            <w:top w:val="none" w:sz="0" w:space="0" w:color="auto"/>
            <w:left w:val="none" w:sz="0" w:space="0" w:color="auto"/>
            <w:bottom w:val="none" w:sz="0" w:space="0" w:color="auto"/>
            <w:right w:val="none" w:sz="0" w:space="0" w:color="auto"/>
          </w:divBdr>
        </w:div>
      </w:divsChild>
    </w:div>
    <w:div w:id="1157068198">
      <w:bodyDiv w:val="1"/>
      <w:marLeft w:val="0"/>
      <w:marRight w:val="0"/>
      <w:marTop w:val="0"/>
      <w:marBottom w:val="0"/>
      <w:divBdr>
        <w:top w:val="none" w:sz="0" w:space="0" w:color="auto"/>
        <w:left w:val="none" w:sz="0" w:space="0" w:color="auto"/>
        <w:bottom w:val="none" w:sz="0" w:space="0" w:color="auto"/>
        <w:right w:val="none" w:sz="0" w:space="0" w:color="auto"/>
      </w:divBdr>
    </w:div>
    <w:div w:id="1162433166">
      <w:bodyDiv w:val="1"/>
      <w:marLeft w:val="0"/>
      <w:marRight w:val="0"/>
      <w:marTop w:val="0"/>
      <w:marBottom w:val="0"/>
      <w:divBdr>
        <w:top w:val="none" w:sz="0" w:space="0" w:color="auto"/>
        <w:left w:val="none" w:sz="0" w:space="0" w:color="auto"/>
        <w:bottom w:val="none" w:sz="0" w:space="0" w:color="auto"/>
        <w:right w:val="none" w:sz="0" w:space="0" w:color="auto"/>
      </w:divBdr>
    </w:div>
    <w:div w:id="1166703053">
      <w:bodyDiv w:val="1"/>
      <w:marLeft w:val="0"/>
      <w:marRight w:val="0"/>
      <w:marTop w:val="0"/>
      <w:marBottom w:val="0"/>
      <w:divBdr>
        <w:top w:val="none" w:sz="0" w:space="0" w:color="auto"/>
        <w:left w:val="none" w:sz="0" w:space="0" w:color="auto"/>
        <w:bottom w:val="none" w:sz="0" w:space="0" w:color="auto"/>
        <w:right w:val="none" w:sz="0" w:space="0" w:color="auto"/>
      </w:divBdr>
    </w:div>
    <w:div w:id="1196187913">
      <w:bodyDiv w:val="1"/>
      <w:marLeft w:val="0"/>
      <w:marRight w:val="0"/>
      <w:marTop w:val="0"/>
      <w:marBottom w:val="0"/>
      <w:divBdr>
        <w:top w:val="none" w:sz="0" w:space="0" w:color="auto"/>
        <w:left w:val="none" w:sz="0" w:space="0" w:color="auto"/>
        <w:bottom w:val="none" w:sz="0" w:space="0" w:color="auto"/>
        <w:right w:val="none" w:sz="0" w:space="0" w:color="auto"/>
      </w:divBdr>
    </w:div>
    <w:div w:id="1204053701">
      <w:bodyDiv w:val="1"/>
      <w:marLeft w:val="0"/>
      <w:marRight w:val="0"/>
      <w:marTop w:val="0"/>
      <w:marBottom w:val="0"/>
      <w:divBdr>
        <w:top w:val="none" w:sz="0" w:space="0" w:color="auto"/>
        <w:left w:val="none" w:sz="0" w:space="0" w:color="auto"/>
        <w:bottom w:val="none" w:sz="0" w:space="0" w:color="auto"/>
        <w:right w:val="none" w:sz="0" w:space="0" w:color="auto"/>
      </w:divBdr>
    </w:div>
    <w:div w:id="1207067166">
      <w:bodyDiv w:val="1"/>
      <w:marLeft w:val="0"/>
      <w:marRight w:val="0"/>
      <w:marTop w:val="0"/>
      <w:marBottom w:val="0"/>
      <w:divBdr>
        <w:top w:val="none" w:sz="0" w:space="0" w:color="auto"/>
        <w:left w:val="none" w:sz="0" w:space="0" w:color="auto"/>
        <w:bottom w:val="none" w:sz="0" w:space="0" w:color="auto"/>
        <w:right w:val="none" w:sz="0" w:space="0" w:color="auto"/>
      </w:divBdr>
    </w:div>
    <w:div w:id="1221870294">
      <w:bodyDiv w:val="1"/>
      <w:marLeft w:val="0"/>
      <w:marRight w:val="0"/>
      <w:marTop w:val="0"/>
      <w:marBottom w:val="0"/>
      <w:divBdr>
        <w:top w:val="none" w:sz="0" w:space="0" w:color="auto"/>
        <w:left w:val="none" w:sz="0" w:space="0" w:color="auto"/>
        <w:bottom w:val="none" w:sz="0" w:space="0" w:color="auto"/>
        <w:right w:val="none" w:sz="0" w:space="0" w:color="auto"/>
      </w:divBdr>
      <w:divsChild>
        <w:div w:id="1429230967">
          <w:marLeft w:val="0"/>
          <w:marRight w:val="0"/>
          <w:marTop w:val="0"/>
          <w:marBottom w:val="0"/>
          <w:divBdr>
            <w:top w:val="none" w:sz="0" w:space="0" w:color="auto"/>
            <w:left w:val="none" w:sz="0" w:space="0" w:color="auto"/>
            <w:bottom w:val="none" w:sz="0" w:space="0" w:color="auto"/>
            <w:right w:val="none" w:sz="0" w:space="0" w:color="auto"/>
          </w:divBdr>
        </w:div>
        <w:div w:id="1884364698">
          <w:marLeft w:val="0"/>
          <w:marRight w:val="0"/>
          <w:marTop w:val="0"/>
          <w:marBottom w:val="0"/>
          <w:divBdr>
            <w:top w:val="none" w:sz="0" w:space="0" w:color="auto"/>
            <w:left w:val="none" w:sz="0" w:space="0" w:color="auto"/>
            <w:bottom w:val="none" w:sz="0" w:space="0" w:color="auto"/>
            <w:right w:val="none" w:sz="0" w:space="0" w:color="auto"/>
          </w:divBdr>
        </w:div>
      </w:divsChild>
    </w:div>
    <w:div w:id="1222715626">
      <w:bodyDiv w:val="1"/>
      <w:marLeft w:val="0"/>
      <w:marRight w:val="0"/>
      <w:marTop w:val="0"/>
      <w:marBottom w:val="0"/>
      <w:divBdr>
        <w:top w:val="none" w:sz="0" w:space="0" w:color="auto"/>
        <w:left w:val="none" w:sz="0" w:space="0" w:color="auto"/>
        <w:bottom w:val="none" w:sz="0" w:space="0" w:color="auto"/>
        <w:right w:val="none" w:sz="0" w:space="0" w:color="auto"/>
      </w:divBdr>
    </w:div>
    <w:div w:id="1245799882">
      <w:bodyDiv w:val="1"/>
      <w:marLeft w:val="0"/>
      <w:marRight w:val="0"/>
      <w:marTop w:val="0"/>
      <w:marBottom w:val="0"/>
      <w:divBdr>
        <w:top w:val="none" w:sz="0" w:space="0" w:color="auto"/>
        <w:left w:val="none" w:sz="0" w:space="0" w:color="auto"/>
        <w:bottom w:val="none" w:sz="0" w:space="0" w:color="auto"/>
        <w:right w:val="none" w:sz="0" w:space="0" w:color="auto"/>
      </w:divBdr>
    </w:div>
    <w:div w:id="1252012169">
      <w:bodyDiv w:val="1"/>
      <w:marLeft w:val="0"/>
      <w:marRight w:val="0"/>
      <w:marTop w:val="0"/>
      <w:marBottom w:val="0"/>
      <w:divBdr>
        <w:top w:val="none" w:sz="0" w:space="0" w:color="auto"/>
        <w:left w:val="none" w:sz="0" w:space="0" w:color="auto"/>
        <w:bottom w:val="none" w:sz="0" w:space="0" w:color="auto"/>
        <w:right w:val="none" w:sz="0" w:space="0" w:color="auto"/>
      </w:divBdr>
    </w:div>
    <w:div w:id="1266187653">
      <w:bodyDiv w:val="1"/>
      <w:marLeft w:val="0"/>
      <w:marRight w:val="0"/>
      <w:marTop w:val="0"/>
      <w:marBottom w:val="0"/>
      <w:divBdr>
        <w:top w:val="none" w:sz="0" w:space="0" w:color="auto"/>
        <w:left w:val="none" w:sz="0" w:space="0" w:color="auto"/>
        <w:bottom w:val="none" w:sz="0" w:space="0" w:color="auto"/>
        <w:right w:val="none" w:sz="0" w:space="0" w:color="auto"/>
      </w:divBdr>
    </w:div>
    <w:div w:id="1268586837">
      <w:bodyDiv w:val="1"/>
      <w:marLeft w:val="0"/>
      <w:marRight w:val="0"/>
      <w:marTop w:val="0"/>
      <w:marBottom w:val="0"/>
      <w:divBdr>
        <w:top w:val="none" w:sz="0" w:space="0" w:color="auto"/>
        <w:left w:val="none" w:sz="0" w:space="0" w:color="auto"/>
        <w:bottom w:val="none" w:sz="0" w:space="0" w:color="auto"/>
        <w:right w:val="none" w:sz="0" w:space="0" w:color="auto"/>
      </w:divBdr>
    </w:div>
    <w:div w:id="1319503371">
      <w:bodyDiv w:val="1"/>
      <w:marLeft w:val="0"/>
      <w:marRight w:val="0"/>
      <w:marTop w:val="0"/>
      <w:marBottom w:val="0"/>
      <w:divBdr>
        <w:top w:val="none" w:sz="0" w:space="0" w:color="auto"/>
        <w:left w:val="none" w:sz="0" w:space="0" w:color="auto"/>
        <w:bottom w:val="none" w:sz="0" w:space="0" w:color="auto"/>
        <w:right w:val="none" w:sz="0" w:space="0" w:color="auto"/>
      </w:divBdr>
    </w:div>
    <w:div w:id="1322811312">
      <w:bodyDiv w:val="1"/>
      <w:marLeft w:val="0"/>
      <w:marRight w:val="0"/>
      <w:marTop w:val="0"/>
      <w:marBottom w:val="0"/>
      <w:divBdr>
        <w:top w:val="none" w:sz="0" w:space="0" w:color="auto"/>
        <w:left w:val="none" w:sz="0" w:space="0" w:color="auto"/>
        <w:bottom w:val="none" w:sz="0" w:space="0" w:color="auto"/>
        <w:right w:val="none" w:sz="0" w:space="0" w:color="auto"/>
      </w:divBdr>
    </w:div>
    <w:div w:id="1352563336">
      <w:bodyDiv w:val="1"/>
      <w:marLeft w:val="0"/>
      <w:marRight w:val="0"/>
      <w:marTop w:val="0"/>
      <w:marBottom w:val="0"/>
      <w:divBdr>
        <w:top w:val="none" w:sz="0" w:space="0" w:color="auto"/>
        <w:left w:val="none" w:sz="0" w:space="0" w:color="auto"/>
        <w:bottom w:val="none" w:sz="0" w:space="0" w:color="auto"/>
        <w:right w:val="none" w:sz="0" w:space="0" w:color="auto"/>
      </w:divBdr>
    </w:div>
    <w:div w:id="1352948388">
      <w:bodyDiv w:val="1"/>
      <w:marLeft w:val="0"/>
      <w:marRight w:val="0"/>
      <w:marTop w:val="0"/>
      <w:marBottom w:val="0"/>
      <w:divBdr>
        <w:top w:val="none" w:sz="0" w:space="0" w:color="auto"/>
        <w:left w:val="none" w:sz="0" w:space="0" w:color="auto"/>
        <w:bottom w:val="none" w:sz="0" w:space="0" w:color="auto"/>
        <w:right w:val="none" w:sz="0" w:space="0" w:color="auto"/>
      </w:divBdr>
    </w:div>
    <w:div w:id="1378236975">
      <w:bodyDiv w:val="1"/>
      <w:marLeft w:val="0"/>
      <w:marRight w:val="0"/>
      <w:marTop w:val="0"/>
      <w:marBottom w:val="0"/>
      <w:divBdr>
        <w:top w:val="none" w:sz="0" w:space="0" w:color="auto"/>
        <w:left w:val="none" w:sz="0" w:space="0" w:color="auto"/>
        <w:bottom w:val="none" w:sz="0" w:space="0" w:color="auto"/>
        <w:right w:val="none" w:sz="0" w:space="0" w:color="auto"/>
      </w:divBdr>
    </w:div>
    <w:div w:id="1387298670">
      <w:bodyDiv w:val="1"/>
      <w:marLeft w:val="0"/>
      <w:marRight w:val="0"/>
      <w:marTop w:val="0"/>
      <w:marBottom w:val="0"/>
      <w:divBdr>
        <w:top w:val="none" w:sz="0" w:space="0" w:color="auto"/>
        <w:left w:val="none" w:sz="0" w:space="0" w:color="auto"/>
        <w:bottom w:val="none" w:sz="0" w:space="0" w:color="auto"/>
        <w:right w:val="none" w:sz="0" w:space="0" w:color="auto"/>
      </w:divBdr>
    </w:div>
    <w:div w:id="1394544998">
      <w:bodyDiv w:val="1"/>
      <w:marLeft w:val="0"/>
      <w:marRight w:val="0"/>
      <w:marTop w:val="0"/>
      <w:marBottom w:val="0"/>
      <w:divBdr>
        <w:top w:val="none" w:sz="0" w:space="0" w:color="auto"/>
        <w:left w:val="none" w:sz="0" w:space="0" w:color="auto"/>
        <w:bottom w:val="none" w:sz="0" w:space="0" w:color="auto"/>
        <w:right w:val="none" w:sz="0" w:space="0" w:color="auto"/>
      </w:divBdr>
    </w:div>
    <w:div w:id="1404523343">
      <w:bodyDiv w:val="1"/>
      <w:marLeft w:val="0"/>
      <w:marRight w:val="0"/>
      <w:marTop w:val="0"/>
      <w:marBottom w:val="0"/>
      <w:divBdr>
        <w:top w:val="none" w:sz="0" w:space="0" w:color="auto"/>
        <w:left w:val="none" w:sz="0" w:space="0" w:color="auto"/>
        <w:bottom w:val="none" w:sz="0" w:space="0" w:color="auto"/>
        <w:right w:val="none" w:sz="0" w:space="0" w:color="auto"/>
      </w:divBdr>
    </w:div>
    <w:div w:id="1421414340">
      <w:bodyDiv w:val="1"/>
      <w:marLeft w:val="0"/>
      <w:marRight w:val="0"/>
      <w:marTop w:val="0"/>
      <w:marBottom w:val="0"/>
      <w:divBdr>
        <w:top w:val="none" w:sz="0" w:space="0" w:color="auto"/>
        <w:left w:val="none" w:sz="0" w:space="0" w:color="auto"/>
        <w:bottom w:val="none" w:sz="0" w:space="0" w:color="auto"/>
        <w:right w:val="none" w:sz="0" w:space="0" w:color="auto"/>
      </w:divBdr>
    </w:div>
    <w:div w:id="1428303783">
      <w:bodyDiv w:val="1"/>
      <w:marLeft w:val="0"/>
      <w:marRight w:val="0"/>
      <w:marTop w:val="0"/>
      <w:marBottom w:val="0"/>
      <w:divBdr>
        <w:top w:val="none" w:sz="0" w:space="0" w:color="auto"/>
        <w:left w:val="none" w:sz="0" w:space="0" w:color="auto"/>
        <w:bottom w:val="none" w:sz="0" w:space="0" w:color="auto"/>
        <w:right w:val="none" w:sz="0" w:space="0" w:color="auto"/>
      </w:divBdr>
    </w:div>
    <w:div w:id="1437407058">
      <w:bodyDiv w:val="1"/>
      <w:marLeft w:val="0"/>
      <w:marRight w:val="0"/>
      <w:marTop w:val="0"/>
      <w:marBottom w:val="0"/>
      <w:divBdr>
        <w:top w:val="none" w:sz="0" w:space="0" w:color="auto"/>
        <w:left w:val="none" w:sz="0" w:space="0" w:color="auto"/>
        <w:bottom w:val="none" w:sz="0" w:space="0" w:color="auto"/>
        <w:right w:val="none" w:sz="0" w:space="0" w:color="auto"/>
      </w:divBdr>
    </w:div>
    <w:div w:id="1459178057">
      <w:bodyDiv w:val="1"/>
      <w:marLeft w:val="0"/>
      <w:marRight w:val="0"/>
      <w:marTop w:val="0"/>
      <w:marBottom w:val="0"/>
      <w:divBdr>
        <w:top w:val="none" w:sz="0" w:space="0" w:color="auto"/>
        <w:left w:val="none" w:sz="0" w:space="0" w:color="auto"/>
        <w:bottom w:val="none" w:sz="0" w:space="0" w:color="auto"/>
        <w:right w:val="none" w:sz="0" w:space="0" w:color="auto"/>
      </w:divBdr>
    </w:div>
    <w:div w:id="1461260385">
      <w:bodyDiv w:val="1"/>
      <w:marLeft w:val="0"/>
      <w:marRight w:val="0"/>
      <w:marTop w:val="0"/>
      <w:marBottom w:val="0"/>
      <w:divBdr>
        <w:top w:val="none" w:sz="0" w:space="0" w:color="auto"/>
        <w:left w:val="none" w:sz="0" w:space="0" w:color="auto"/>
        <w:bottom w:val="none" w:sz="0" w:space="0" w:color="auto"/>
        <w:right w:val="none" w:sz="0" w:space="0" w:color="auto"/>
      </w:divBdr>
    </w:div>
    <w:div w:id="1461344139">
      <w:bodyDiv w:val="1"/>
      <w:marLeft w:val="0"/>
      <w:marRight w:val="0"/>
      <w:marTop w:val="0"/>
      <w:marBottom w:val="0"/>
      <w:divBdr>
        <w:top w:val="none" w:sz="0" w:space="0" w:color="auto"/>
        <w:left w:val="none" w:sz="0" w:space="0" w:color="auto"/>
        <w:bottom w:val="none" w:sz="0" w:space="0" w:color="auto"/>
        <w:right w:val="none" w:sz="0" w:space="0" w:color="auto"/>
      </w:divBdr>
    </w:div>
    <w:div w:id="1465659348">
      <w:bodyDiv w:val="1"/>
      <w:marLeft w:val="0"/>
      <w:marRight w:val="0"/>
      <w:marTop w:val="0"/>
      <w:marBottom w:val="0"/>
      <w:divBdr>
        <w:top w:val="none" w:sz="0" w:space="0" w:color="auto"/>
        <w:left w:val="none" w:sz="0" w:space="0" w:color="auto"/>
        <w:bottom w:val="none" w:sz="0" w:space="0" w:color="auto"/>
        <w:right w:val="none" w:sz="0" w:space="0" w:color="auto"/>
      </w:divBdr>
    </w:div>
    <w:div w:id="1466049983">
      <w:bodyDiv w:val="1"/>
      <w:marLeft w:val="0"/>
      <w:marRight w:val="0"/>
      <w:marTop w:val="0"/>
      <w:marBottom w:val="0"/>
      <w:divBdr>
        <w:top w:val="none" w:sz="0" w:space="0" w:color="auto"/>
        <w:left w:val="none" w:sz="0" w:space="0" w:color="auto"/>
        <w:bottom w:val="none" w:sz="0" w:space="0" w:color="auto"/>
        <w:right w:val="none" w:sz="0" w:space="0" w:color="auto"/>
      </w:divBdr>
    </w:div>
    <w:div w:id="1514225568">
      <w:bodyDiv w:val="1"/>
      <w:marLeft w:val="0"/>
      <w:marRight w:val="0"/>
      <w:marTop w:val="0"/>
      <w:marBottom w:val="0"/>
      <w:divBdr>
        <w:top w:val="none" w:sz="0" w:space="0" w:color="auto"/>
        <w:left w:val="none" w:sz="0" w:space="0" w:color="auto"/>
        <w:bottom w:val="none" w:sz="0" w:space="0" w:color="auto"/>
        <w:right w:val="none" w:sz="0" w:space="0" w:color="auto"/>
      </w:divBdr>
    </w:div>
    <w:div w:id="1519082954">
      <w:bodyDiv w:val="1"/>
      <w:marLeft w:val="0"/>
      <w:marRight w:val="0"/>
      <w:marTop w:val="0"/>
      <w:marBottom w:val="0"/>
      <w:divBdr>
        <w:top w:val="none" w:sz="0" w:space="0" w:color="auto"/>
        <w:left w:val="none" w:sz="0" w:space="0" w:color="auto"/>
        <w:bottom w:val="none" w:sz="0" w:space="0" w:color="auto"/>
        <w:right w:val="none" w:sz="0" w:space="0" w:color="auto"/>
      </w:divBdr>
    </w:div>
    <w:div w:id="1535539034">
      <w:bodyDiv w:val="1"/>
      <w:marLeft w:val="0"/>
      <w:marRight w:val="0"/>
      <w:marTop w:val="0"/>
      <w:marBottom w:val="0"/>
      <w:divBdr>
        <w:top w:val="none" w:sz="0" w:space="0" w:color="auto"/>
        <w:left w:val="none" w:sz="0" w:space="0" w:color="auto"/>
        <w:bottom w:val="none" w:sz="0" w:space="0" w:color="auto"/>
        <w:right w:val="none" w:sz="0" w:space="0" w:color="auto"/>
      </w:divBdr>
    </w:div>
    <w:div w:id="1536043278">
      <w:bodyDiv w:val="1"/>
      <w:marLeft w:val="0"/>
      <w:marRight w:val="0"/>
      <w:marTop w:val="0"/>
      <w:marBottom w:val="0"/>
      <w:divBdr>
        <w:top w:val="none" w:sz="0" w:space="0" w:color="auto"/>
        <w:left w:val="none" w:sz="0" w:space="0" w:color="auto"/>
        <w:bottom w:val="none" w:sz="0" w:space="0" w:color="auto"/>
        <w:right w:val="none" w:sz="0" w:space="0" w:color="auto"/>
      </w:divBdr>
    </w:div>
    <w:div w:id="1538590630">
      <w:bodyDiv w:val="1"/>
      <w:marLeft w:val="0"/>
      <w:marRight w:val="0"/>
      <w:marTop w:val="0"/>
      <w:marBottom w:val="0"/>
      <w:divBdr>
        <w:top w:val="none" w:sz="0" w:space="0" w:color="auto"/>
        <w:left w:val="none" w:sz="0" w:space="0" w:color="auto"/>
        <w:bottom w:val="none" w:sz="0" w:space="0" w:color="auto"/>
        <w:right w:val="none" w:sz="0" w:space="0" w:color="auto"/>
      </w:divBdr>
    </w:div>
    <w:div w:id="1573080768">
      <w:bodyDiv w:val="1"/>
      <w:marLeft w:val="0"/>
      <w:marRight w:val="0"/>
      <w:marTop w:val="0"/>
      <w:marBottom w:val="0"/>
      <w:divBdr>
        <w:top w:val="none" w:sz="0" w:space="0" w:color="auto"/>
        <w:left w:val="none" w:sz="0" w:space="0" w:color="auto"/>
        <w:bottom w:val="none" w:sz="0" w:space="0" w:color="auto"/>
        <w:right w:val="none" w:sz="0" w:space="0" w:color="auto"/>
      </w:divBdr>
    </w:div>
    <w:div w:id="1574311541">
      <w:bodyDiv w:val="1"/>
      <w:marLeft w:val="0"/>
      <w:marRight w:val="0"/>
      <w:marTop w:val="0"/>
      <w:marBottom w:val="0"/>
      <w:divBdr>
        <w:top w:val="none" w:sz="0" w:space="0" w:color="auto"/>
        <w:left w:val="none" w:sz="0" w:space="0" w:color="auto"/>
        <w:bottom w:val="none" w:sz="0" w:space="0" w:color="auto"/>
        <w:right w:val="none" w:sz="0" w:space="0" w:color="auto"/>
      </w:divBdr>
    </w:div>
    <w:div w:id="1591042392">
      <w:bodyDiv w:val="1"/>
      <w:marLeft w:val="0"/>
      <w:marRight w:val="0"/>
      <w:marTop w:val="0"/>
      <w:marBottom w:val="0"/>
      <w:divBdr>
        <w:top w:val="none" w:sz="0" w:space="0" w:color="auto"/>
        <w:left w:val="none" w:sz="0" w:space="0" w:color="auto"/>
        <w:bottom w:val="none" w:sz="0" w:space="0" w:color="auto"/>
        <w:right w:val="none" w:sz="0" w:space="0" w:color="auto"/>
      </w:divBdr>
    </w:div>
    <w:div w:id="1596551095">
      <w:bodyDiv w:val="1"/>
      <w:marLeft w:val="0"/>
      <w:marRight w:val="0"/>
      <w:marTop w:val="0"/>
      <w:marBottom w:val="0"/>
      <w:divBdr>
        <w:top w:val="none" w:sz="0" w:space="0" w:color="auto"/>
        <w:left w:val="none" w:sz="0" w:space="0" w:color="auto"/>
        <w:bottom w:val="none" w:sz="0" w:space="0" w:color="auto"/>
        <w:right w:val="none" w:sz="0" w:space="0" w:color="auto"/>
      </w:divBdr>
    </w:div>
    <w:div w:id="1603302283">
      <w:bodyDiv w:val="1"/>
      <w:marLeft w:val="0"/>
      <w:marRight w:val="0"/>
      <w:marTop w:val="0"/>
      <w:marBottom w:val="0"/>
      <w:divBdr>
        <w:top w:val="none" w:sz="0" w:space="0" w:color="auto"/>
        <w:left w:val="none" w:sz="0" w:space="0" w:color="auto"/>
        <w:bottom w:val="none" w:sz="0" w:space="0" w:color="auto"/>
        <w:right w:val="none" w:sz="0" w:space="0" w:color="auto"/>
      </w:divBdr>
    </w:div>
    <w:div w:id="1607225147">
      <w:bodyDiv w:val="1"/>
      <w:marLeft w:val="0"/>
      <w:marRight w:val="0"/>
      <w:marTop w:val="0"/>
      <w:marBottom w:val="0"/>
      <w:divBdr>
        <w:top w:val="none" w:sz="0" w:space="0" w:color="auto"/>
        <w:left w:val="none" w:sz="0" w:space="0" w:color="auto"/>
        <w:bottom w:val="none" w:sz="0" w:space="0" w:color="auto"/>
        <w:right w:val="none" w:sz="0" w:space="0" w:color="auto"/>
      </w:divBdr>
    </w:div>
    <w:div w:id="1633093452">
      <w:bodyDiv w:val="1"/>
      <w:marLeft w:val="0"/>
      <w:marRight w:val="0"/>
      <w:marTop w:val="0"/>
      <w:marBottom w:val="0"/>
      <w:divBdr>
        <w:top w:val="none" w:sz="0" w:space="0" w:color="auto"/>
        <w:left w:val="none" w:sz="0" w:space="0" w:color="auto"/>
        <w:bottom w:val="none" w:sz="0" w:space="0" w:color="auto"/>
        <w:right w:val="none" w:sz="0" w:space="0" w:color="auto"/>
      </w:divBdr>
    </w:div>
    <w:div w:id="1633094455">
      <w:bodyDiv w:val="1"/>
      <w:marLeft w:val="0"/>
      <w:marRight w:val="0"/>
      <w:marTop w:val="0"/>
      <w:marBottom w:val="0"/>
      <w:divBdr>
        <w:top w:val="none" w:sz="0" w:space="0" w:color="auto"/>
        <w:left w:val="none" w:sz="0" w:space="0" w:color="auto"/>
        <w:bottom w:val="none" w:sz="0" w:space="0" w:color="auto"/>
        <w:right w:val="none" w:sz="0" w:space="0" w:color="auto"/>
      </w:divBdr>
    </w:div>
    <w:div w:id="1656689513">
      <w:bodyDiv w:val="1"/>
      <w:marLeft w:val="0"/>
      <w:marRight w:val="0"/>
      <w:marTop w:val="0"/>
      <w:marBottom w:val="0"/>
      <w:divBdr>
        <w:top w:val="none" w:sz="0" w:space="0" w:color="auto"/>
        <w:left w:val="none" w:sz="0" w:space="0" w:color="auto"/>
        <w:bottom w:val="none" w:sz="0" w:space="0" w:color="auto"/>
        <w:right w:val="none" w:sz="0" w:space="0" w:color="auto"/>
      </w:divBdr>
    </w:div>
    <w:div w:id="1674869646">
      <w:bodyDiv w:val="1"/>
      <w:marLeft w:val="0"/>
      <w:marRight w:val="0"/>
      <w:marTop w:val="0"/>
      <w:marBottom w:val="0"/>
      <w:divBdr>
        <w:top w:val="none" w:sz="0" w:space="0" w:color="auto"/>
        <w:left w:val="none" w:sz="0" w:space="0" w:color="auto"/>
        <w:bottom w:val="none" w:sz="0" w:space="0" w:color="auto"/>
        <w:right w:val="none" w:sz="0" w:space="0" w:color="auto"/>
      </w:divBdr>
    </w:div>
    <w:div w:id="1682465296">
      <w:bodyDiv w:val="1"/>
      <w:marLeft w:val="0"/>
      <w:marRight w:val="0"/>
      <w:marTop w:val="0"/>
      <w:marBottom w:val="0"/>
      <w:divBdr>
        <w:top w:val="none" w:sz="0" w:space="0" w:color="auto"/>
        <w:left w:val="none" w:sz="0" w:space="0" w:color="auto"/>
        <w:bottom w:val="none" w:sz="0" w:space="0" w:color="auto"/>
        <w:right w:val="none" w:sz="0" w:space="0" w:color="auto"/>
      </w:divBdr>
    </w:div>
    <w:div w:id="1686596418">
      <w:bodyDiv w:val="1"/>
      <w:marLeft w:val="0"/>
      <w:marRight w:val="0"/>
      <w:marTop w:val="0"/>
      <w:marBottom w:val="0"/>
      <w:divBdr>
        <w:top w:val="none" w:sz="0" w:space="0" w:color="auto"/>
        <w:left w:val="none" w:sz="0" w:space="0" w:color="auto"/>
        <w:bottom w:val="none" w:sz="0" w:space="0" w:color="auto"/>
        <w:right w:val="none" w:sz="0" w:space="0" w:color="auto"/>
      </w:divBdr>
    </w:div>
    <w:div w:id="1701081949">
      <w:bodyDiv w:val="1"/>
      <w:marLeft w:val="0"/>
      <w:marRight w:val="0"/>
      <w:marTop w:val="0"/>
      <w:marBottom w:val="0"/>
      <w:divBdr>
        <w:top w:val="none" w:sz="0" w:space="0" w:color="auto"/>
        <w:left w:val="none" w:sz="0" w:space="0" w:color="auto"/>
        <w:bottom w:val="none" w:sz="0" w:space="0" w:color="auto"/>
        <w:right w:val="none" w:sz="0" w:space="0" w:color="auto"/>
      </w:divBdr>
    </w:div>
    <w:div w:id="1709380245">
      <w:bodyDiv w:val="1"/>
      <w:marLeft w:val="0"/>
      <w:marRight w:val="0"/>
      <w:marTop w:val="0"/>
      <w:marBottom w:val="0"/>
      <w:divBdr>
        <w:top w:val="none" w:sz="0" w:space="0" w:color="auto"/>
        <w:left w:val="none" w:sz="0" w:space="0" w:color="auto"/>
        <w:bottom w:val="none" w:sz="0" w:space="0" w:color="auto"/>
        <w:right w:val="none" w:sz="0" w:space="0" w:color="auto"/>
      </w:divBdr>
    </w:div>
    <w:div w:id="1725636401">
      <w:bodyDiv w:val="1"/>
      <w:marLeft w:val="0"/>
      <w:marRight w:val="0"/>
      <w:marTop w:val="0"/>
      <w:marBottom w:val="0"/>
      <w:divBdr>
        <w:top w:val="none" w:sz="0" w:space="0" w:color="auto"/>
        <w:left w:val="none" w:sz="0" w:space="0" w:color="auto"/>
        <w:bottom w:val="none" w:sz="0" w:space="0" w:color="auto"/>
        <w:right w:val="none" w:sz="0" w:space="0" w:color="auto"/>
      </w:divBdr>
    </w:div>
    <w:div w:id="1727139448">
      <w:bodyDiv w:val="1"/>
      <w:marLeft w:val="0"/>
      <w:marRight w:val="0"/>
      <w:marTop w:val="0"/>
      <w:marBottom w:val="0"/>
      <w:divBdr>
        <w:top w:val="none" w:sz="0" w:space="0" w:color="auto"/>
        <w:left w:val="none" w:sz="0" w:space="0" w:color="auto"/>
        <w:bottom w:val="none" w:sz="0" w:space="0" w:color="auto"/>
        <w:right w:val="none" w:sz="0" w:space="0" w:color="auto"/>
      </w:divBdr>
    </w:div>
    <w:div w:id="1740639442">
      <w:bodyDiv w:val="1"/>
      <w:marLeft w:val="0"/>
      <w:marRight w:val="0"/>
      <w:marTop w:val="0"/>
      <w:marBottom w:val="0"/>
      <w:divBdr>
        <w:top w:val="none" w:sz="0" w:space="0" w:color="auto"/>
        <w:left w:val="none" w:sz="0" w:space="0" w:color="auto"/>
        <w:bottom w:val="none" w:sz="0" w:space="0" w:color="auto"/>
        <w:right w:val="none" w:sz="0" w:space="0" w:color="auto"/>
      </w:divBdr>
    </w:div>
    <w:div w:id="1766807794">
      <w:bodyDiv w:val="1"/>
      <w:marLeft w:val="0"/>
      <w:marRight w:val="0"/>
      <w:marTop w:val="0"/>
      <w:marBottom w:val="0"/>
      <w:divBdr>
        <w:top w:val="none" w:sz="0" w:space="0" w:color="auto"/>
        <w:left w:val="none" w:sz="0" w:space="0" w:color="auto"/>
        <w:bottom w:val="none" w:sz="0" w:space="0" w:color="auto"/>
        <w:right w:val="none" w:sz="0" w:space="0" w:color="auto"/>
      </w:divBdr>
    </w:div>
    <w:div w:id="1777208279">
      <w:bodyDiv w:val="1"/>
      <w:marLeft w:val="0"/>
      <w:marRight w:val="0"/>
      <w:marTop w:val="0"/>
      <w:marBottom w:val="0"/>
      <w:divBdr>
        <w:top w:val="none" w:sz="0" w:space="0" w:color="auto"/>
        <w:left w:val="none" w:sz="0" w:space="0" w:color="auto"/>
        <w:bottom w:val="none" w:sz="0" w:space="0" w:color="auto"/>
        <w:right w:val="none" w:sz="0" w:space="0" w:color="auto"/>
      </w:divBdr>
    </w:div>
    <w:div w:id="1793934422">
      <w:bodyDiv w:val="1"/>
      <w:marLeft w:val="0"/>
      <w:marRight w:val="0"/>
      <w:marTop w:val="0"/>
      <w:marBottom w:val="0"/>
      <w:divBdr>
        <w:top w:val="none" w:sz="0" w:space="0" w:color="auto"/>
        <w:left w:val="none" w:sz="0" w:space="0" w:color="auto"/>
        <w:bottom w:val="none" w:sz="0" w:space="0" w:color="auto"/>
        <w:right w:val="none" w:sz="0" w:space="0" w:color="auto"/>
      </w:divBdr>
    </w:div>
    <w:div w:id="1797022246">
      <w:bodyDiv w:val="1"/>
      <w:marLeft w:val="0"/>
      <w:marRight w:val="0"/>
      <w:marTop w:val="0"/>
      <w:marBottom w:val="0"/>
      <w:divBdr>
        <w:top w:val="none" w:sz="0" w:space="0" w:color="auto"/>
        <w:left w:val="none" w:sz="0" w:space="0" w:color="auto"/>
        <w:bottom w:val="none" w:sz="0" w:space="0" w:color="auto"/>
        <w:right w:val="none" w:sz="0" w:space="0" w:color="auto"/>
      </w:divBdr>
    </w:div>
    <w:div w:id="1842894501">
      <w:bodyDiv w:val="1"/>
      <w:marLeft w:val="0"/>
      <w:marRight w:val="0"/>
      <w:marTop w:val="0"/>
      <w:marBottom w:val="0"/>
      <w:divBdr>
        <w:top w:val="none" w:sz="0" w:space="0" w:color="auto"/>
        <w:left w:val="none" w:sz="0" w:space="0" w:color="auto"/>
        <w:bottom w:val="none" w:sz="0" w:space="0" w:color="auto"/>
        <w:right w:val="none" w:sz="0" w:space="0" w:color="auto"/>
      </w:divBdr>
    </w:div>
    <w:div w:id="1875075506">
      <w:bodyDiv w:val="1"/>
      <w:marLeft w:val="0"/>
      <w:marRight w:val="0"/>
      <w:marTop w:val="0"/>
      <w:marBottom w:val="0"/>
      <w:divBdr>
        <w:top w:val="none" w:sz="0" w:space="0" w:color="auto"/>
        <w:left w:val="none" w:sz="0" w:space="0" w:color="auto"/>
        <w:bottom w:val="none" w:sz="0" w:space="0" w:color="auto"/>
        <w:right w:val="none" w:sz="0" w:space="0" w:color="auto"/>
      </w:divBdr>
    </w:div>
    <w:div w:id="1877279863">
      <w:bodyDiv w:val="1"/>
      <w:marLeft w:val="0"/>
      <w:marRight w:val="0"/>
      <w:marTop w:val="0"/>
      <w:marBottom w:val="0"/>
      <w:divBdr>
        <w:top w:val="none" w:sz="0" w:space="0" w:color="auto"/>
        <w:left w:val="none" w:sz="0" w:space="0" w:color="auto"/>
        <w:bottom w:val="none" w:sz="0" w:space="0" w:color="auto"/>
        <w:right w:val="none" w:sz="0" w:space="0" w:color="auto"/>
      </w:divBdr>
    </w:div>
    <w:div w:id="1884445396">
      <w:bodyDiv w:val="1"/>
      <w:marLeft w:val="0"/>
      <w:marRight w:val="0"/>
      <w:marTop w:val="0"/>
      <w:marBottom w:val="0"/>
      <w:divBdr>
        <w:top w:val="none" w:sz="0" w:space="0" w:color="auto"/>
        <w:left w:val="none" w:sz="0" w:space="0" w:color="auto"/>
        <w:bottom w:val="none" w:sz="0" w:space="0" w:color="auto"/>
        <w:right w:val="none" w:sz="0" w:space="0" w:color="auto"/>
      </w:divBdr>
    </w:div>
    <w:div w:id="1889100314">
      <w:bodyDiv w:val="1"/>
      <w:marLeft w:val="0"/>
      <w:marRight w:val="0"/>
      <w:marTop w:val="0"/>
      <w:marBottom w:val="0"/>
      <w:divBdr>
        <w:top w:val="none" w:sz="0" w:space="0" w:color="auto"/>
        <w:left w:val="none" w:sz="0" w:space="0" w:color="auto"/>
        <w:bottom w:val="none" w:sz="0" w:space="0" w:color="auto"/>
        <w:right w:val="none" w:sz="0" w:space="0" w:color="auto"/>
      </w:divBdr>
    </w:div>
    <w:div w:id="1890453100">
      <w:bodyDiv w:val="1"/>
      <w:marLeft w:val="0"/>
      <w:marRight w:val="0"/>
      <w:marTop w:val="0"/>
      <w:marBottom w:val="0"/>
      <w:divBdr>
        <w:top w:val="none" w:sz="0" w:space="0" w:color="auto"/>
        <w:left w:val="none" w:sz="0" w:space="0" w:color="auto"/>
        <w:bottom w:val="none" w:sz="0" w:space="0" w:color="auto"/>
        <w:right w:val="none" w:sz="0" w:space="0" w:color="auto"/>
      </w:divBdr>
    </w:div>
    <w:div w:id="1898275085">
      <w:bodyDiv w:val="1"/>
      <w:marLeft w:val="0"/>
      <w:marRight w:val="0"/>
      <w:marTop w:val="0"/>
      <w:marBottom w:val="0"/>
      <w:divBdr>
        <w:top w:val="none" w:sz="0" w:space="0" w:color="auto"/>
        <w:left w:val="none" w:sz="0" w:space="0" w:color="auto"/>
        <w:bottom w:val="none" w:sz="0" w:space="0" w:color="auto"/>
        <w:right w:val="none" w:sz="0" w:space="0" w:color="auto"/>
      </w:divBdr>
    </w:div>
    <w:div w:id="1917278070">
      <w:bodyDiv w:val="1"/>
      <w:marLeft w:val="0"/>
      <w:marRight w:val="0"/>
      <w:marTop w:val="0"/>
      <w:marBottom w:val="0"/>
      <w:divBdr>
        <w:top w:val="none" w:sz="0" w:space="0" w:color="auto"/>
        <w:left w:val="none" w:sz="0" w:space="0" w:color="auto"/>
        <w:bottom w:val="none" w:sz="0" w:space="0" w:color="auto"/>
        <w:right w:val="none" w:sz="0" w:space="0" w:color="auto"/>
      </w:divBdr>
    </w:div>
    <w:div w:id="1943761993">
      <w:bodyDiv w:val="1"/>
      <w:marLeft w:val="0"/>
      <w:marRight w:val="0"/>
      <w:marTop w:val="0"/>
      <w:marBottom w:val="0"/>
      <w:divBdr>
        <w:top w:val="none" w:sz="0" w:space="0" w:color="auto"/>
        <w:left w:val="none" w:sz="0" w:space="0" w:color="auto"/>
        <w:bottom w:val="none" w:sz="0" w:space="0" w:color="auto"/>
        <w:right w:val="none" w:sz="0" w:space="0" w:color="auto"/>
      </w:divBdr>
      <w:divsChild>
        <w:div w:id="169683942">
          <w:marLeft w:val="0"/>
          <w:marRight w:val="0"/>
          <w:marTop w:val="0"/>
          <w:marBottom w:val="0"/>
          <w:divBdr>
            <w:top w:val="none" w:sz="0" w:space="0" w:color="auto"/>
            <w:left w:val="none" w:sz="0" w:space="0" w:color="auto"/>
            <w:bottom w:val="none" w:sz="0" w:space="0" w:color="auto"/>
            <w:right w:val="none" w:sz="0" w:space="0" w:color="auto"/>
          </w:divBdr>
          <w:divsChild>
            <w:div w:id="456065685">
              <w:marLeft w:val="0"/>
              <w:marRight w:val="0"/>
              <w:marTop w:val="0"/>
              <w:marBottom w:val="0"/>
              <w:divBdr>
                <w:top w:val="none" w:sz="0" w:space="0" w:color="auto"/>
                <w:left w:val="none" w:sz="0" w:space="0" w:color="auto"/>
                <w:bottom w:val="none" w:sz="0" w:space="0" w:color="auto"/>
                <w:right w:val="none" w:sz="0" w:space="0" w:color="auto"/>
              </w:divBdr>
            </w:div>
          </w:divsChild>
        </w:div>
        <w:div w:id="178278033">
          <w:marLeft w:val="0"/>
          <w:marRight w:val="0"/>
          <w:marTop w:val="0"/>
          <w:marBottom w:val="0"/>
          <w:divBdr>
            <w:top w:val="none" w:sz="0" w:space="0" w:color="auto"/>
            <w:left w:val="none" w:sz="0" w:space="0" w:color="auto"/>
            <w:bottom w:val="none" w:sz="0" w:space="0" w:color="auto"/>
            <w:right w:val="none" w:sz="0" w:space="0" w:color="auto"/>
          </w:divBdr>
          <w:divsChild>
            <w:div w:id="112791990">
              <w:marLeft w:val="0"/>
              <w:marRight w:val="0"/>
              <w:marTop w:val="0"/>
              <w:marBottom w:val="0"/>
              <w:divBdr>
                <w:top w:val="none" w:sz="0" w:space="0" w:color="auto"/>
                <w:left w:val="none" w:sz="0" w:space="0" w:color="auto"/>
                <w:bottom w:val="none" w:sz="0" w:space="0" w:color="auto"/>
                <w:right w:val="none" w:sz="0" w:space="0" w:color="auto"/>
              </w:divBdr>
            </w:div>
          </w:divsChild>
        </w:div>
        <w:div w:id="237060216">
          <w:marLeft w:val="0"/>
          <w:marRight w:val="0"/>
          <w:marTop w:val="0"/>
          <w:marBottom w:val="0"/>
          <w:divBdr>
            <w:top w:val="none" w:sz="0" w:space="0" w:color="auto"/>
            <w:left w:val="none" w:sz="0" w:space="0" w:color="auto"/>
            <w:bottom w:val="none" w:sz="0" w:space="0" w:color="auto"/>
            <w:right w:val="none" w:sz="0" w:space="0" w:color="auto"/>
          </w:divBdr>
          <w:divsChild>
            <w:div w:id="1773360625">
              <w:marLeft w:val="0"/>
              <w:marRight w:val="0"/>
              <w:marTop w:val="0"/>
              <w:marBottom w:val="0"/>
              <w:divBdr>
                <w:top w:val="none" w:sz="0" w:space="0" w:color="auto"/>
                <w:left w:val="none" w:sz="0" w:space="0" w:color="auto"/>
                <w:bottom w:val="none" w:sz="0" w:space="0" w:color="auto"/>
                <w:right w:val="none" w:sz="0" w:space="0" w:color="auto"/>
              </w:divBdr>
            </w:div>
          </w:divsChild>
        </w:div>
        <w:div w:id="288128368">
          <w:marLeft w:val="0"/>
          <w:marRight w:val="0"/>
          <w:marTop w:val="0"/>
          <w:marBottom w:val="0"/>
          <w:divBdr>
            <w:top w:val="none" w:sz="0" w:space="0" w:color="auto"/>
            <w:left w:val="none" w:sz="0" w:space="0" w:color="auto"/>
            <w:bottom w:val="none" w:sz="0" w:space="0" w:color="auto"/>
            <w:right w:val="none" w:sz="0" w:space="0" w:color="auto"/>
          </w:divBdr>
          <w:divsChild>
            <w:div w:id="758214357">
              <w:marLeft w:val="0"/>
              <w:marRight w:val="0"/>
              <w:marTop w:val="0"/>
              <w:marBottom w:val="0"/>
              <w:divBdr>
                <w:top w:val="none" w:sz="0" w:space="0" w:color="auto"/>
                <w:left w:val="none" w:sz="0" w:space="0" w:color="auto"/>
                <w:bottom w:val="none" w:sz="0" w:space="0" w:color="auto"/>
                <w:right w:val="none" w:sz="0" w:space="0" w:color="auto"/>
              </w:divBdr>
            </w:div>
          </w:divsChild>
        </w:div>
        <w:div w:id="305936162">
          <w:marLeft w:val="0"/>
          <w:marRight w:val="0"/>
          <w:marTop w:val="0"/>
          <w:marBottom w:val="0"/>
          <w:divBdr>
            <w:top w:val="none" w:sz="0" w:space="0" w:color="auto"/>
            <w:left w:val="none" w:sz="0" w:space="0" w:color="auto"/>
            <w:bottom w:val="none" w:sz="0" w:space="0" w:color="auto"/>
            <w:right w:val="none" w:sz="0" w:space="0" w:color="auto"/>
          </w:divBdr>
          <w:divsChild>
            <w:div w:id="1429080028">
              <w:marLeft w:val="0"/>
              <w:marRight w:val="0"/>
              <w:marTop w:val="0"/>
              <w:marBottom w:val="0"/>
              <w:divBdr>
                <w:top w:val="none" w:sz="0" w:space="0" w:color="auto"/>
                <w:left w:val="none" w:sz="0" w:space="0" w:color="auto"/>
                <w:bottom w:val="none" w:sz="0" w:space="0" w:color="auto"/>
                <w:right w:val="none" w:sz="0" w:space="0" w:color="auto"/>
              </w:divBdr>
            </w:div>
          </w:divsChild>
        </w:div>
        <w:div w:id="513956407">
          <w:marLeft w:val="0"/>
          <w:marRight w:val="0"/>
          <w:marTop w:val="0"/>
          <w:marBottom w:val="0"/>
          <w:divBdr>
            <w:top w:val="none" w:sz="0" w:space="0" w:color="auto"/>
            <w:left w:val="none" w:sz="0" w:space="0" w:color="auto"/>
            <w:bottom w:val="none" w:sz="0" w:space="0" w:color="auto"/>
            <w:right w:val="none" w:sz="0" w:space="0" w:color="auto"/>
          </w:divBdr>
          <w:divsChild>
            <w:div w:id="960766278">
              <w:marLeft w:val="0"/>
              <w:marRight w:val="0"/>
              <w:marTop w:val="0"/>
              <w:marBottom w:val="0"/>
              <w:divBdr>
                <w:top w:val="none" w:sz="0" w:space="0" w:color="auto"/>
                <w:left w:val="none" w:sz="0" w:space="0" w:color="auto"/>
                <w:bottom w:val="none" w:sz="0" w:space="0" w:color="auto"/>
                <w:right w:val="none" w:sz="0" w:space="0" w:color="auto"/>
              </w:divBdr>
            </w:div>
          </w:divsChild>
        </w:div>
        <w:div w:id="545021259">
          <w:marLeft w:val="0"/>
          <w:marRight w:val="0"/>
          <w:marTop w:val="0"/>
          <w:marBottom w:val="0"/>
          <w:divBdr>
            <w:top w:val="none" w:sz="0" w:space="0" w:color="auto"/>
            <w:left w:val="none" w:sz="0" w:space="0" w:color="auto"/>
            <w:bottom w:val="none" w:sz="0" w:space="0" w:color="auto"/>
            <w:right w:val="none" w:sz="0" w:space="0" w:color="auto"/>
          </w:divBdr>
          <w:divsChild>
            <w:div w:id="323555270">
              <w:marLeft w:val="0"/>
              <w:marRight w:val="0"/>
              <w:marTop w:val="0"/>
              <w:marBottom w:val="0"/>
              <w:divBdr>
                <w:top w:val="none" w:sz="0" w:space="0" w:color="auto"/>
                <w:left w:val="none" w:sz="0" w:space="0" w:color="auto"/>
                <w:bottom w:val="none" w:sz="0" w:space="0" w:color="auto"/>
                <w:right w:val="none" w:sz="0" w:space="0" w:color="auto"/>
              </w:divBdr>
            </w:div>
          </w:divsChild>
        </w:div>
        <w:div w:id="610017833">
          <w:marLeft w:val="0"/>
          <w:marRight w:val="0"/>
          <w:marTop w:val="0"/>
          <w:marBottom w:val="0"/>
          <w:divBdr>
            <w:top w:val="none" w:sz="0" w:space="0" w:color="auto"/>
            <w:left w:val="none" w:sz="0" w:space="0" w:color="auto"/>
            <w:bottom w:val="none" w:sz="0" w:space="0" w:color="auto"/>
            <w:right w:val="none" w:sz="0" w:space="0" w:color="auto"/>
          </w:divBdr>
          <w:divsChild>
            <w:div w:id="913781671">
              <w:marLeft w:val="0"/>
              <w:marRight w:val="0"/>
              <w:marTop w:val="0"/>
              <w:marBottom w:val="0"/>
              <w:divBdr>
                <w:top w:val="none" w:sz="0" w:space="0" w:color="auto"/>
                <w:left w:val="none" w:sz="0" w:space="0" w:color="auto"/>
                <w:bottom w:val="none" w:sz="0" w:space="0" w:color="auto"/>
                <w:right w:val="none" w:sz="0" w:space="0" w:color="auto"/>
              </w:divBdr>
            </w:div>
          </w:divsChild>
        </w:div>
        <w:div w:id="660277967">
          <w:marLeft w:val="0"/>
          <w:marRight w:val="0"/>
          <w:marTop w:val="0"/>
          <w:marBottom w:val="0"/>
          <w:divBdr>
            <w:top w:val="none" w:sz="0" w:space="0" w:color="auto"/>
            <w:left w:val="none" w:sz="0" w:space="0" w:color="auto"/>
            <w:bottom w:val="none" w:sz="0" w:space="0" w:color="auto"/>
            <w:right w:val="none" w:sz="0" w:space="0" w:color="auto"/>
          </w:divBdr>
          <w:divsChild>
            <w:div w:id="1236160986">
              <w:marLeft w:val="0"/>
              <w:marRight w:val="0"/>
              <w:marTop w:val="0"/>
              <w:marBottom w:val="0"/>
              <w:divBdr>
                <w:top w:val="none" w:sz="0" w:space="0" w:color="auto"/>
                <w:left w:val="none" w:sz="0" w:space="0" w:color="auto"/>
                <w:bottom w:val="none" w:sz="0" w:space="0" w:color="auto"/>
                <w:right w:val="none" w:sz="0" w:space="0" w:color="auto"/>
              </w:divBdr>
            </w:div>
          </w:divsChild>
        </w:div>
        <w:div w:id="688140243">
          <w:marLeft w:val="0"/>
          <w:marRight w:val="0"/>
          <w:marTop w:val="0"/>
          <w:marBottom w:val="0"/>
          <w:divBdr>
            <w:top w:val="none" w:sz="0" w:space="0" w:color="auto"/>
            <w:left w:val="none" w:sz="0" w:space="0" w:color="auto"/>
            <w:bottom w:val="none" w:sz="0" w:space="0" w:color="auto"/>
            <w:right w:val="none" w:sz="0" w:space="0" w:color="auto"/>
          </w:divBdr>
          <w:divsChild>
            <w:div w:id="401873429">
              <w:marLeft w:val="0"/>
              <w:marRight w:val="0"/>
              <w:marTop w:val="0"/>
              <w:marBottom w:val="0"/>
              <w:divBdr>
                <w:top w:val="none" w:sz="0" w:space="0" w:color="auto"/>
                <w:left w:val="none" w:sz="0" w:space="0" w:color="auto"/>
                <w:bottom w:val="none" w:sz="0" w:space="0" w:color="auto"/>
                <w:right w:val="none" w:sz="0" w:space="0" w:color="auto"/>
              </w:divBdr>
            </w:div>
          </w:divsChild>
        </w:div>
        <w:div w:id="729109651">
          <w:marLeft w:val="0"/>
          <w:marRight w:val="0"/>
          <w:marTop w:val="0"/>
          <w:marBottom w:val="0"/>
          <w:divBdr>
            <w:top w:val="none" w:sz="0" w:space="0" w:color="auto"/>
            <w:left w:val="none" w:sz="0" w:space="0" w:color="auto"/>
            <w:bottom w:val="none" w:sz="0" w:space="0" w:color="auto"/>
            <w:right w:val="none" w:sz="0" w:space="0" w:color="auto"/>
          </w:divBdr>
          <w:divsChild>
            <w:div w:id="446900248">
              <w:marLeft w:val="0"/>
              <w:marRight w:val="0"/>
              <w:marTop w:val="0"/>
              <w:marBottom w:val="0"/>
              <w:divBdr>
                <w:top w:val="none" w:sz="0" w:space="0" w:color="auto"/>
                <w:left w:val="none" w:sz="0" w:space="0" w:color="auto"/>
                <w:bottom w:val="none" w:sz="0" w:space="0" w:color="auto"/>
                <w:right w:val="none" w:sz="0" w:space="0" w:color="auto"/>
              </w:divBdr>
            </w:div>
          </w:divsChild>
        </w:div>
        <w:div w:id="906498471">
          <w:marLeft w:val="0"/>
          <w:marRight w:val="0"/>
          <w:marTop w:val="0"/>
          <w:marBottom w:val="0"/>
          <w:divBdr>
            <w:top w:val="none" w:sz="0" w:space="0" w:color="auto"/>
            <w:left w:val="none" w:sz="0" w:space="0" w:color="auto"/>
            <w:bottom w:val="none" w:sz="0" w:space="0" w:color="auto"/>
            <w:right w:val="none" w:sz="0" w:space="0" w:color="auto"/>
          </w:divBdr>
          <w:divsChild>
            <w:div w:id="1851479918">
              <w:marLeft w:val="0"/>
              <w:marRight w:val="0"/>
              <w:marTop w:val="0"/>
              <w:marBottom w:val="0"/>
              <w:divBdr>
                <w:top w:val="none" w:sz="0" w:space="0" w:color="auto"/>
                <w:left w:val="none" w:sz="0" w:space="0" w:color="auto"/>
                <w:bottom w:val="none" w:sz="0" w:space="0" w:color="auto"/>
                <w:right w:val="none" w:sz="0" w:space="0" w:color="auto"/>
              </w:divBdr>
            </w:div>
          </w:divsChild>
        </w:div>
        <w:div w:id="971986436">
          <w:marLeft w:val="0"/>
          <w:marRight w:val="0"/>
          <w:marTop w:val="0"/>
          <w:marBottom w:val="0"/>
          <w:divBdr>
            <w:top w:val="none" w:sz="0" w:space="0" w:color="auto"/>
            <w:left w:val="none" w:sz="0" w:space="0" w:color="auto"/>
            <w:bottom w:val="none" w:sz="0" w:space="0" w:color="auto"/>
            <w:right w:val="none" w:sz="0" w:space="0" w:color="auto"/>
          </w:divBdr>
          <w:divsChild>
            <w:div w:id="787240914">
              <w:marLeft w:val="0"/>
              <w:marRight w:val="0"/>
              <w:marTop w:val="0"/>
              <w:marBottom w:val="0"/>
              <w:divBdr>
                <w:top w:val="none" w:sz="0" w:space="0" w:color="auto"/>
                <w:left w:val="none" w:sz="0" w:space="0" w:color="auto"/>
                <w:bottom w:val="none" w:sz="0" w:space="0" w:color="auto"/>
                <w:right w:val="none" w:sz="0" w:space="0" w:color="auto"/>
              </w:divBdr>
            </w:div>
          </w:divsChild>
        </w:div>
        <w:div w:id="1513759922">
          <w:marLeft w:val="0"/>
          <w:marRight w:val="0"/>
          <w:marTop w:val="0"/>
          <w:marBottom w:val="0"/>
          <w:divBdr>
            <w:top w:val="none" w:sz="0" w:space="0" w:color="auto"/>
            <w:left w:val="none" w:sz="0" w:space="0" w:color="auto"/>
            <w:bottom w:val="none" w:sz="0" w:space="0" w:color="auto"/>
            <w:right w:val="none" w:sz="0" w:space="0" w:color="auto"/>
          </w:divBdr>
          <w:divsChild>
            <w:div w:id="236716311">
              <w:marLeft w:val="0"/>
              <w:marRight w:val="0"/>
              <w:marTop w:val="0"/>
              <w:marBottom w:val="0"/>
              <w:divBdr>
                <w:top w:val="none" w:sz="0" w:space="0" w:color="auto"/>
                <w:left w:val="none" w:sz="0" w:space="0" w:color="auto"/>
                <w:bottom w:val="none" w:sz="0" w:space="0" w:color="auto"/>
                <w:right w:val="none" w:sz="0" w:space="0" w:color="auto"/>
              </w:divBdr>
            </w:div>
          </w:divsChild>
        </w:div>
        <w:div w:id="1541436690">
          <w:marLeft w:val="0"/>
          <w:marRight w:val="0"/>
          <w:marTop w:val="0"/>
          <w:marBottom w:val="0"/>
          <w:divBdr>
            <w:top w:val="none" w:sz="0" w:space="0" w:color="auto"/>
            <w:left w:val="none" w:sz="0" w:space="0" w:color="auto"/>
            <w:bottom w:val="none" w:sz="0" w:space="0" w:color="auto"/>
            <w:right w:val="none" w:sz="0" w:space="0" w:color="auto"/>
          </w:divBdr>
          <w:divsChild>
            <w:div w:id="1550068601">
              <w:marLeft w:val="0"/>
              <w:marRight w:val="0"/>
              <w:marTop w:val="0"/>
              <w:marBottom w:val="0"/>
              <w:divBdr>
                <w:top w:val="none" w:sz="0" w:space="0" w:color="auto"/>
                <w:left w:val="none" w:sz="0" w:space="0" w:color="auto"/>
                <w:bottom w:val="none" w:sz="0" w:space="0" w:color="auto"/>
                <w:right w:val="none" w:sz="0" w:space="0" w:color="auto"/>
              </w:divBdr>
            </w:div>
          </w:divsChild>
        </w:div>
        <w:div w:id="1620330856">
          <w:marLeft w:val="0"/>
          <w:marRight w:val="0"/>
          <w:marTop w:val="0"/>
          <w:marBottom w:val="0"/>
          <w:divBdr>
            <w:top w:val="none" w:sz="0" w:space="0" w:color="auto"/>
            <w:left w:val="none" w:sz="0" w:space="0" w:color="auto"/>
            <w:bottom w:val="none" w:sz="0" w:space="0" w:color="auto"/>
            <w:right w:val="none" w:sz="0" w:space="0" w:color="auto"/>
          </w:divBdr>
          <w:divsChild>
            <w:div w:id="1143352969">
              <w:marLeft w:val="0"/>
              <w:marRight w:val="0"/>
              <w:marTop w:val="0"/>
              <w:marBottom w:val="0"/>
              <w:divBdr>
                <w:top w:val="none" w:sz="0" w:space="0" w:color="auto"/>
                <w:left w:val="none" w:sz="0" w:space="0" w:color="auto"/>
                <w:bottom w:val="none" w:sz="0" w:space="0" w:color="auto"/>
                <w:right w:val="none" w:sz="0" w:space="0" w:color="auto"/>
              </w:divBdr>
            </w:div>
          </w:divsChild>
        </w:div>
        <w:div w:id="1660501835">
          <w:marLeft w:val="0"/>
          <w:marRight w:val="0"/>
          <w:marTop w:val="0"/>
          <w:marBottom w:val="0"/>
          <w:divBdr>
            <w:top w:val="none" w:sz="0" w:space="0" w:color="auto"/>
            <w:left w:val="none" w:sz="0" w:space="0" w:color="auto"/>
            <w:bottom w:val="none" w:sz="0" w:space="0" w:color="auto"/>
            <w:right w:val="none" w:sz="0" w:space="0" w:color="auto"/>
          </w:divBdr>
          <w:divsChild>
            <w:div w:id="950209306">
              <w:marLeft w:val="0"/>
              <w:marRight w:val="0"/>
              <w:marTop w:val="0"/>
              <w:marBottom w:val="0"/>
              <w:divBdr>
                <w:top w:val="none" w:sz="0" w:space="0" w:color="auto"/>
                <w:left w:val="none" w:sz="0" w:space="0" w:color="auto"/>
                <w:bottom w:val="none" w:sz="0" w:space="0" w:color="auto"/>
                <w:right w:val="none" w:sz="0" w:space="0" w:color="auto"/>
              </w:divBdr>
            </w:div>
          </w:divsChild>
        </w:div>
        <w:div w:id="1717317447">
          <w:marLeft w:val="0"/>
          <w:marRight w:val="0"/>
          <w:marTop w:val="0"/>
          <w:marBottom w:val="0"/>
          <w:divBdr>
            <w:top w:val="none" w:sz="0" w:space="0" w:color="auto"/>
            <w:left w:val="none" w:sz="0" w:space="0" w:color="auto"/>
            <w:bottom w:val="none" w:sz="0" w:space="0" w:color="auto"/>
            <w:right w:val="none" w:sz="0" w:space="0" w:color="auto"/>
          </w:divBdr>
          <w:divsChild>
            <w:div w:id="377701563">
              <w:marLeft w:val="0"/>
              <w:marRight w:val="0"/>
              <w:marTop w:val="0"/>
              <w:marBottom w:val="0"/>
              <w:divBdr>
                <w:top w:val="none" w:sz="0" w:space="0" w:color="auto"/>
                <w:left w:val="none" w:sz="0" w:space="0" w:color="auto"/>
                <w:bottom w:val="none" w:sz="0" w:space="0" w:color="auto"/>
                <w:right w:val="none" w:sz="0" w:space="0" w:color="auto"/>
              </w:divBdr>
            </w:div>
            <w:div w:id="1345595802">
              <w:marLeft w:val="0"/>
              <w:marRight w:val="0"/>
              <w:marTop w:val="0"/>
              <w:marBottom w:val="0"/>
              <w:divBdr>
                <w:top w:val="none" w:sz="0" w:space="0" w:color="auto"/>
                <w:left w:val="none" w:sz="0" w:space="0" w:color="auto"/>
                <w:bottom w:val="none" w:sz="0" w:space="0" w:color="auto"/>
                <w:right w:val="none" w:sz="0" w:space="0" w:color="auto"/>
              </w:divBdr>
            </w:div>
            <w:div w:id="1430151760">
              <w:marLeft w:val="0"/>
              <w:marRight w:val="0"/>
              <w:marTop w:val="0"/>
              <w:marBottom w:val="0"/>
              <w:divBdr>
                <w:top w:val="none" w:sz="0" w:space="0" w:color="auto"/>
                <w:left w:val="none" w:sz="0" w:space="0" w:color="auto"/>
                <w:bottom w:val="none" w:sz="0" w:space="0" w:color="auto"/>
                <w:right w:val="none" w:sz="0" w:space="0" w:color="auto"/>
              </w:divBdr>
            </w:div>
          </w:divsChild>
        </w:div>
        <w:div w:id="1785609203">
          <w:marLeft w:val="0"/>
          <w:marRight w:val="0"/>
          <w:marTop w:val="0"/>
          <w:marBottom w:val="0"/>
          <w:divBdr>
            <w:top w:val="none" w:sz="0" w:space="0" w:color="auto"/>
            <w:left w:val="none" w:sz="0" w:space="0" w:color="auto"/>
            <w:bottom w:val="none" w:sz="0" w:space="0" w:color="auto"/>
            <w:right w:val="none" w:sz="0" w:space="0" w:color="auto"/>
          </w:divBdr>
          <w:divsChild>
            <w:div w:id="887182742">
              <w:marLeft w:val="0"/>
              <w:marRight w:val="0"/>
              <w:marTop w:val="0"/>
              <w:marBottom w:val="0"/>
              <w:divBdr>
                <w:top w:val="none" w:sz="0" w:space="0" w:color="auto"/>
                <w:left w:val="none" w:sz="0" w:space="0" w:color="auto"/>
                <w:bottom w:val="none" w:sz="0" w:space="0" w:color="auto"/>
                <w:right w:val="none" w:sz="0" w:space="0" w:color="auto"/>
              </w:divBdr>
            </w:div>
          </w:divsChild>
        </w:div>
        <w:div w:id="1909001268">
          <w:marLeft w:val="0"/>
          <w:marRight w:val="0"/>
          <w:marTop w:val="0"/>
          <w:marBottom w:val="0"/>
          <w:divBdr>
            <w:top w:val="none" w:sz="0" w:space="0" w:color="auto"/>
            <w:left w:val="none" w:sz="0" w:space="0" w:color="auto"/>
            <w:bottom w:val="none" w:sz="0" w:space="0" w:color="auto"/>
            <w:right w:val="none" w:sz="0" w:space="0" w:color="auto"/>
          </w:divBdr>
          <w:divsChild>
            <w:div w:id="441532296">
              <w:marLeft w:val="0"/>
              <w:marRight w:val="0"/>
              <w:marTop w:val="0"/>
              <w:marBottom w:val="0"/>
              <w:divBdr>
                <w:top w:val="none" w:sz="0" w:space="0" w:color="auto"/>
                <w:left w:val="none" w:sz="0" w:space="0" w:color="auto"/>
                <w:bottom w:val="none" w:sz="0" w:space="0" w:color="auto"/>
                <w:right w:val="none" w:sz="0" w:space="0" w:color="auto"/>
              </w:divBdr>
            </w:div>
          </w:divsChild>
        </w:div>
        <w:div w:id="2002655187">
          <w:marLeft w:val="0"/>
          <w:marRight w:val="0"/>
          <w:marTop w:val="0"/>
          <w:marBottom w:val="0"/>
          <w:divBdr>
            <w:top w:val="none" w:sz="0" w:space="0" w:color="auto"/>
            <w:left w:val="none" w:sz="0" w:space="0" w:color="auto"/>
            <w:bottom w:val="none" w:sz="0" w:space="0" w:color="auto"/>
            <w:right w:val="none" w:sz="0" w:space="0" w:color="auto"/>
          </w:divBdr>
          <w:divsChild>
            <w:div w:id="981958414">
              <w:marLeft w:val="0"/>
              <w:marRight w:val="0"/>
              <w:marTop w:val="0"/>
              <w:marBottom w:val="0"/>
              <w:divBdr>
                <w:top w:val="none" w:sz="0" w:space="0" w:color="auto"/>
                <w:left w:val="none" w:sz="0" w:space="0" w:color="auto"/>
                <w:bottom w:val="none" w:sz="0" w:space="0" w:color="auto"/>
                <w:right w:val="none" w:sz="0" w:space="0" w:color="auto"/>
              </w:divBdr>
            </w:div>
          </w:divsChild>
        </w:div>
        <w:div w:id="2019116114">
          <w:marLeft w:val="0"/>
          <w:marRight w:val="0"/>
          <w:marTop w:val="0"/>
          <w:marBottom w:val="0"/>
          <w:divBdr>
            <w:top w:val="none" w:sz="0" w:space="0" w:color="auto"/>
            <w:left w:val="none" w:sz="0" w:space="0" w:color="auto"/>
            <w:bottom w:val="none" w:sz="0" w:space="0" w:color="auto"/>
            <w:right w:val="none" w:sz="0" w:space="0" w:color="auto"/>
          </w:divBdr>
          <w:divsChild>
            <w:div w:id="161536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399828">
      <w:bodyDiv w:val="1"/>
      <w:marLeft w:val="0"/>
      <w:marRight w:val="0"/>
      <w:marTop w:val="0"/>
      <w:marBottom w:val="0"/>
      <w:divBdr>
        <w:top w:val="none" w:sz="0" w:space="0" w:color="auto"/>
        <w:left w:val="none" w:sz="0" w:space="0" w:color="auto"/>
        <w:bottom w:val="none" w:sz="0" w:space="0" w:color="auto"/>
        <w:right w:val="none" w:sz="0" w:space="0" w:color="auto"/>
      </w:divBdr>
    </w:div>
    <w:div w:id="1960645013">
      <w:bodyDiv w:val="1"/>
      <w:marLeft w:val="0"/>
      <w:marRight w:val="0"/>
      <w:marTop w:val="0"/>
      <w:marBottom w:val="0"/>
      <w:divBdr>
        <w:top w:val="none" w:sz="0" w:space="0" w:color="auto"/>
        <w:left w:val="none" w:sz="0" w:space="0" w:color="auto"/>
        <w:bottom w:val="none" w:sz="0" w:space="0" w:color="auto"/>
        <w:right w:val="none" w:sz="0" w:space="0" w:color="auto"/>
      </w:divBdr>
    </w:div>
    <w:div w:id="1966083878">
      <w:bodyDiv w:val="1"/>
      <w:marLeft w:val="0"/>
      <w:marRight w:val="0"/>
      <w:marTop w:val="0"/>
      <w:marBottom w:val="0"/>
      <w:divBdr>
        <w:top w:val="none" w:sz="0" w:space="0" w:color="auto"/>
        <w:left w:val="none" w:sz="0" w:space="0" w:color="auto"/>
        <w:bottom w:val="none" w:sz="0" w:space="0" w:color="auto"/>
        <w:right w:val="none" w:sz="0" w:space="0" w:color="auto"/>
      </w:divBdr>
    </w:div>
    <w:div w:id="1972899643">
      <w:bodyDiv w:val="1"/>
      <w:marLeft w:val="0"/>
      <w:marRight w:val="0"/>
      <w:marTop w:val="0"/>
      <w:marBottom w:val="0"/>
      <w:divBdr>
        <w:top w:val="none" w:sz="0" w:space="0" w:color="auto"/>
        <w:left w:val="none" w:sz="0" w:space="0" w:color="auto"/>
        <w:bottom w:val="none" w:sz="0" w:space="0" w:color="auto"/>
        <w:right w:val="none" w:sz="0" w:space="0" w:color="auto"/>
      </w:divBdr>
    </w:div>
    <w:div w:id="2028364361">
      <w:bodyDiv w:val="1"/>
      <w:marLeft w:val="0"/>
      <w:marRight w:val="0"/>
      <w:marTop w:val="0"/>
      <w:marBottom w:val="0"/>
      <w:divBdr>
        <w:top w:val="none" w:sz="0" w:space="0" w:color="auto"/>
        <w:left w:val="none" w:sz="0" w:space="0" w:color="auto"/>
        <w:bottom w:val="none" w:sz="0" w:space="0" w:color="auto"/>
        <w:right w:val="none" w:sz="0" w:space="0" w:color="auto"/>
      </w:divBdr>
    </w:div>
    <w:div w:id="2046363995">
      <w:bodyDiv w:val="1"/>
      <w:marLeft w:val="0"/>
      <w:marRight w:val="0"/>
      <w:marTop w:val="0"/>
      <w:marBottom w:val="0"/>
      <w:divBdr>
        <w:top w:val="none" w:sz="0" w:space="0" w:color="auto"/>
        <w:left w:val="none" w:sz="0" w:space="0" w:color="auto"/>
        <w:bottom w:val="none" w:sz="0" w:space="0" w:color="auto"/>
        <w:right w:val="none" w:sz="0" w:space="0" w:color="auto"/>
      </w:divBdr>
    </w:div>
    <w:div w:id="2051956742">
      <w:bodyDiv w:val="1"/>
      <w:marLeft w:val="0"/>
      <w:marRight w:val="0"/>
      <w:marTop w:val="0"/>
      <w:marBottom w:val="0"/>
      <w:divBdr>
        <w:top w:val="none" w:sz="0" w:space="0" w:color="auto"/>
        <w:left w:val="none" w:sz="0" w:space="0" w:color="auto"/>
        <w:bottom w:val="none" w:sz="0" w:space="0" w:color="auto"/>
        <w:right w:val="none" w:sz="0" w:space="0" w:color="auto"/>
      </w:divBdr>
    </w:div>
    <w:div w:id="2065444247">
      <w:bodyDiv w:val="1"/>
      <w:marLeft w:val="0"/>
      <w:marRight w:val="0"/>
      <w:marTop w:val="0"/>
      <w:marBottom w:val="0"/>
      <w:divBdr>
        <w:top w:val="none" w:sz="0" w:space="0" w:color="auto"/>
        <w:left w:val="none" w:sz="0" w:space="0" w:color="auto"/>
        <w:bottom w:val="none" w:sz="0" w:space="0" w:color="auto"/>
        <w:right w:val="none" w:sz="0" w:space="0" w:color="auto"/>
      </w:divBdr>
    </w:div>
    <w:div w:id="2072773422">
      <w:bodyDiv w:val="1"/>
      <w:marLeft w:val="0"/>
      <w:marRight w:val="0"/>
      <w:marTop w:val="0"/>
      <w:marBottom w:val="0"/>
      <w:divBdr>
        <w:top w:val="none" w:sz="0" w:space="0" w:color="auto"/>
        <w:left w:val="none" w:sz="0" w:space="0" w:color="auto"/>
        <w:bottom w:val="none" w:sz="0" w:space="0" w:color="auto"/>
        <w:right w:val="none" w:sz="0" w:space="0" w:color="auto"/>
      </w:divBdr>
    </w:div>
    <w:div w:id="2086219734">
      <w:bodyDiv w:val="1"/>
      <w:marLeft w:val="0"/>
      <w:marRight w:val="0"/>
      <w:marTop w:val="0"/>
      <w:marBottom w:val="0"/>
      <w:divBdr>
        <w:top w:val="none" w:sz="0" w:space="0" w:color="auto"/>
        <w:left w:val="none" w:sz="0" w:space="0" w:color="auto"/>
        <w:bottom w:val="none" w:sz="0" w:space="0" w:color="auto"/>
        <w:right w:val="none" w:sz="0" w:space="0" w:color="auto"/>
      </w:divBdr>
    </w:div>
    <w:div w:id="2093313818">
      <w:bodyDiv w:val="1"/>
      <w:marLeft w:val="0"/>
      <w:marRight w:val="0"/>
      <w:marTop w:val="0"/>
      <w:marBottom w:val="0"/>
      <w:divBdr>
        <w:top w:val="none" w:sz="0" w:space="0" w:color="auto"/>
        <w:left w:val="none" w:sz="0" w:space="0" w:color="auto"/>
        <w:bottom w:val="none" w:sz="0" w:space="0" w:color="auto"/>
        <w:right w:val="none" w:sz="0" w:space="0" w:color="auto"/>
      </w:divBdr>
    </w:div>
    <w:div w:id="2108499346">
      <w:bodyDiv w:val="1"/>
      <w:marLeft w:val="0"/>
      <w:marRight w:val="0"/>
      <w:marTop w:val="0"/>
      <w:marBottom w:val="0"/>
      <w:divBdr>
        <w:top w:val="none" w:sz="0" w:space="0" w:color="auto"/>
        <w:left w:val="none" w:sz="0" w:space="0" w:color="auto"/>
        <w:bottom w:val="none" w:sz="0" w:space="0" w:color="auto"/>
        <w:right w:val="none" w:sz="0" w:space="0" w:color="auto"/>
      </w:divBdr>
    </w:div>
    <w:div w:id="213714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OH">
      <a:dk1>
        <a:sysClr val="windowText" lastClr="000000"/>
      </a:dk1>
      <a:lt1>
        <a:sysClr val="window" lastClr="FFFFFF"/>
      </a:lt1>
      <a:dk2>
        <a:srgbClr val="44546A"/>
      </a:dk2>
      <a:lt2>
        <a:srgbClr val="E7E6E6"/>
      </a:lt2>
      <a:accent1>
        <a:srgbClr val="43285D"/>
      </a:accent1>
      <a:accent2>
        <a:srgbClr val="8B7FA0"/>
      </a:accent2>
      <a:accent3>
        <a:srgbClr val="D3D5E3"/>
      </a:accent3>
      <a:accent4>
        <a:srgbClr val="FACE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F5F6A-4761-4A04-ABB1-5813B6F162FE}">
  <ds:schemaRefs>
    <ds:schemaRef ds:uri="http://schemas.openxmlformats.org/officeDocument/2006/bibliography"/>
  </ds:schemaRefs>
</ds:datastoreItem>
</file>

<file path=customXml/itemProps2.xml><?xml version="1.0" encoding="utf-8"?>
<ds:datastoreItem xmlns:ds="http://schemas.openxmlformats.org/officeDocument/2006/customXml" ds:itemID="{EC5151FE-89BD-4561-ABA5-842D872475C5}">
  <ds:schemaRefs>
    <ds:schemaRef ds:uri="http://schemas.microsoft.com/sharepoint/v3/contenttype/forms"/>
  </ds:schemaRefs>
</ds:datastoreItem>
</file>

<file path=customXml/itemProps3.xml><?xml version="1.0" encoding="utf-8"?>
<ds:datastoreItem xmlns:ds="http://schemas.openxmlformats.org/officeDocument/2006/customXml" ds:itemID="{DCD0EEEA-0E25-4FD9-95E8-B5A3190B60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65D8532-F66C-408C-8A2B-11408738A5D4}"/>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0</TotalTime>
  <Pages>92</Pages>
  <Words>58738</Words>
  <Characters>343622</Characters>
  <Application>Microsoft Office Word</Application>
  <DocSecurity>0</DocSecurity>
  <Lines>6363</Lines>
  <Paragraphs>2936</Paragraphs>
  <ScaleCrop>false</ScaleCrop>
  <HeadingPairs>
    <vt:vector size="2" baseType="variant">
      <vt:variant>
        <vt:lpstr>Title</vt:lpstr>
      </vt:variant>
      <vt:variant>
        <vt:i4>1</vt:i4>
      </vt:variant>
    </vt:vector>
  </HeadingPairs>
  <TitlesOfParts>
    <vt:vector size="1" baseType="lpstr">
      <vt:lpstr>Attachment F – Service Level Agreements_redacted</vt:lpstr>
    </vt:vector>
  </TitlesOfParts>
  <Manager/>
  <Company/>
  <LinksUpToDate>false</LinksUpToDate>
  <CharactersWithSpaces>399424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 – Service Level Agreements_redacted</dc:title>
  <dc:subject/>
  <dc:creator/>
  <cp:keywords/>
  <dc:description/>
  <cp:lastModifiedBy/>
  <cp:revision>1</cp:revision>
  <dcterms:created xsi:type="dcterms:W3CDTF">2026-08-29T00:11:00Z</dcterms:created>
  <dcterms:modified xsi:type="dcterms:W3CDTF">2026-08-29T00:11:00Z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0x010100D276C6A6E7668346AE0A59FCBFA3BDEB</vt:lpwstr>
  </property>
</Properties>
</file>