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4DF2C" w14:textId="3D1ED9C7" w:rsidR="00FC3F08" w:rsidRPr="00F97E04" w:rsidRDefault="00AE6AC3" w:rsidP="00997274">
      <w:pPr>
        <w:pStyle w:val="ClientName"/>
        <w:spacing w:before="1440" w:line="240" w:lineRule="atLeast"/>
        <w:contextualSpacing w:val="0"/>
        <w:rPr>
          <w:szCs w:val="36"/>
        </w:rPr>
      </w:pPr>
      <w:r>
        <w:rPr>
          <w:szCs w:val="36"/>
        </w:rPr>
        <w:t>New York State</w:t>
      </w:r>
    </w:p>
    <w:p w14:paraId="18C2573B" w14:textId="5BD93AD4" w:rsidR="00AE6AC3" w:rsidRPr="00F97E04" w:rsidRDefault="00AE6AC3" w:rsidP="00FC3F08">
      <w:pPr>
        <w:pStyle w:val="ClientName"/>
        <w:spacing w:before="120" w:line="240" w:lineRule="atLeast"/>
        <w:contextualSpacing w:val="0"/>
        <w:rPr>
          <w:szCs w:val="36"/>
        </w:rPr>
      </w:pPr>
      <w:r>
        <w:rPr>
          <w:szCs w:val="36"/>
        </w:rPr>
        <w:t>Department of Health</w:t>
      </w:r>
    </w:p>
    <w:p w14:paraId="72992768" w14:textId="77777777" w:rsidR="00AE6AC3" w:rsidRPr="00F97E04" w:rsidRDefault="00AE6AC3" w:rsidP="00B27D28">
      <w:pPr>
        <w:pStyle w:val="Deliverable"/>
      </w:pPr>
    </w:p>
    <w:p w14:paraId="7889B63A" w14:textId="77777777" w:rsidR="00AE6AC3" w:rsidRPr="00F97E04" w:rsidRDefault="003A1DCE" w:rsidP="009711AC">
      <w:pPr>
        <w:pStyle w:val="NameofProject"/>
      </w:pPr>
      <w:r>
        <w:t>Continuing Medicaid Eligibility Modernization</w:t>
      </w:r>
    </w:p>
    <w:p w14:paraId="5620D7D0" w14:textId="77777777" w:rsidR="00AE6AC3" w:rsidRPr="00F97E04" w:rsidRDefault="00AE6AC3" w:rsidP="00B27D28">
      <w:pPr>
        <w:pStyle w:val="Deliverable"/>
      </w:pPr>
    </w:p>
    <w:p w14:paraId="4504336F" w14:textId="77777777" w:rsidR="005971B4" w:rsidRPr="00F97E04" w:rsidRDefault="005971B4" w:rsidP="000F2C5F">
      <w:pPr>
        <w:pStyle w:val="Deliverable"/>
      </w:pPr>
    </w:p>
    <w:p w14:paraId="4D36003E" w14:textId="2B5604F9" w:rsidR="00FC3F08" w:rsidRPr="00F97E04" w:rsidRDefault="00FC3F08" w:rsidP="00FC3F08">
      <w:pPr>
        <w:pStyle w:val="Deliverable"/>
      </w:pPr>
      <w:r>
        <w:t>DEL-33 Maintenance and Operations (M&amp;O) Run Book</w:t>
      </w:r>
    </w:p>
    <w:p w14:paraId="2BB418FA" w14:textId="77777777" w:rsidR="000611C6" w:rsidRPr="00F97E04" w:rsidRDefault="000611C6" w:rsidP="00B27D28">
      <w:pPr>
        <w:pStyle w:val="Deliverable"/>
      </w:pPr>
    </w:p>
    <w:p w14:paraId="372EE91E" w14:textId="77777777" w:rsidR="000611C6" w:rsidRPr="00F97E04" w:rsidRDefault="000611C6" w:rsidP="00B27D28">
      <w:pPr>
        <w:pStyle w:val="Deliverable"/>
      </w:pPr>
    </w:p>
    <w:p w14:paraId="1DB1E384" w14:textId="4F8A4CA2" w:rsidR="00AE6AC3" w:rsidRPr="00F97E04" w:rsidRDefault="007B725D" w:rsidP="00074B6F">
      <w:pPr>
        <w:pStyle w:val="MonthDateYearVersion"/>
      </w:pPr>
      <w:r>
        <w:t>October 14, 2025</w:t>
      </w:r>
    </w:p>
    <w:p w14:paraId="4C71FA98" w14:textId="608799BF" w:rsidR="00AE6AC3" w:rsidRPr="00F97E04" w:rsidRDefault="00AE6AC3" w:rsidP="00074B6F">
      <w:pPr>
        <w:pStyle w:val="MonthDateYearVersion"/>
      </w:pPr>
      <w:r>
        <w:t>Version 1.0.0</w:t>
      </w:r>
    </w:p>
    <w:p w14:paraId="4BA78989" w14:textId="77777777" w:rsidR="00762861" w:rsidRPr="00F97E04" w:rsidRDefault="00762861" w:rsidP="00074B6F">
      <w:pPr>
        <w:pStyle w:val="MonthDateYearVersion"/>
      </w:pPr>
    </w:p>
    <w:p w14:paraId="39F50DDA" w14:textId="77777777" w:rsidR="00734213" w:rsidRPr="00F97E04" w:rsidRDefault="00AE6AC3" w:rsidP="004F5029">
      <w:pPr>
        <w:sectPr w:rsidR="00734213" w:rsidRPr="00F97E04" w:rsidSect="00752D1E">
          <w:headerReference w:type="even" r:id="rId10"/>
          <w:headerReference w:type="default" r:id="rId11"/>
          <w:footerReference w:type="even" r:id="rId12"/>
          <w:footerReference w:type="default" r:id="rId13"/>
          <w:headerReference w:type="first" r:id="rId14"/>
          <w:pgSz w:w="12240" w:h="15840"/>
          <w:pgMar w:top="1440" w:right="1440" w:bottom="1440" w:left="1440" w:header="720" w:footer="720" w:gutter="0"/>
          <w:pgNumType w:fmt="lowerRoman" w:start="1"/>
          <w:cols w:space="720"/>
          <w:titlePg/>
          <w:docGrid w:linePitch="360"/>
        </w:sectPr>
      </w:pPr>
      <w:r>
        <w:tab/>
      </w:r>
      <w:r>
        <w:br w:type="page"/>
      </w:r>
    </w:p>
    <w:p w14:paraId="7FC95C84" w14:textId="77777777" w:rsidR="004A35D4" w:rsidRDefault="004A35D4" w:rsidP="005259DE">
      <w:pPr>
        <w:pStyle w:val="DCTableHeaders"/>
        <w:spacing w:after="0"/>
        <w:rPr>
          <w:szCs w:val="18"/>
        </w:rPr>
      </w:pPr>
    </w:p>
    <w:p w14:paraId="458FD450" w14:textId="39D0CAA5" w:rsidR="003215C2" w:rsidRPr="00C11659" w:rsidRDefault="003215C2" w:rsidP="00767063">
      <w:pPr>
        <w:pStyle w:val="DCTableHeaders"/>
        <w:spacing w:after="0"/>
        <w:rPr>
          <w:sz w:val="24"/>
          <w:szCs w:val="24"/>
        </w:rPr>
      </w:pPr>
      <w:r>
        <w:rPr>
          <w:sz w:val="24"/>
          <w:szCs w:val="24"/>
        </w:rPr>
        <w:t>Document Control Information</w:t>
      </w:r>
    </w:p>
    <w:p w14:paraId="77A4DDC6" w14:textId="77777777" w:rsidR="004A35D4" w:rsidRDefault="004A35D4" w:rsidP="002C51D6">
      <w:pPr>
        <w:pStyle w:val="DCTableHeaders"/>
        <w:spacing w:after="0"/>
        <w:rPr>
          <w:szCs w:val="18"/>
        </w:rPr>
      </w:pPr>
    </w:p>
    <w:p w14:paraId="0E3E1796" w14:textId="6AEF4131" w:rsidR="00AE5375" w:rsidRPr="00F97E04" w:rsidRDefault="00AE5375" w:rsidP="00EB3D52">
      <w:pPr>
        <w:pStyle w:val="DCTableHeaders"/>
        <w:rPr>
          <w:szCs w:val="18"/>
        </w:rPr>
      </w:pPr>
      <w:r>
        <w:rPr>
          <w:szCs w:val="18"/>
        </w:rPr>
        <w:t>Document Information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5"/>
        <w:gridCol w:w="6395"/>
      </w:tblGrid>
      <w:tr w:rsidR="00FC3F08" w:rsidRPr="00F97E04" w14:paraId="1FBFC9C8" w14:textId="77777777" w:rsidTr="00971D23">
        <w:trPr>
          <w:trHeight w:val="403"/>
          <w:jc w:val="center"/>
        </w:trPr>
        <w:tc>
          <w:tcPr>
            <w:tcW w:w="2957" w:type="dxa"/>
          </w:tcPr>
          <w:p w14:paraId="26ADBAF0" w14:textId="77777777" w:rsidR="00FC3F08" w:rsidRPr="00F97E04" w:rsidRDefault="00FC3F08" w:rsidP="00971D23">
            <w:pPr>
              <w:pStyle w:val="TableBodyText"/>
              <w:spacing w:before="60" w:after="60" w:line="240" w:lineRule="atLeast"/>
              <w:rPr>
                <w:b/>
                <w:bCs/>
              </w:rPr>
            </w:pPr>
            <w:r>
              <w:rPr>
                <w:b/>
                <w:bCs/>
              </w:rPr>
              <w:t>Document Identification</w:t>
            </w:r>
          </w:p>
        </w:tc>
        <w:tc>
          <w:tcPr>
            <w:tcW w:w="6403" w:type="dxa"/>
          </w:tcPr>
          <w:p w14:paraId="71E9571C" w14:textId="681B05B7" w:rsidR="00FC3F08" w:rsidRPr="00F97E04" w:rsidRDefault="00E62696" w:rsidP="00971D23">
            <w:pPr>
              <w:pStyle w:val="TableBodyText"/>
              <w:spacing w:before="60" w:after="60" w:line="240" w:lineRule="atLeast"/>
            </w:pPr>
            <w:r>
              <w:t>Individual Statement of Work (ISOW) Deliverable #33</w:t>
            </w:r>
          </w:p>
        </w:tc>
      </w:tr>
      <w:tr w:rsidR="00FC3F08" w:rsidRPr="00F97E04" w14:paraId="63769EA2" w14:textId="77777777" w:rsidTr="00971D23">
        <w:trPr>
          <w:trHeight w:val="403"/>
          <w:jc w:val="center"/>
        </w:trPr>
        <w:tc>
          <w:tcPr>
            <w:tcW w:w="2957" w:type="dxa"/>
          </w:tcPr>
          <w:p w14:paraId="1BACB3D5" w14:textId="77777777" w:rsidR="00FC3F08" w:rsidRPr="00F97E04" w:rsidRDefault="00FC3F08" w:rsidP="00971D23">
            <w:pPr>
              <w:pStyle w:val="TableBodyText"/>
              <w:spacing w:before="60" w:after="60" w:line="240" w:lineRule="atLeast"/>
              <w:rPr>
                <w:b/>
                <w:bCs/>
              </w:rPr>
            </w:pPr>
            <w:r>
              <w:rPr>
                <w:b/>
                <w:bCs/>
              </w:rPr>
              <w:t>Document Name</w:t>
            </w:r>
          </w:p>
        </w:tc>
        <w:tc>
          <w:tcPr>
            <w:tcW w:w="6403" w:type="dxa"/>
          </w:tcPr>
          <w:p w14:paraId="4B7BB25E" w14:textId="08360CA1" w:rsidR="00FC3F08" w:rsidRPr="00F97E04" w:rsidRDefault="008B427D" w:rsidP="00971D23">
            <w:pPr>
              <w:pStyle w:val="TableBodyText"/>
              <w:spacing w:before="60" w:after="60" w:line="240" w:lineRule="atLeast"/>
            </w:pPr>
            <w:r>
              <w:t>Maintenance and Operations (M&amp;O) Run Book</w:t>
            </w:r>
          </w:p>
        </w:tc>
      </w:tr>
      <w:tr w:rsidR="00FC3F08" w:rsidRPr="00F97E04" w14:paraId="03CE521E" w14:textId="77777777" w:rsidTr="00971D23">
        <w:trPr>
          <w:trHeight w:val="404"/>
          <w:jc w:val="center"/>
        </w:trPr>
        <w:tc>
          <w:tcPr>
            <w:tcW w:w="2957" w:type="dxa"/>
          </w:tcPr>
          <w:p w14:paraId="58B08890" w14:textId="77777777" w:rsidR="00FC3F08" w:rsidRPr="00F97E04" w:rsidRDefault="00FC3F08" w:rsidP="00971D23">
            <w:pPr>
              <w:pStyle w:val="TableBodyText"/>
              <w:spacing w:before="60" w:after="60" w:line="240" w:lineRule="atLeast"/>
              <w:rPr>
                <w:b/>
                <w:bCs/>
              </w:rPr>
            </w:pPr>
            <w:r>
              <w:rPr>
                <w:b/>
                <w:bCs/>
              </w:rPr>
              <w:t>Project Name</w:t>
            </w:r>
          </w:p>
        </w:tc>
        <w:tc>
          <w:tcPr>
            <w:tcW w:w="6403" w:type="dxa"/>
          </w:tcPr>
          <w:p w14:paraId="0773E2BE" w14:textId="77777777" w:rsidR="00FC3F08" w:rsidRPr="00F97E04" w:rsidRDefault="00FC3F08" w:rsidP="00971D23">
            <w:pPr>
              <w:pStyle w:val="TableBodyText"/>
              <w:spacing w:before="60" w:after="60" w:line="240" w:lineRule="atLeast"/>
            </w:pPr>
            <w:r>
              <w:t>Continuing Medicaid Eligibility Modernization</w:t>
            </w:r>
          </w:p>
        </w:tc>
      </w:tr>
      <w:tr w:rsidR="00FC3F08" w:rsidRPr="00F97E04" w14:paraId="2AFD2B88" w14:textId="77777777" w:rsidTr="00971D23">
        <w:trPr>
          <w:trHeight w:val="686"/>
          <w:jc w:val="center"/>
        </w:trPr>
        <w:tc>
          <w:tcPr>
            <w:tcW w:w="2957" w:type="dxa"/>
          </w:tcPr>
          <w:p w14:paraId="1D30FA21" w14:textId="77777777" w:rsidR="00FC3F08" w:rsidRPr="00F97E04" w:rsidRDefault="00FC3F08" w:rsidP="00971D23">
            <w:pPr>
              <w:pStyle w:val="TableBodyText"/>
              <w:spacing w:before="60" w:after="60" w:line="240" w:lineRule="atLeast"/>
              <w:rPr>
                <w:b/>
                <w:bCs/>
              </w:rPr>
            </w:pPr>
            <w:r>
              <w:rPr>
                <w:b/>
                <w:bCs/>
              </w:rPr>
              <w:t>Client</w:t>
            </w:r>
          </w:p>
        </w:tc>
        <w:tc>
          <w:tcPr>
            <w:tcW w:w="6403" w:type="dxa"/>
          </w:tcPr>
          <w:p w14:paraId="7AF8846C" w14:textId="464003A2" w:rsidR="00FC3F08" w:rsidRPr="00F97E04" w:rsidRDefault="00FC3F08" w:rsidP="00971D23">
            <w:pPr>
              <w:pStyle w:val="TableBodyText"/>
              <w:spacing w:before="60" w:after="60" w:line="240" w:lineRule="atLeast"/>
            </w:pPr>
            <w:r>
              <w:t>New York State Department of Health Office of Health Insurance Programs (DOH OHIP)</w:t>
            </w:r>
          </w:p>
        </w:tc>
      </w:tr>
      <w:tr w:rsidR="00FC3F08" w:rsidRPr="00F97E04" w14:paraId="3896AC94" w14:textId="77777777" w:rsidTr="00971D23">
        <w:trPr>
          <w:trHeight w:val="308"/>
          <w:jc w:val="center"/>
        </w:trPr>
        <w:tc>
          <w:tcPr>
            <w:tcW w:w="2957" w:type="dxa"/>
          </w:tcPr>
          <w:p w14:paraId="4D7BC377" w14:textId="77777777" w:rsidR="00FC3F08" w:rsidRPr="00F97E04" w:rsidRDefault="00FC3F08" w:rsidP="00971D23">
            <w:pPr>
              <w:pStyle w:val="TableBodyText"/>
              <w:spacing w:before="60" w:after="60" w:line="240" w:lineRule="atLeast"/>
              <w:rPr>
                <w:b/>
                <w:bCs/>
              </w:rPr>
            </w:pPr>
            <w:r>
              <w:rPr>
                <w:b/>
                <w:bCs/>
              </w:rPr>
              <w:t>Document Author</w:t>
            </w:r>
          </w:p>
        </w:tc>
        <w:tc>
          <w:tcPr>
            <w:tcW w:w="6403" w:type="dxa"/>
          </w:tcPr>
          <w:p w14:paraId="20069BE0" w14:textId="12BB884E" w:rsidR="00FC3F08" w:rsidRPr="00F97E04" w:rsidRDefault="00E2228E" w:rsidP="00971D23">
            <w:pPr>
              <w:pStyle w:val="TableBodyText"/>
              <w:spacing w:before="60" w:after="60" w:line="240" w:lineRule="atLeast"/>
            </w:pPr>
            <w:r>
              <w:t>Redacted</w:t>
            </w:r>
          </w:p>
        </w:tc>
      </w:tr>
      <w:tr w:rsidR="00FC3F08" w:rsidRPr="00F97E04" w14:paraId="69ADD1C5" w14:textId="77777777" w:rsidTr="00971D23">
        <w:trPr>
          <w:trHeight w:val="359"/>
          <w:jc w:val="center"/>
        </w:trPr>
        <w:tc>
          <w:tcPr>
            <w:tcW w:w="2957" w:type="dxa"/>
          </w:tcPr>
          <w:p w14:paraId="07677932" w14:textId="77777777" w:rsidR="00FC3F08" w:rsidRPr="00F97E04" w:rsidRDefault="00FC3F08" w:rsidP="00971D23">
            <w:pPr>
              <w:pStyle w:val="TableBodyText"/>
              <w:spacing w:before="60" w:after="60" w:line="240" w:lineRule="atLeast"/>
              <w:rPr>
                <w:b/>
                <w:bCs/>
              </w:rPr>
            </w:pPr>
            <w:r>
              <w:rPr>
                <w:b/>
                <w:bCs/>
              </w:rPr>
              <w:t>Document Version</w:t>
            </w:r>
          </w:p>
        </w:tc>
        <w:tc>
          <w:tcPr>
            <w:tcW w:w="6403" w:type="dxa"/>
          </w:tcPr>
          <w:p w14:paraId="27A114F5" w14:textId="3281B622" w:rsidR="00FC3F08" w:rsidRPr="00F97E04" w:rsidRDefault="007B725D" w:rsidP="00971D23">
            <w:pPr>
              <w:pStyle w:val="TableBodyText"/>
              <w:spacing w:before="60" w:after="60" w:line="240" w:lineRule="atLeast"/>
            </w:pPr>
            <w:r>
              <w:t>v1.0.0</w:t>
            </w:r>
          </w:p>
        </w:tc>
      </w:tr>
      <w:tr w:rsidR="00FC3F08" w:rsidRPr="00F97E04" w14:paraId="3BAA4B82" w14:textId="77777777" w:rsidTr="00971D23">
        <w:trPr>
          <w:trHeight w:val="403"/>
          <w:jc w:val="center"/>
        </w:trPr>
        <w:tc>
          <w:tcPr>
            <w:tcW w:w="2957" w:type="dxa"/>
          </w:tcPr>
          <w:p w14:paraId="4C555971" w14:textId="77777777" w:rsidR="00FC3F08" w:rsidRPr="00F97E04" w:rsidRDefault="00FC3F08" w:rsidP="00971D23">
            <w:pPr>
              <w:pStyle w:val="TableBodyText"/>
              <w:spacing w:before="60" w:after="60" w:line="240" w:lineRule="atLeast"/>
              <w:rPr>
                <w:b/>
                <w:bCs/>
              </w:rPr>
            </w:pPr>
            <w:r>
              <w:rPr>
                <w:b/>
                <w:bCs/>
              </w:rPr>
              <w:t>Document Type</w:t>
            </w:r>
          </w:p>
        </w:tc>
        <w:tc>
          <w:tcPr>
            <w:tcW w:w="6403" w:type="dxa"/>
          </w:tcPr>
          <w:p w14:paraId="01552CF4" w14:textId="0375EAB1" w:rsidR="00FC3F08" w:rsidRPr="00F97E04" w:rsidRDefault="008406B5" w:rsidP="00971D23">
            <w:pPr>
              <w:pStyle w:val="TableBodyText"/>
              <w:spacing w:before="60" w:after="60" w:line="240" w:lineRule="atLeast"/>
            </w:pPr>
            <w:r>
              <w:t>ISOW Deliverable</w:t>
            </w:r>
          </w:p>
        </w:tc>
      </w:tr>
    </w:tbl>
    <w:p w14:paraId="1073E28D" w14:textId="77777777" w:rsidR="00AE6AC3" w:rsidRPr="00F97E04" w:rsidRDefault="00AE6AC3" w:rsidP="004F5029"/>
    <w:p w14:paraId="48C70195" w14:textId="77777777" w:rsidR="00AE6AC3" w:rsidRPr="00F97E04" w:rsidRDefault="00AE6AC3" w:rsidP="007D3737">
      <w:pPr>
        <w:pStyle w:val="DCTableHeaders"/>
      </w:pPr>
      <w:r>
        <w:t>Document Edit History</w:t>
      </w:r>
    </w:p>
    <w:tbl>
      <w:tblPr>
        <w:tblStyle w:val="TableStyleCustom1"/>
        <w:tblW w:w="5000" w:type="pct"/>
        <w:jc w:val="center"/>
        <w:tblLook w:val="0420" w:firstRow="1" w:lastRow="0" w:firstColumn="0" w:lastColumn="0" w:noHBand="0" w:noVBand="1"/>
      </w:tblPr>
      <w:tblGrid>
        <w:gridCol w:w="1289"/>
        <w:gridCol w:w="1496"/>
        <w:gridCol w:w="3690"/>
        <w:gridCol w:w="2875"/>
      </w:tblGrid>
      <w:tr w:rsidR="00342A58" w:rsidRPr="00F97E04" w14:paraId="4A264124" w14:textId="77777777" w:rsidTr="00336879">
        <w:trPr>
          <w:cnfStyle w:val="100000000000" w:firstRow="1" w:lastRow="0" w:firstColumn="0" w:lastColumn="0" w:oddVBand="0" w:evenVBand="0" w:oddHBand="0" w:evenHBand="0" w:firstRowFirstColumn="0" w:firstRowLastColumn="0" w:lastRowFirstColumn="0" w:lastRowLastColumn="0"/>
          <w:trHeight w:val="298"/>
          <w:jc w:val="center"/>
        </w:trPr>
        <w:tc>
          <w:tcPr>
            <w:tcW w:w="1289" w:type="dxa"/>
          </w:tcPr>
          <w:p w14:paraId="15947A1D" w14:textId="77777777" w:rsidR="00FC3F08" w:rsidRPr="00F97E04" w:rsidRDefault="00FC3F08" w:rsidP="00985459">
            <w:pPr>
              <w:spacing w:before="60" w:after="60"/>
            </w:pPr>
            <w:r>
              <w:t>Version</w:t>
            </w:r>
          </w:p>
        </w:tc>
        <w:tc>
          <w:tcPr>
            <w:tcW w:w="1496" w:type="dxa"/>
          </w:tcPr>
          <w:p w14:paraId="7C1D5ADC" w14:textId="77777777" w:rsidR="00FC3F08" w:rsidRPr="00F97E04" w:rsidRDefault="00FC3F08" w:rsidP="00985459">
            <w:pPr>
              <w:spacing w:before="60" w:after="60"/>
            </w:pPr>
            <w:r>
              <w:t>Date</w:t>
            </w:r>
          </w:p>
        </w:tc>
        <w:tc>
          <w:tcPr>
            <w:tcW w:w="3690" w:type="dxa"/>
          </w:tcPr>
          <w:p w14:paraId="0D33B032" w14:textId="77777777" w:rsidR="00FC3F08" w:rsidRPr="00F97E04" w:rsidRDefault="00FC3F08" w:rsidP="00985459">
            <w:pPr>
              <w:spacing w:before="60" w:after="60"/>
            </w:pPr>
            <w:r>
              <w:t>Addition/Modifications</w:t>
            </w:r>
          </w:p>
        </w:tc>
        <w:tc>
          <w:tcPr>
            <w:tcW w:w="2875" w:type="dxa"/>
          </w:tcPr>
          <w:p w14:paraId="12FB34D3" w14:textId="77777777" w:rsidR="00FC3F08" w:rsidRPr="00F97E04" w:rsidRDefault="00FC3F08" w:rsidP="00985459">
            <w:pPr>
              <w:spacing w:before="60" w:after="60"/>
            </w:pPr>
            <w:r>
              <w:t>Prepared/ Revised by</w:t>
            </w:r>
          </w:p>
        </w:tc>
      </w:tr>
      <w:tr w:rsidR="00FC3F08" w:rsidRPr="00F97E04" w14:paraId="50A2B8CD" w14:textId="77777777" w:rsidTr="00336879">
        <w:trPr>
          <w:trHeight w:val="377"/>
          <w:jc w:val="center"/>
        </w:trPr>
        <w:tc>
          <w:tcPr>
            <w:tcW w:w="1289" w:type="dxa"/>
            <w:vAlign w:val="top"/>
          </w:tcPr>
          <w:p w14:paraId="389DEEA6" w14:textId="651CA626" w:rsidR="00FC3F08" w:rsidRPr="00F97E04" w:rsidRDefault="00B3572D" w:rsidP="00985459">
            <w:pPr>
              <w:pStyle w:val="TableBodyText"/>
              <w:spacing w:before="60" w:after="60" w:line="240" w:lineRule="atLeast"/>
            </w:pPr>
            <w:r>
              <w:t>v0.0.1</w:t>
            </w:r>
          </w:p>
        </w:tc>
        <w:tc>
          <w:tcPr>
            <w:tcW w:w="1496" w:type="dxa"/>
            <w:vAlign w:val="top"/>
          </w:tcPr>
          <w:p w14:paraId="1DD937B7" w14:textId="1F71A49B" w:rsidR="00FC3F08" w:rsidRPr="00F97E04" w:rsidRDefault="00F43DA8" w:rsidP="00985459">
            <w:pPr>
              <w:pStyle w:val="TableBodyText"/>
              <w:spacing w:before="60" w:after="60" w:line="240" w:lineRule="atLeast"/>
            </w:pPr>
            <w:r>
              <w:t>08/22/2025</w:t>
            </w:r>
          </w:p>
        </w:tc>
        <w:tc>
          <w:tcPr>
            <w:tcW w:w="3690" w:type="dxa"/>
            <w:vAlign w:val="top"/>
          </w:tcPr>
          <w:p w14:paraId="313B200D" w14:textId="1934858A" w:rsidR="00FC3F08" w:rsidRPr="00F97E04" w:rsidRDefault="00FC3F08" w:rsidP="00985459">
            <w:pPr>
              <w:pStyle w:val="TablePrimaryBullet"/>
              <w:spacing w:line="240" w:lineRule="atLeast"/>
            </w:pPr>
            <w:r>
              <w:t>Initial submission</w:t>
            </w:r>
          </w:p>
        </w:tc>
        <w:tc>
          <w:tcPr>
            <w:tcW w:w="2875" w:type="dxa"/>
            <w:vAlign w:val="top"/>
          </w:tcPr>
          <w:p w14:paraId="444971E2" w14:textId="77777777" w:rsidR="00FC3F08" w:rsidRPr="00F97E04" w:rsidRDefault="00FC3F08" w:rsidP="00985459">
            <w:pPr>
              <w:pStyle w:val="TableBodyText"/>
              <w:spacing w:before="60" w:after="60" w:line="240" w:lineRule="atLeast"/>
            </w:pPr>
            <w:r>
              <w:t>Redacted</w:t>
            </w:r>
          </w:p>
        </w:tc>
      </w:tr>
      <w:tr w:rsidR="00364797" w:rsidRPr="00F97E04" w14:paraId="4E64BAB3" w14:textId="77777777" w:rsidTr="00336879">
        <w:trPr>
          <w:trHeight w:val="377"/>
          <w:jc w:val="center"/>
        </w:trPr>
        <w:tc>
          <w:tcPr>
            <w:tcW w:w="1289" w:type="dxa"/>
            <w:vAlign w:val="top"/>
          </w:tcPr>
          <w:p w14:paraId="3BE696F0" w14:textId="2A778E4A" w:rsidR="00364797" w:rsidRPr="00F97E04" w:rsidRDefault="006403E9" w:rsidP="00985459">
            <w:pPr>
              <w:pStyle w:val="TableBodyText"/>
              <w:spacing w:before="60" w:after="60" w:line="240" w:lineRule="atLeast"/>
            </w:pPr>
            <w:r>
              <w:t>v0.0.2</w:t>
            </w:r>
          </w:p>
        </w:tc>
        <w:tc>
          <w:tcPr>
            <w:tcW w:w="1496" w:type="dxa"/>
            <w:vAlign w:val="top"/>
          </w:tcPr>
          <w:p w14:paraId="18395373" w14:textId="4B887538" w:rsidR="00364797" w:rsidRPr="00F97E04" w:rsidRDefault="00364797" w:rsidP="00985459">
            <w:pPr>
              <w:pStyle w:val="TableBodyText"/>
              <w:spacing w:before="60" w:after="60" w:line="240" w:lineRule="atLeast"/>
            </w:pPr>
            <w:r>
              <w:t>09/11/2025</w:t>
            </w:r>
          </w:p>
        </w:tc>
        <w:tc>
          <w:tcPr>
            <w:tcW w:w="3690" w:type="dxa"/>
            <w:vAlign w:val="top"/>
          </w:tcPr>
          <w:p w14:paraId="6A432995" w14:textId="22DA4798" w:rsidR="00364797" w:rsidRPr="00F97E04" w:rsidRDefault="00364797" w:rsidP="00985459">
            <w:pPr>
              <w:pStyle w:val="TablePrimaryBullet"/>
              <w:spacing w:line="240" w:lineRule="atLeast"/>
            </w:pPr>
            <w:r>
              <w:t xml:space="preserve">Addressed initial DOH comments </w:t>
            </w:r>
          </w:p>
        </w:tc>
        <w:tc>
          <w:tcPr>
            <w:tcW w:w="2875" w:type="dxa"/>
            <w:vAlign w:val="top"/>
          </w:tcPr>
          <w:p w14:paraId="2D9F2BEC" w14:textId="7239D328" w:rsidR="00364797" w:rsidRPr="00F97E04" w:rsidRDefault="00321CAB" w:rsidP="00985459">
            <w:pPr>
              <w:pStyle w:val="TableBodyText"/>
              <w:spacing w:before="60" w:after="60" w:line="240" w:lineRule="atLeast"/>
            </w:pPr>
            <w:r>
              <w:t>Redacted</w:t>
            </w:r>
          </w:p>
        </w:tc>
      </w:tr>
      <w:tr w:rsidR="005E7C54" w:rsidRPr="00F97E04" w14:paraId="025A860E" w14:textId="77777777" w:rsidTr="00336879">
        <w:trPr>
          <w:trHeight w:val="377"/>
          <w:jc w:val="center"/>
        </w:trPr>
        <w:tc>
          <w:tcPr>
            <w:tcW w:w="1289" w:type="dxa"/>
            <w:vAlign w:val="top"/>
          </w:tcPr>
          <w:p w14:paraId="7C6D42D2" w14:textId="0C0D1174" w:rsidR="005E7C54" w:rsidRPr="00F97E04" w:rsidRDefault="006403E9" w:rsidP="00985459">
            <w:pPr>
              <w:pStyle w:val="TableBodyText"/>
              <w:spacing w:before="60" w:after="60" w:line="240" w:lineRule="atLeast"/>
            </w:pPr>
            <w:r>
              <w:t>v0.0.3</w:t>
            </w:r>
          </w:p>
        </w:tc>
        <w:tc>
          <w:tcPr>
            <w:tcW w:w="1496" w:type="dxa"/>
            <w:vAlign w:val="top"/>
          </w:tcPr>
          <w:p w14:paraId="06A977AA" w14:textId="5036ECB6" w:rsidR="005E7C54" w:rsidRPr="00F97E04" w:rsidRDefault="005E7C54" w:rsidP="00985459">
            <w:pPr>
              <w:pStyle w:val="TableBodyText"/>
              <w:spacing w:before="60" w:after="60" w:line="240" w:lineRule="atLeast"/>
            </w:pPr>
            <w:r>
              <w:t>09/22/2025</w:t>
            </w:r>
          </w:p>
        </w:tc>
        <w:tc>
          <w:tcPr>
            <w:tcW w:w="3690" w:type="dxa"/>
            <w:vAlign w:val="top"/>
          </w:tcPr>
          <w:p w14:paraId="2E607486" w14:textId="437C4116" w:rsidR="005E7C54" w:rsidRPr="00F97E04" w:rsidRDefault="005E7C54" w:rsidP="00985459">
            <w:pPr>
              <w:pStyle w:val="TablePrimaryBullet"/>
              <w:spacing w:line="240" w:lineRule="atLeast"/>
            </w:pPr>
            <w:r>
              <w:t xml:space="preserve">Addressed additional DOH comments </w:t>
            </w:r>
          </w:p>
        </w:tc>
        <w:tc>
          <w:tcPr>
            <w:tcW w:w="2875" w:type="dxa"/>
            <w:vAlign w:val="top"/>
          </w:tcPr>
          <w:p w14:paraId="45630242" w14:textId="1B52B603" w:rsidR="005E7C54" w:rsidRPr="00F97E04" w:rsidRDefault="00660DC0" w:rsidP="00985459">
            <w:pPr>
              <w:pStyle w:val="TableBodyText"/>
              <w:spacing w:before="60" w:after="60" w:line="240" w:lineRule="atLeast"/>
            </w:pPr>
            <w:r>
              <w:t>Redacted</w:t>
            </w:r>
          </w:p>
        </w:tc>
      </w:tr>
      <w:tr w:rsidR="007B725D" w:rsidRPr="00F97E04" w14:paraId="209BF2B5" w14:textId="77777777" w:rsidTr="00336879">
        <w:trPr>
          <w:trHeight w:val="377"/>
          <w:jc w:val="center"/>
        </w:trPr>
        <w:tc>
          <w:tcPr>
            <w:tcW w:w="1289" w:type="dxa"/>
            <w:vAlign w:val="top"/>
          </w:tcPr>
          <w:p w14:paraId="3BBE6694" w14:textId="76DBFBBD" w:rsidR="007B725D" w:rsidRPr="00F97E04" w:rsidRDefault="00AE5375" w:rsidP="00985459">
            <w:pPr>
              <w:pStyle w:val="TableBodyText"/>
              <w:spacing w:before="60" w:after="60" w:line="240" w:lineRule="atLeast"/>
            </w:pPr>
            <w:r>
              <w:t>v1.0.0</w:t>
            </w:r>
          </w:p>
        </w:tc>
        <w:tc>
          <w:tcPr>
            <w:tcW w:w="1496" w:type="dxa"/>
            <w:vAlign w:val="top"/>
          </w:tcPr>
          <w:p w14:paraId="12722292" w14:textId="3F711D4E" w:rsidR="007B725D" w:rsidRPr="00F97E04" w:rsidRDefault="007B725D" w:rsidP="00985459">
            <w:pPr>
              <w:pStyle w:val="TableBodyText"/>
              <w:spacing w:before="60" w:after="60" w:line="240" w:lineRule="atLeast"/>
            </w:pPr>
            <w:r>
              <w:t>10/14/2025</w:t>
            </w:r>
          </w:p>
        </w:tc>
        <w:tc>
          <w:tcPr>
            <w:tcW w:w="3690" w:type="dxa"/>
            <w:vAlign w:val="top"/>
          </w:tcPr>
          <w:p w14:paraId="3FA4F69B" w14:textId="32936A30" w:rsidR="007B725D" w:rsidRPr="00F97E04" w:rsidRDefault="007B725D" w:rsidP="00985459">
            <w:pPr>
              <w:pStyle w:val="TablePrimaryBullet"/>
              <w:spacing w:line="240" w:lineRule="atLeast"/>
            </w:pPr>
            <w:r>
              <w:t>Prepared for transmittal</w:t>
            </w:r>
          </w:p>
        </w:tc>
        <w:tc>
          <w:tcPr>
            <w:tcW w:w="2875" w:type="dxa"/>
            <w:vAlign w:val="top"/>
          </w:tcPr>
          <w:p w14:paraId="369581A9" w14:textId="30A8F714" w:rsidR="007B725D" w:rsidRPr="00F97E04" w:rsidRDefault="009B1647" w:rsidP="00985459">
            <w:pPr>
              <w:pStyle w:val="TableBodyText"/>
              <w:spacing w:before="60" w:after="60" w:line="240" w:lineRule="atLeast"/>
            </w:pPr>
            <w:r>
              <w:t>Redacted</w:t>
            </w:r>
          </w:p>
        </w:tc>
      </w:tr>
    </w:tbl>
    <w:p w14:paraId="0D98782D" w14:textId="77777777" w:rsidR="00762861" w:rsidRPr="00F97E04" w:rsidRDefault="00762861" w:rsidP="008333A1">
      <w:r>
        <w:br w:type="page"/>
      </w:r>
    </w:p>
    <w:bookmarkStart w:id="0" w:name="_Toc168912871" w:displacedByCustomXml="next"/>
    <w:bookmarkStart w:id="1" w:name="_Toc141266558" w:displacedByCustomXml="next"/>
    <w:sdt>
      <w:sdtPr>
        <w:rPr>
          <w:rFonts w:eastAsiaTheme="minorEastAsia" w:cstheme="minorBidi"/>
          <w:b w:val="0"/>
          <w:szCs w:val="18"/>
          <w:u w:val="none"/>
        </w:rPr>
        <w:id w:val="-1673338535"/>
        <w:docPartObj>
          <w:docPartGallery w:val="Table of Contents"/>
          <w:docPartUnique/>
        </w:docPartObj>
      </w:sdtPr>
      <w:sdtEndPr/>
      <w:sdtContent>
        <w:p w14:paraId="2D4718CF" w14:textId="77777777" w:rsidR="006A0EBE" w:rsidRPr="00F97E04" w:rsidRDefault="006A0EBE" w:rsidP="008B3D06">
          <w:pPr>
            <w:pStyle w:val="TOCHeading"/>
            <w:spacing w:line="240" w:lineRule="atLeast"/>
          </w:pPr>
          <w:r>
            <w:t>Table of Contents</w:t>
          </w:r>
        </w:p>
        <w:p w14:paraId="0156B28B" w14:textId="205C913B" w:rsidR="001E641C" w:rsidRDefault="00B0526D">
          <w:pPr>
            <w:pStyle w:val="TOC1"/>
            <w:rPr>
              <w:rFonts w:asciiTheme="minorHAnsi" w:eastAsiaTheme="minorEastAsia" w:hAnsiTheme="minorHAnsi" w:cstheme="minorBidi"/>
              <w:b w:val="0"/>
              <w:bCs w:val="0"/>
              <w:kern w:val="2"/>
              <w:sz w:val="24"/>
              <w:szCs w:val="24"/>
              <w14:ligatures w14:val="standardContextual"/>
            </w:rPr>
          </w:pPr>
          <w:r>
            <w:rPr>
              <w:noProof w:val="0"/>
            </w:rPr>
            <w:fldChar w:fldCharType="begin"/>
          </w:r>
          <w:r>
            <w:rPr>
              <w:noProof w:val="0"/>
            </w:rPr>
            <w:instrText xml:space="preserve"> TOC \o "1-4" \h \z \u </w:instrText>
          </w:r>
          <w:r>
            <w:rPr>
              <w:noProof w:val="0"/>
            </w:rPr>
            <w:fldChar w:fldCharType="separate"/>
          </w:r>
          <w:hyperlink w:anchor="_Toc211268628" w:history="1">
            <w:r>
              <w:rPr>
                <w:rStyle w:val="Hyperlink"/>
              </w:rPr>
              <w:t>1</w:t>
            </w:r>
            <w:r>
              <w:rPr>
                <w:rFonts w:asciiTheme="minorHAnsi" w:eastAsiaTheme="minorEastAsia" w:hAnsiTheme="minorHAnsi" w:cstheme="minorBidi"/>
                <w:b w:val="0"/>
                <w:bCs w:val="0"/>
                <w:kern w:val="2"/>
                <w:sz w:val="24"/>
                <w:szCs w:val="24"/>
                <w14:ligatures w14:val="standardContextual"/>
              </w:rPr>
              <w:tab/>
            </w:r>
            <w:r>
              <w:rPr>
                <w:rStyle w:val="Hyperlink"/>
              </w:rPr>
              <w:t>Introduction</w:t>
            </w:r>
            <w:r>
              <w:rPr>
                <w:webHidden/>
              </w:rPr>
              <w:tab/>
            </w:r>
            <w:r>
              <w:rPr>
                <w:webHidden/>
              </w:rPr>
              <w:fldChar w:fldCharType="begin"/>
            </w:r>
            <w:r>
              <w:rPr>
                <w:webHidden/>
              </w:rPr>
              <w:instrText xml:space="preserve"> PAGEREF _Toc211268628 \h </w:instrText>
            </w:r>
            <w:r>
              <w:rPr>
                <w:webHidden/>
              </w:rPr>
            </w:r>
            <w:r>
              <w:rPr>
                <w:webHidden/>
              </w:rPr>
              <w:fldChar w:fldCharType="separate"/>
            </w:r>
            <w:r>
              <w:rPr>
                <w:webHidden/>
              </w:rPr>
              <w:t>5</w:t>
            </w:r>
            <w:r>
              <w:rPr>
                <w:webHidden/>
              </w:rPr>
              <w:fldChar w:fldCharType="end"/>
            </w:r>
          </w:hyperlink>
        </w:p>
        <w:p w14:paraId="760C3B69" w14:textId="182A7E6A" w:rsidR="001E641C" w:rsidRDefault="001E641C">
          <w:pPr>
            <w:pStyle w:val="TOC1"/>
            <w:rPr>
              <w:rFonts w:asciiTheme="minorHAnsi" w:eastAsiaTheme="minorEastAsia" w:hAnsiTheme="minorHAnsi" w:cstheme="minorBidi"/>
              <w:b w:val="0"/>
              <w:bCs w:val="0"/>
              <w:kern w:val="2"/>
              <w:sz w:val="24"/>
              <w:szCs w:val="24"/>
              <w14:ligatures w14:val="standardContextual"/>
            </w:rPr>
          </w:pPr>
          <w:hyperlink w:anchor="_Toc211268629" w:history="1">
            <w:r>
              <w:rPr>
                <w:rStyle w:val="Hyperlink"/>
              </w:rPr>
              <w:t>2</w:t>
            </w:r>
            <w:r>
              <w:rPr>
                <w:rFonts w:asciiTheme="minorHAnsi" w:eastAsiaTheme="minorEastAsia" w:hAnsiTheme="minorHAnsi" w:cstheme="minorBidi"/>
                <w:b w:val="0"/>
                <w:bCs w:val="0"/>
                <w:kern w:val="2"/>
                <w:sz w:val="24"/>
                <w:szCs w:val="24"/>
                <w14:ligatures w14:val="standardContextual"/>
              </w:rPr>
              <w:tab/>
            </w:r>
            <w:r>
              <w:rPr>
                <w:rStyle w:val="Hyperlink"/>
              </w:rPr>
              <w:t>Purpose</w:t>
            </w:r>
            <w:r>
              <w:rPr>
                <w:webHidden/>
              </w:rPr>
              <w:tab/>
            </w:r>
            <w:r>
              <w:rPr>
                <w:webHidden/>
              </w:rPr>
              <w:fldChar w:fldCharType="begin"/>
            </w:r>
            <w:r>
              <w:rPr>
                <w:webHidden/>
              </w:rPr>
              <w:instrText xml:space="preserve"> PAGEREF _Toc211268629 \h </w:instrText>
            </w:r>
            <w:r>
              <w:rPr>
                <w:webHidden/>
              </w:rPr>
            </w:r>
            <w:r>
              <w:rPr>
                <w:webHidden/>
              </w:rPr>
              <w:fldChar w:fldCharType="separate"/>
            </w:r>
            <w:r>
              <w:rPr>
                <w:webHidden/>
              </w:rPr>
              <w:t>5</w:t>
            </w:r>
            <w:r>
              <w:rPr>
                <w:webHidden/>
              </w:rPr>
              <w:fldChar w:fldCharType="end"/>
            </w:r>
          </w:hyperlink>
        </w:p>
        <w:p w14:paraId="4E501ED6" w14:textId="113D345F" w:rsidR="001E641C" w:rsidRDefault="001E641C">
          <w:pPr>
            <w:pStyle w:val="TOC2"/>
            <w:rPr>
              <w:rFonts w:asciiTheme="minorHAnsi" w:eastAsiaTheme="minorEastAsia" w:hAnsiTheme="minorHAnsi"/>
              <w:b w:val="0"/>
              <w:kern w:val="2"/>
              <w:sz w:val="24"/>
              <w:szCs w:val="24"/>
              <w14:ligatures w14:val="standardContextual"/>
            </w:rPr>
          </w:pPr>
          <w:hyperlink w:anchor="_Toc211268630" w:history="1">
            <w:r>
              <w:rPr>
                <w:rStyle w:val="Hyperlink"/>
              </w:rPr>
              <w:t>2.1</w:t>
            </w:r>
            <w:r>
              <w:rPr>
                <w:rFonts w:asciiTheme="minorHAnsi" w:eastAsiaTheme="minorEastAsia" w:hAnsiTheme="minorHAnsi"/>
                <w:b w:val="0"/>
                <w:kern w:val="2"/>
                <w:sz w:val="24"/>
                <w:szCs w:val="24"/>
                <w14:ligatures w14:val="standardContextual"/>
              </w:rPr>
              <w:tab/>
            </w:r>
            <w:r>
              <w:rPr>
                <w:rStyle w:val="Hyperlink"/>
              </w:rPr>
              <w:t>Scope</w:t>
            </w:r>
            <w:r>
              <w:rPr>
                <w:webHidden/>
              </w:rPr>
              <w:tab/>
            </w:r>
            <w:r>
              <w:rPr>
                <w:webHidden/>
              </w:rPr>
              <w:fldChar w:fldCharType="begin"/>
            </w:r>
            <w:r>
              <w:rPr>
                <w:webHidden/>
              </w:rPr>
              <w:instrText xml:space="preserve"> PAGEREF _Toc211268630 \h </w:instrText>
            </w:r>
            <w:r>
              <w:rPr>
                <w:webHidden/>
              </w:rPr>
            </w:r>
            <w:r>
              <w:rPr>
                <w:webHidden/>
              </w:rPr>
              <w:fldChar w:fldCharType="separate"/>
            </w:r>
            <w:r>
              <w:rPr>
                <w:webHidden/>
              </w:rPr>
              <w:t>5</w:t>
            </w:r>
            <w:r>
              <w:rPr>
                <w:webHidden/>
              </w:rPr>
              <w:fldChar w:fldCharType="end"/>
            </w:r>
          </w:hyperlink>
        </w:p>
        <w:p w14:paraId="72BBC823" w14:textId="794BD28B" w:rsidR="001E641C" w:rsidRDefault="001E641C">
          <w:pPr>
            <w:pStyle w:val="TOC2"/>
            <w:rPr>
              <w:rFonts w:asciiTheme="minorHAnsi" w:eastAsiaTheme="minorEastAsia" w:hAnsiTheme="minorHAnsi"/>
              <w:b w:val="0"/>
              <w:kern w:val="2"/>
              <w:sz w:val="24"/>
              <w:szCs w:val="24"/>
              <w14:ligatures w14:val="standardContextual"/>
            </w:rPr>
          </w:pPr>
          <w:hyperlink w:anchor="_Toc211268631" w:history="1">
            <w:r>
              <w:rPr>
                <w:rStyle w:val="Hyperlink"/>
              </w:rPr>
              <w:t>2.2</w:t>
            </w:r>
            <w:r>
              <w:rPr>
                <w:rFonts w:asciiTheme="minorHAnsi" w:eastAsiaTheme="minorEastAsia" w:hAnsiTheme="minorHAnsi"/>
                <w:b w:val="0"/>
                <w:kern w:val="2"/>
                <w:sz w:val="24"/>
                <w:szCs w:val="24"/>
                <w14:ligatures w14:val="standardContextual"/>
              </w:rPr>
              <w:tab/>
            </w:r>
            <w:r>
              <w:rPr>
                <w:rStyle w:val="Hyperlink"/>
              </w:rPr>
              <w:t>Assumptions</w:t>
            </w:r>
            <w:r>
              <w:rPr>
                <w:webHidden/>
              </w:rPr>
              <w:tab/>
            </w:r>
            <w:r>
              <w:rPr>
                <w:webHidden/>
              </w:rPr>
              <w:fldChar w:fldCharType="begin"/>
            </w:r>
            <w:r>
              <w:rPr>
                <w:webHidden/>
              </w:rPr>
              <w:instrText xml:space="preserve"> PAGEREF _Toc211268631 \h </w:instrText>
            </w:r>
            <w:r>
              <w:rPr>
                <w:webHidden/>
              </w:rPr>
            </w:r>
            <w:r>
              <w:rPr>
                <w:webHidden/>
              </w:rPr>
              <w:fldChar w:fldCharType="separate"/>
            </w:r>
            <w:r>
              <w:rPr>
                <w:webHidden/>
              </w:rPr>
              <w:t>6</w:t>
            </w:r>
            <w:r>
              <w:rPr>
                <w:webHidden/>
              </w:rPr>
              <w:fldChar w:fldCharType="end"/>
            </w:r>
          </w:hyperlink>
        </w:p>
        <w:p w14:paraId="28F9E319" w14:textId="5E98A080" w:rsidR="001E641C" w:rsidRDefault="001E641C">
          <w:pPr>
            <w:pStyle w:val="TOC1"/>
            <w:rPr>
              <w:rFonts w:asciiTheme="minorHAnsi" w:eastAsiaTheme="minorEastAsia" w:hAnsiTheme="minorHAnsi" w:cstheme="minorBidi"/>
              <w:b w:val="0"/>
              <w:bCs w:val="0"/>
              <w:kern w:val="2"/>
              <w:sz w:val="24"/>
              <w:szCs w:val="24"/>
              <w14:ligatures w14:val="standardContextual"/>
            </w:rPr>
          </w:pPr>
          <w:hyperlink w:anchor="_Toc211268632" w:history="1">
            <w:r>
              <w:rPr>
                <w:rStyle w:val="Hyperlink"/>
              </w:rPr>
              <w:t>3</w:t>
            </w:r>
            <w:r>
              <w:rPr>
                <w:rFonts w:asciiTheme="minorHAnsi" w:eastAsiaTheme="minorEastAsia" w:hAnsiTheme="minorHAnsi" w:cstheme="minorBidi"/>
                <w:b w:val="0"/>
                <w:bCs w:val="0"/>
                <w:kern w:val="2"/>
                <w:sz w:val="24"/>
                <w:szCs w:val="24"/>
                <w14:ligatures w14:val="standardContextual"/>
              </w:rPr>
              <w:tab/>
            </w:r>
            <w:r>
              <w:rPr>
                <w:rStyle w:val="Hyperlink"/>
              </w:rPr>
              <w:t>MECM Solution Overview</w:t>
            </w:r>
            <w:r>
              <w:rPr>
                <w:webHidden/>
              </w:rPr>
              <w:tab/>
            </w:r>
            <w:r>
              <w:rPr>
                <w:webHidden/>
              </w:rPr>
              <w:fldChar w:fldCharType="begin"/>
            </w:r>
            <w:r>
              <w:rPr>
                <w:webHidden/>
              </w:rPr>
              <w:instrText xml:space="preserve"> PAGEREF _Toc211268632 \h </w:instrText>
            </w:r>
            <w:r>
              <w:rPr>
                <w:webHidden/>
              </w:rPr>
            </w:r>
            <w:r>
              <w:rPr>
                <w:webHidden/>
              </w:rPr>
              <w:fldChar w:fldCharType="separate"/>
            </w:r>
            <w:r>
              <w:rPr>
                <w:webHidden/>
              </w:rPr>
              <w:t>7</w:t>
            </w:r>
            <w:r>
              <w:rPr>
                <w:webHidden/>
              </w:rPr>
              <w:fldChar w:fldCharType="end"/>
            </w:r>
          </w:hyperlink>
        </w:p>
        <w:p w14:paraId="1589FDA4" w14:textId="0C2454CC" w:rsidR="001E641C" w:rsidRDefault="001E641C">
          <w:pPr>
            <w:pStyle w:val="TOC2"/>
            <w:rPr>
              <w:rFonts w:asciiTheme="minorHAnsi" w:eastAsiaTheme="minorEastAsia" w:hAnsiTheme="minorHAnsi"/>
              <w:b w:val="0"/>
              <w:kern w:val="2"/>
              <w:sz w:val="24"/>
              <w:szCs w:val="24"/>
              <w14:ligatures w14:val="standardContextual"/>
            </w:rPr>
          </w:pPr>
          <w:hyperlink w:anchor="_Toc211268633" w:history="1">
            <w:r>
              <w:rPr>
                <w:rStyle w:val="Hyperlink"/>
              </w:rPr>
              <w:t>3.1</w:t>
            </w:r>
            <w:r>
              <w:rPr>
                <w:rFonts w:asciiTheme="minorHAnsi" w:eastAsiaTheme="minorEastAsia" w:hAnsiTheme="minorHAnsi"/>
                <w:b w:val="0"/>
                <w:kern w:val="2"/>
                <w:sz w:val="24"/>
                <w:szCs w:val="24"/>
                <w14:ligatures w14:val="standardContextual"/>
              </w:rPr>
              <w:tab/>
            </w:r>
            <w:r>
              <w:rPr>
                <w:rStyle w:val="Hyperlink"/>
              </w:rPr>
              <w:t>Functional System Overview</w:t>
            </w:r>
            <w:r>
              <w:rPr>
                <w:webHidden/>
              </w:rPr>
              <w:tab/>
            </w:r>
            <w:r>
              <w:rPr>
                <w:webHidden/>
              </w:rPr>
              <w:fldChar w:fldCharType="begin"/>
            </w:r>
            <w:r>
              <w:rPr>
                <w:webHidden/>
              </w:rPr>
              <w:instrText xml:space="preserve"> PAGEREF _Toc211268633 \h </w:instrText>
            </w:r>
            <w:r>
              <w:rPr>
                <w:webHidden/>
              </w:rPr>
            </w:r>
            <w:r>
              <w:rPr>
                <w:webHidden/>
              </w:rPr>
              <w:fldChar w:fldCharType="separate"/>
            </w:r>
            <w:r>
              <w:rPr>
                <w:webHidden/>
              </w:rPr>
              <w:t>7</w:t>
            </w:r>
            <w:r>
              <w:rPr>
                <w:webHidden/>
              </w:rPr>
              <w:fldChar w:fldCharType="end"/>
            </w:r>
          </w:hyperlink>
        </w:p>
        <w:p w14:paraId="69D441F6" w14:textId="6C641402" w:rsidR="001E641C" w:rsidRDefault="001E641C">
          <w:pPr>
            <w:pStyle w:val="TOC2"/>
            <w:rPr>
              <w:rFonts w:asciiTheme="minorHAnsi" w:eastAsiaTheme="minorEastAsia" w:hAnsiTheme="minorHAnsi"/>
              <w:b w:val="0"/>
              <w:kern w:val="2"/>
              <w:sz w:val="24"/>
              <w:szCs w:val="24"/>
              <w14:ligatures w14:val="standardContextual"/>
            </w:rPr>
          </w:pPr>
          <w:hyperlink w:anchor="_Toc211268634" w:history="1">
            <w:r>
              <w:rPr>
                <w:rStyle w:val="Hyperlink"/>
              </w:rPr>
              <w:t>3.2</w:t>
            </w:r>
            <w:r>
              <w:rPr>
                <w:rFonts w:asciiTheme="minorHAnsi" w:eastAsiaTheme="minorEastAsia" w:hAnsiTheme="minorHAnsi"/>
                <w:b w:val="0"/>
                <w:kern w:val="2"/>
                <w:sz w:val="24"/>
                <w:szCs w:val="24"/>
                <w14:ligatures w14:val="standardContextual"/>
              </w:rPr>
              <w:tab/>
            </w:r>
            <w:r>
              <w:rPr>
                <w:rStyle w:val="Hyperlink"/>
              </w:rPr>
              <w:t>Physical System Overview</w:t>
            </w:r>
            <w:r>
              <w:rPr>
                <w:webHidden/>
              </w:rPr>
              <w:tab/>
            </w:r>
            <w:r>
              <w:rPr>
                <w:webHidden/>
              </w:rPr>
              <w:fldChar w:fldCharType="begin"/>
            </w:r>
            <w:r>
              <w:rPr>
                <w:webHidden/>
              </w:rPr>
              <w:instrText xml:space="preserve"> PAGEREF _Toc211268634 \h </w:instrText>
            </w:r>
            <w:r>
              <w:rPr>
                <w:webHidden/>
              </w:rPr>
            </w:r>
            <w:r>
              <w:rPr>
                <w:webHidden/>
              </w:rPr>
              <w:fldChar w:fldCharType="separate"/>
            </w:r>
            <w:r>
              <w:rPr>
                <w:webHidden/>
              </w:rPr>
              <w:t>7</w:t>
            </w:r>
            <w:r>
              <w:rPr>
                <w:webHidden/>
              </w:rPr>
              <w:fldChar w:fldCharType="end"/>
            </w:r>
          </w:hyperlink>
        </w:p>
        <w:p w14:paraId="0EF35BDA" w14:textId="4DEA7725" w:rsidR="001E641C" w:rsidRDefault="001E641C">
          <w:pPr>
            <w:pStyle w:val="TOC2"/>
            <w:rPr>
              <w:rFonts w:asciiTheme="minorHAnsi" w:eastAsiaTheme="minorEastAsia" w:hAnsiTheme="minorHAnsi"/>
              <w:b w:val="0"/>
              <w:kern w:val="2"/>
              <w:sz w:val="24"/>
              <w:szCs w:val="24"/>
              <w14:ligatures w14:val="standardContextual"/>
            </w:rPr>
          </w:pPr>
          <w:hyperlink w:anchor="_Toc211268635" w:history="1">
            <w:r>
              <w:rPr>
                <w:rStyle w:val="Hyperlink"/>
              </w:rPr>
              <w:t>3.3</w:t>
            </w:r>
            <w:r>
              <w:rPr>
                <w:rFonts w:asciiTheme="minorHAnsi" w:eastAsiaTheme="minorEastAsia" w:hAnsiTheme="minorHAnsi"/>
                <w:b w:val="0"/>
                <w:kern w:val="2"/>
                <w:sz w:val="24"/>
                <w:szCs w:val="24"/>
                <w14:ligatures w14:val="standardContextual"/>
              </w:rPr>
              <w:tab/>
            </w:r>
            <w:r>
              <w:rPr>
                <w:rStyle w:val="Hyperlink"/>
              </w:rPr>
              <w:t>System User Overview</w:t>
            </w:r>
            <w:r>
              <w:rPr>
                <w:webHidden/>
              </w:rPr>
              <w:tab/>
            </w:r>
            <w:r>
              <w:rPr>
                <w:webHidden/>
              </w:rPr>
              <w:fldChar w:fldCharType="begin"/>
            </w:r>
            <w:r>
              <w:rPr>
                <w:webHidden/>
              </w:rPr>
              <w:instrText xml:space="preserve"> PAGEREF _Toc211268635 \h </w:instrText>
            </w:r>
            <w:r>
              <w:rPr>
                <w:webHidden/>
              </w:rPr>
            </w:r>
            <w:r>
              <w:rPr>
                <w:webHidden/>
              </w:rPr>
              <w:fldChar w:fldCharType="separate"/>
            </w:r>
            <w:r>
              <w:rPr>
                <w:webHidden/>
              </w:rPr>
              <w:t>8</w:t>
            </w:r>
            <w:r>
              <w:rPr>
                <w:webHidden/>
              </w:rPr>
              <w:fldChar w:fldCharType="end"/>
            </w:r>
          </w:hyperlink>
        </w:p>
        <w:p w14:paraId="291779BC" w14:textId="3AC266D2" w:rsidR="001E641C" w:rsidRDefault="001E641C">
          <w:pPr>
            <w:pStyle w:val="TOC2"/>
            <w:rPr>
              <w:rFonts w:asciiTheme="minorHAnsi" w:eastAsiaTheme="minorEastAsia" w:hAnsiTheme="minorHAnsi"/>
              <w:b w:val="0"/>
              <w:kern w:val="2"/>
              <w:sz w:val="24"/>
              <w:szCs w:val="24"/>
              <w14:ligatures w14:val="standardContextual"/>
            </w:rPr>
          </w:pPr>
          <w:hyperlink w:anchor="_Toc211268636" w:history="1">
            <w:r>
              <w:rPr>
                <w:rStyle w:val="Hyperlink"/>
              </w:rPr>
              <w:t>3.4</w:t>
            </w:r>
            <w:r>
              <w:rPr>
                <w:rFonts w:asciiTheme="minorHAnsi" w:eastAsiaTheme="minorEastAsia" w:hAnsiTheme="minorHAnsi"/>
                <w:b w:val="0"/>
                <w:kern w:val="2"/>
                <w:sz w:val="24"/>
                <w:szCs w:val="24"/>
                <w14:ligatures w14:val="standardContextual"/>
              </w:rPr>
              <w:tab/>
            </w:r>
            <w:r>
              <w:rPr>
                <w:rStyle w:val="Hyperlink"/>
              </w:rPr>
              <w:t>Security and Privacy Overview</w:t>
            </w:r>
            <w:r>
              <w:rPr>
                <w:webHidden/>
              </w:rPr>
              <w:tab/>
            </w:r>
            <w:r>
              <w:rPr>
                <w:webHidden/>
              </w:rPr>
              <w:fldChar w:fldCharType="begin"/>
            </w:r>
            <w:r>
              <w:rPr>
                <w:webHidden/>
              </w:rPr>
              <w:instrText xml:space="preserve"> PAGEREF _Toc211268636 \h </w:instrText>
            </w:r>
            <w:r>
              <w:rPr>
                <w:webHidden/>
              </w:rPr>
            </w:r>
            <w:r>
              <w:rPr>
                <w:webHidden/>
              </w:rPr>
              <w:fldChar w:fldCharType="separate"/>
            </w:r>
            <w:r>
              <w:rPr>
                <w:webHidden/>
              </w:rPr>
              <w:t>8</w:t>
            </w:r>
            <w:r>
              <w:rPr>
                <w:webHidden/>
              </w:rPr>
              <w:fldChar w:fldCharType="end"/>
            </w:r>
          </w:hyperlink>
        </w:p>
        <w:p w14:paraId="04A5FC57" w14:textId="50F6FBC5" w:rsidR="001E641C" w:rsidRDefault="001E641C">
          <w:pPr>
            <w:pStyle w:val="TOC2"/>
            <w:rPr>
              <w:rFonts w:asciiTheme="minorHAnsi" w:eastAsiaTheme="minorEastAsia" w:hAnsiTheme="minorHAnsi"/>
              <w:b w:val="0"/>
              <w:kern w:val="2"/>
              <w:sz w:val="24"/>
              <w:szCs w:val="24"/>
              <w14:ligatures w14:val="standardContextual"/>
            </w:rPr>
          </w:pPr>
          <w:hyperlink w:anchor="_Toc211268637" w:history="1">
            <w:r>
              <w:rPr>
                <w:rStyle w:val="Hyperlink"/>
              </w:rPr>
              <w:t>3.5</w:t>
            </w:r>
            <w:r>
              <w:rPr>
                <w:rFonts w:asciiTheme="minorHAnsi" w:eastAsiaTheme="minorEastAsia" w:hAnsiTheme="minorHAnsi"/>
                <w:b w:val="0"/>
                <w:kern w:val="2"/>
                <w:sz w:val="24"/>
                <w:szCs w:val="24"/>
                <w14:ligatures w14:val="standardContextual"/>
              </w:rPr>
              <w:tab/>
            </w:r>
            <w:r>
              <w:rPr>
                <w:rStyle w:val="Hyperlink"/>
              </w:rPr>
              <w:t>System Availability</w:t>
            </w:r>
            <w:r>
              <w:rPr>
                <w:webHidden/>
              </w:rPr>
              <w:tab/>
            </w:r>
            <w:r>
              <w:rPr>
                <w:webHidden/>
              </w:rPr>
              <w:fldChar w:fldCharType="begin"/>
            </w:r>
            <w:r>
              <w:rPr>
                <w:webHidden/>
              </w:rPr>
              <w:instrText xml:space="preserve"> PAGEREF _Toc211268637 \h </w:instrText>
            </w:r>
            <w:r>
              <w:rPr>
                <w:webHidden/>
              </w:rPr>
            </w:r>
            <w:r>
              <w:rPr>
                <w:webHidden/>
              </w:rPr>
              <w:fldChar w:fldCharType="separate"/>
            </w:r>
            <w:r>
              <w:rPr>
                <w:webHidden/>
              </w:rPr>
              <w:t>9</w:t>
            </w:r>
            <w:r>
              <w:rPr>
                <w:webHidden/>
              </w:rPr>
              <w:fldChar w:fldCharType="end"/>
            </w:r>
          </w:hyperlink>
        </w:p>
        <w:p w14:paraId="6ECE3D51" w14:textId="7456009C" w:rsidR="001E641C" w:rsidRDefault="001E641C">
          <w:pPr>
            <w:pStyle w:val="TOC1"/>
            <w:rPr>
              <w:rFonts w:asciiTheme="minorHAnsi" w:eastAsiaTheme="minorEastAsia" w:hAnsiTheme="minorHAnsi" w:cstheme="minorBidi"/>
              <w:b w:val="0"/>
              <w:bCs w:val="0"/>
              <w:kern w:val="2"/>
              <w:sz w:val="24"/>
              <w:szCs w:val="24"/>
              <w14:ligatures w14:val="standardContextual"/>
            </w:rPr>
          </w:pPr>
          <w:hyperlink w:anchor="_Toc211268638" w:history="1">
            <w:r>
              <w:rPr>
                <w:rStyle w:val="Hyperlink"/>
              </w:rPr>
              <w:t>4</w:t>
            </w:r>
            <w:r>
              <w:rPr>
                <w:rFonts w:asciiTheme="minorHAnsi" w:eastAsiaTheme="minorEastAsia" w:hAnsiTheme="minorHAnsi" w:cstheme="minorBidi"/>
                <w:b w:val="0"/>
                <w:bCs w:val="0"/>
                <w:kern w:val="2"/>
                <w:sz w:val="24"/>
                <w:szCs w:val="24"/>
                <w14:ligatures w14:val="standardContextual"/>
              </w:rPr>
              <w:tab/>
            </w:r>
            <w:r>
              <w:rPr>
                <w:rStyle w:val="Hyperlink"/>
              </w:rPr>
              <w:t>Maintenance and Operations Processes and Procedures</w:t>
            </w:r>
            <w:r>
              <w:rPr>
                <w:webHidden/>
              </w:rPr>
              <w:tab/>
            </w:r>
            <w:r>
              <w:rPr>
                <w:webHidden/>
              </w:rPr>
              <w:fldChar w:fldCharType="begin"/>
            </w:r>
            <w:r>
              <w:rPr>
                <w:webHidden/>
              </w:rPr>
              <w:instrText xml:space="preserve"> PAGEREF _Toc211268638 \h </w:instrText>
            </w:r>
            <w:r>
              <w:rPr>
                <w:webHidden/>
              </w:rPr>
            </w:r>
            <w:r>
              <w:rPr>
                <w:webHidden/>
              </w:rPr>
              <w:fldChar w:fldCharType="separate"/>
            </w:r>
            <w:r>
              <w:rPr>
                <w:webHidden/>
              </w:rPr>
              <w:t>10</w:t>
            </w:r>
            <w:r>
              <w:rPr>
                <w:webHidden/>
              </w:rPr>
              <w:fldChar w:fldCharType="end"/>
            </w:r>
          </w:hyperlink>
        </w:p>
        <w:p w14:paraId="7913309A" w14:textId="335C20D9" w:rsidR="001E641C" w:rsidRDefault="001E641C">
          <w:pPr>
            <w:pStyle w:val="TOC2"/>
            <w:rPr>
              <w:rFonts w:asciiTheme="minorHAnsi" w:eastAsiaTheme="minorEastAsia" w:hAnsiTheme="minorHAnsi"/>
              <w:b w:val="0"/>
              <w:kern w:val="2"/>
              <w:sz w:val="24"/>
              <w:szCs w:val="24"/>
              <w14:ligatures w14:val="standardContextual"/>
            </w:rPr>
          </w:pPr>
          <w:hyperlink w:anchor="_Toc211268639" w:history="1">
            <w:r>
              <w:rPr>
                <w:rStyle w:val="Hyperlink"/>
              </w:rPr>
              <w:t>4.1</w:t>
            </w:r>
            <w:r>
              <w:rPr>
                <w:rFonts w:asciiTheme="minorHAnsi" w:eastAsiaTheme="minorEastAsia" w:hAnsiTheme="minorHAnsi"/>
                <w:b w:val="0"/>
                <w:kern w:val="2"/>
                <w:sz w:val="24"/>
                <w:szCs w:val="24"/>
                <w14:ligatures w14:val="standardContextual"/>
              </w:rPr>
              <w:tab/>
            </w:r>
            <w:r>
              <w:rPr>
                <w:rStyle w:val="Hyperlink"/>
              </w:rPr>
              <w:t>Standard Operating Procedures</w:t>
            </w:r>
            <w:r>
              <w:rPr>
                <w:webHidden/>
              </w:rPr>
              <w:tab/>
            </w:r>
            <w:r>
              <w:rPr>
                <w:webHidden/>
              </w:rPr>
              <w:fldChar w:fldCharType="begin"/>
            </w:r>
            <w:r>
              <w:rPr>
                <w:webHidden/>
              </w:rPr>
              <w:instrText xml:space="preserve"> PAGEREF _Toc211268639 \h </w:instrText>
            </w:r>
            <w:r>
              <w:rPr>
                <w:webHidden/>
              </w:rPr>
            </w:r>
            <w:r>
              <w:rPr>
                <w:webHidden/>
              </w:rPr>
              <w:fldChar w:fldCharType="separate"/>
            </w:r>
            <w:r>
              <w:rPr>
                <w:webHidden/>
              </w:rPr>
              <w:t>10</w:t>
            </w:r>
            <w:r>
              <w:rPr>
                <w:webHidden/>
              </w:rPr>
              <w:fldChar w:fldCharType="end"/>
            </w:r>
          </w:hyperlink>
        </w:p>
        <w:p w14:paraId="703C7E9A" w14:textId="6E79736B" w:rsidR="001E641C" w:rsidRDefault="001E641C">
          <w:pPr>
            <w:pStyle w:val="TOC3"/>
            <w:rPr>
              <w:rFonts w:asciiTheme="minorHAnsi" w:eastAsiaTheme="minorEastAsia" w:hAnsiTheme="minorHAnsi"/>
              <w:bCs w:val="0"/>
              <w:kern w:val="2"/>
              <w:sz w:val="24"/>
              <w:szCs w:val="24"/>
              <w14:ligatures w14:val="standardContextual"/>
            </w:rPr>
          </w:pPr>
          <w:hyperlink w:anchor="_Toc211268640" w:history="1">
            <w:r>
              <w:rPr>
                <w:rStyle w:val="Hyperlink"/>
              </w:rPr>
              <w:t>4.1.1</w:t>
            </w:r>
            <w:r>
              <w:rPr>
                <w:rFonts w:asciiTheme="minorHAnsi" w:eastAsiaTheme="minorEastAsia" w:hAnsiTheme="minorHAnsi"/>
                <w:bCs w:val="0"/>
                <w:kern w:val="2"/>
                <w:sz w:val="24"/>
                <w:szCs w:val="24"/>
                <w14:ligatures w14:val="standardContextual"/>
              </w:rPr>
              <w:tab/>
            </w:r>
            <w:r>
              <w:rPr>
                <w:rStyle w:val="Hyperlink"/>
              </w:rPr>
              <w:t>General Operations</w:t>
            </w:r>
            <w:r>
              <w:rPr>
                <w:webHidden/>
              </w:rPr>
              <w:tab/>
            </w:r>
            <w:r>
              <w:rPr>
                <w:webHidden/>
              </w:rPr>
              <w:fldChar w:fldCharType="begin"/>
            </w:r>
            <w:r>
              <w:rPr>
                <w:webHidden/>
              </w:rPr>
              <w:instrText xml:space="preserve"> PAGEREF _Toc211268640 \h </w:instrText>
            </w:r>
            <w:r>
              <w:rPr>
                <w:webHidden/>
              </w:rPr>
            </w:r>
            <w:r>
              <w:rPr>
                <w:webHidden/>
              </w:rPr>
              <w:fldChar w:fldCharType="separate"/>
            </w:r>
            <w:r>
              <w:rPr>
                <w:webHidden/>
              </w:rPr>
              <w:t>10</w:t>
            </w:r>
            <w:r>
              <w:rPr>
                <w:webHidden/>
              </w:rPr>
              <w:fldChar w:fldCharType="end"/>
            </w:r>
          </w:hyperlink>
        </w:p>
        <w:p w14:paraId="5BD1C11F" w14:textId="78A175BB" w:rsidR="001E641C" w:rsidRDefault="001E641C">
          <w:pPr>
            <w:pStyle w:val="TOC3"/>
            <w:rPr>
              <w:rFonts w:asciiTheme="minorHAnsi" w:eastAsiaTheme="minorEastAsia" w:hAnsiTheme="minorHAnsi"/>
              <w:bCs w:val="0"/>
              <w:kern w:val="2"/>
              <w:sz w:val="24"/>
              <w:szCs w:val="24"/>
              <w14:ligatures w14:val="standardContextual"/>
            </w:rPr>
          </w:pPr>
          <w:hyperlink w:anchor="_Toc211268641" w:history="1">
            <w:r>
              <w:rPr>
                <w:rStyle w:val="Hyperlink"/>
              </w:rPr>
              <w:t>4.1.2</w:t>
            </w:r>
            <w:r>
              <w:rPr>
                <w:rFonts w:asciiTheme="minorHAnsi" w:eastAsiaTheme="minorEastAsia" w:hAnsiTheme="minorHAnsi"/>
                <w:bCs w:val="0"/>
                <w:kern w:val="2"/>
                <w:sz w:val="24"/>
                <w:szCs w:val="24"/>
                <w14:ligatures w14:val="standardContextual"/>
              </w:rPr>
              <w:tab/>
            </w:r>
            <w:r>
              <w:rPr>
                <w:rStyle w:val="Hyperlink"/>
              </w:rPr>
              <w:t>Communication and Documentation</w:t>
            </w:r>
            <w:r>
              <w:rPr>
                <w:webHidden/>
              </w:rPr>
              <w:tab/>
            </w:r>
            <w:r>
              <w:rPr>
                <w:webHidden/>
              </w:rPr>
              <w:fldChar w:fldCharType="begin"/>
            </w:r>
            <w:r>
              <w:rPr>
                <w:webHidden/>
              </w:rPr>
              <w:instrText xml:space="preserve"> PAGEREF _Toc211268641 \h </w:instrText>
            </w:r>
            <w:r>
              <w:rPr>
                <w:webHidden/>
              </w:rPr>
            </w:r>
            <w:r>
              <w:rPr>
                <w:webHidden/>
              </w:rPr>
              <w:fldChar w:fldCharType="separate"/>
            </w:r>
            <w:r>
              <w:rPr>
                <w:webHidden/>
              </w:rPr>
              <w:t>11</w:t>
            </w:r>
            <w:r>
              <w:rPr>
                <w:webHidden/>
              </w:rPr>
              <w:fldChar w:fldCharType="end"/>
            </w:r>
          </w:hyperlink>
        </w:p>
        <w:p w14:paraId="18EAA0C0" w14:textId="45847591" w:rsidR="001E641C" w:rsidRDefault="001E641C">
          <w:pPr>
            <w:pStyle w:val="TOC3"/>
            <w:rPr>
              <w:rFonts w:asciiTheme="minorHAnsi" w:eastAsiaTheme="minorEastAsia" w:hAnsiTheme="minorHAnsi"/>
              <w:bCs w:val="0"/>
              <w:kern w:val="2"/>
              <w:sz w:val="24"/>
              <w:szCs w:val="24"/>
              <w14:ligatures w14:val="standardContextual"/>
            </w:rPr>
          </w:pPr>
          <w:hyperlink w:anchor="_Toc211268642" w:history="1">
            <w:r>
              <w:rPr>
                <w:rStyle w:val="Hyperlink"/>
              </w:rPr>
              <w:t>4.1.3</w:t>
            </w:r>
            <w:r>
              <w:rPr>
                <w:rFonts w:asciiTheme="minorHAnsi" w:eastAsiaTheme="minorEastAsia" w:hAnsiTheme="minorHAnsi"/>
                <w:bCs w:val="0"/>
                <w:kern w:val="2"/>
                <w:sz w:val="24"/>
                <w:szCs w:val="24"/>
                <w14:ligatures w14:val="standardContextual"/>
              </w:rPr>
              <w:tab/>
            </w:r>
            <w:r>
              <w:rPr>
                <w:rStyle w:val="Hyperlink"/>
              </w:rPr>
              <w:t>System Monitoring and Maintenance</w:t>
            </w:r>
            <w:r>
              <w:rPr>
                <w:webHidden/>
              </w:rPr>
              <w:tab/>
            </w:r>
            <w:r>
              <w:rPr>
                <w:webHidden/>
              </w:rPr>
              <w:fldChar w:fldCharType="begin"/>
            </w:r>
            <w:r>
              <w:rPr>
                <w:webHidden/>
              </w:rPr>
              <w:instrText xml:space="preserve"> PAGEREF _Toc211268642 \h </w:instrText>
            </w:r>
            <w:r>
              <w:rPr>
                <w:webHidden/>
              </w:rPr>
            </w:r>
            <w:r>
              <w:rPr>
                <w:webHidden/>
              </w:rPr>
              <w:fldChar w:fldCharType="separate"/>
            </w:r>
            <w:r>
              <w:rPr>
                <w:webHidden/>
              </w:rPr>
              <w:t>12</w:t>
            </w:r>
            <w:r>
              <w:rPr>
                <w:webHidden/>
              </w:rPr>
              <w:fldChar w:fldCharType="end"/>
            </w:r>
          </w:hyperlink>
        </w:p>
        <w:p w14:paraId="7C259B18" w14:textId="43EC5069" w:rsidR="001E641C" w:rsidRDefault="001E641C">
          <w:pPr>
            <w:pStyle w:val="TOC3"/>
            <w:rPr>
              <w:rFonts w:asciiTheme="minorHAnsi" w:eastAsiaTheme="minorEastAsia" w:hAnsiTheme="minorHAnsi"/>
              <w:bCs w:val="0"/>
              <w:kern w:val="2"/>
              <w:sz w:val="24"/>
              <w:szCs w:val="24"/>
              <w14:ligatures w14:val="standardContextual"/>
            </w:rPr>
          </w:pPr>
          <w:hyperlink w:anchor="_Toc211268643" w:history="1">
            <w:r>
              <w:rPr>
                <w:rStyle w:val="Hyperlink"/>
              </w:rPr>
              <w:t>4.1.4</w:t>
            </w:r>
            <w:r>
              <w:rPr>
                <w:rFonts w:asciiTheme="minorHAnsi" w:eastAsiaTheme="minorEastAsia" w:hAnsiTheme="minorHAnsi"/>
                <w:bCs w:val="0"/>
                <w:kern w:val="2"/>
                <w:sz w:val="24"/>
                <w:szCs w:val="24"/>
                <w14:ligatures w14:val="standardContextual"/>
              </w:rPr>
              <w:tab/>
            </w:r>
            <w:r>
              <w:rPr>
                <w:rStyle w:val="Hyperlink"/>
              </w:rPr>
              <w:t>Batch and Process Management</w:t>
            </w:r>
            <w:r>
              <w:rPr>
                <w:webHidden/>
              </w:rPr>
              <w:tab/>
            </w:r>
            <w:r>
              <w:rPr>
                <w:webHidden/>
              </w:rPr>
              <w:fldChar w:fldCharType="begin"/>
            </w:r>
            <w:r>
              <w:rPr>
                <w:webHidden/>
              </w:rPr>
              <w:instrText xml:space="preserve"> PAGEREF _Toc211268643 \h </w:instrText>
            </w:r>
            <w:r>
              <w:rPr>
                <w:webHidden/>
              </w:rPr>
            </w:r>
            <w:r>
              <w:rPr>
                <w:webHidden/>
              </w:rPr>
              <w:fldChar w:fldCharType="separate"/>
            </w:r>
            <w:r>
              <w:rPr>
                <w:webHidden/>
              </w:rPr>
              <w:t>12</w:t>
            </w:r>
            <w:r>
              <w:rPr>
                <w:webHidden/>
              </w:rPr>
              <w:fldChar w:fldCharType="end"/>
            </w:r>
          </w:hyperlink>
        </w:p>
        <w:p w14:paraId="49BBF482" w14:textId="2B708733" w:rsidR="001E641C" w:rsidRDefault="001E641C">
          <w:pPr>
            <w:pStyle w:val="TOC3"/>
            <w:rPr>
              <w:rFonts w:asciiTheme="minorHAnsi" w:eastAsiaTheme="minorEastAsia" w:hAnsiTheme="minorHAnsi"/>
              <w:bCs w:val="0"/>
              <w:kern w:val="2"/>
              <w:sz w:val="24"/>
              <w:szCs w:val="24"/>
              <w14:ligatures w14:val="standardContextual"/>
            </w:rPr>
          </w:pPr>
          <w:hyperlink w:anchor="_Toc211268644" w:history="1">
            <w:r>
              <w:rPr>
                <w:rStyle w:val="Hyperlink"/>
              </w:rPr>
              <w:t>4.1.5</w:t>
            </w:r>
            <w:r>
              <w:rPr>
                <w:rFonts w:asciiTheme="minorHAnsi" w:eastAsiaTheme="minorEastAsia" w:hAnsiTheme="minorHAnsi"/>
                <w:bCs w:val="0"/>
                <w:kern w:val="2"/>
                <w:sz w:val="24"/>
                <w:szCs w:val="24"/>
                <w14:ligatures w14:val="standardContextual"/>
              </w:rPr>
              <w:tab/>
            </w:r>
            <w:r>
              <w:rPr>
                <w:rStyle w:val="Hyperlink"/>
              </w:rPr>
              <w:t>Quality Assurance and Improvement</w:t>
            </w:r>
            <w:r>
              <w:rPr>
                <w:webHidden/>
              </w:rPr>
              <w:tab/>
            </w:r>
            <w:r>
              <w:rPr>
                <w:webHidden/>
              </w:rPr>
              <w:fldChar w:fldCharType="begin"/>
            </w:r>
            <w:r>
              <w:rPr>
                <w:webHidden/>
              </w:rPr>
              <w:instrText xml:space="preserve"> PAGEREF _Toc211268644 \h </w:instrText>
            </w:r>
            <w:r>
              <w:rPr>
                <w:webHidden/>
              </w:rPr>
            </w:r>
            <w:r>
              <w:rPr>
                <w:webHidden/>
              </w:rPr>
              <w:fldChar w:fldCharType="separate"/>
            </w:r>
            <w:r>
              <w:rPr>
                <w:webHidden/>
              </w:rPr>
              <w:t>14</w:t>
            </w:r>
            <w:r>
              <w:rPr>
                <w:webHidden/>
              </w:rPr>
              <w:fldChar w:fldCharType="end"/>
            </w:r>
          </w:hyperlink>
        </w:p>
        <w:p w14:paraId="4AA004C1" w14:textId="60B675D1" w:rsidR="001E641C" w:rsidRDefault="001E641C">
          <w:pPr>
            <w:pStyle w:val="TOC3"/>
            <w:rPr>
              <w:rFonts w:asciiTheme="minorHAnsi" w:eastAsiaTheme="minorEastAsia" w:hAnsiTheme="minorHAnsi"/>
              <w:bCs w:val="0"/>
              <w:kern w:val="2"/>
              <w:sz w:val="24"/>
              <w:szCs w:val="24"/>
              <w14:ligatures w14:val="standardContextual"/>
            </w:rPr>
          </w:pPr>
          <w:hyperlink w:anchor="_Toc211268645" w:history="1">
            <w:r>
              <w:rPr>
                <w:rStyle w:val="Hyperlink"/>
              </w:rPr>
              <w:t>4.1.6</w:t>
            </w:r>
            <w:r>
              <w:rPr>
                <w:rFonts w:asciiTheme="minorHAnsi" w:eastAsiaTheme="minorEastAsia" w:hAnsiTheme="minorHAnsi"/>
                <w:bCs w:val="0"/>
                <w:kern w:val="2"/>
                <w:sz w:val="24"/>
                <w:szCs w:val="24"/>
                <w14:ligatures w14:val="standardContextual"/>
              </w:rPr>
              <w:tab/>
            </w:r>
            <w:r>
              <w:rPr>
                <w:rStyle w:val="Hyperlink"/>
              </w:rPr>
              <w:t>Release Management</w:t>
            </w:r>
            <w:r>
              <w:rPr>
                <w:webHidden/>
              </w:rPr>
              <w:tab/>
            </w:r>
            <w:r>
              <w:rPr>
                <w:webHidden/>
              </w:rPr>
              <w:fldChar w:fldCharType="begin"/>
            </w:r>
            <w:r>
              <w:rPr>
                <w:webHidden/>
              </w:rPr>
              <w:instrText xml:space="preserve"> PAGEREF _Toc211268645 \h </w:instrText>
            </w:r>
            <w:r>
              <w:rPr>
                <w:webHidden/>
              </w:rPr>
            </w:r>
            <w:r>
              <w:rPr>
                <w:webHidden/>
              </w:rPr>
              <w:fldChar w:fldCharType="separate"/>
            </w:r>
            <w:r>
              <w:rPr>
                <w:webHidden/>
              </w:rPr>
              <w:t>14</w:t>
            </w:r>
            <w:r>
              <w:rPr>
                <w:webHidden/>
              </w:rPr>
              <w:fldChar w:fldCharType="end"/>
            </w:r>
          </w:hyperlink>
        </w:p>
        <w:p w14:paraId="77E33EAB" w14:textId="77770A28" w:rsidR="001E641C" w:rsidRDefault="001E641C">
          <w:pPr>
            <w:pStyle w:val="TOC2"/>
            <w:rPr>
              <w:rFonts w:asciiTheme="minorHAnsi" w:eastAsiaTheme="minorEastAsia" w:hAnsiTheme="minorHAnsi"/>
              <w:b w:val="0"/>
              <w:kern w:val="2"/>
              <w:sz w:val="24"/>
              <w:szCs w:val="24"/>
              <w14:ligatures w14:val="standardContextual"/>
            </w:rPr>
          </w:pPr>
          <w:hyperlink w:anchor="_Toc211268646" w:history="1">
            <w:r>
              <w:rPr>
                <w:rStyle w:val="Hyperlink"/>
              </w:rPr>
              <w:t>4.2</w:t>
            </w:r>
            <w:r>
              <w:rPr>
                <w:rFonts w:asciiTheme="minorHAnsi" w:eastAsiaTheme="minorEastAsia" w:hAnsiTheme="minorHAnsi"/>
                <w:b w:val="0"/>
                <w:kern w:val="2"/>
                <w:sz w:val="24"/>
                <w:szCs w:val="24"/>
                <w14:ligatures w14:val="standardContextual"/>
              </w:rPr>
              <w:tab/>
            </w:r>
            <w:r>
              <w:rPr>
                <w:rStyle w:val="Hyperlink"/>
              </w:rPr>
              <w:t>Production Defect and Incident Management Processes</w:t>
            </w:r>
            <w:r>
              <w:rPr>
                <w:webHidden/>
              </w:rPr>
              <w:tab/>
            </w:r>
            <w:r>
              <w:rPr>
                <w:webHidden/>
              </w:rPr>
              <w:fldChar w:fldCharType="begin"/>
            </w:r>
            <w:r>
              <w:rPr>
                <w:webHidden/>
              </w:rPr>
              <w:instrText xml:space="preserve"> PAGEREF _Toc211268646 \h </w:instrText>
            </w:r>
            <w:r>
              <w:rPr>
                <w:webHidden/>
              </w:rPr>
            </w:r>
            <w:r>
              <w:rPr>
                <w:webHidden/>
              </w:rPr>
              <w:fldChar w:fldCharType="separate"/>
            </w:r>
            <w:r>
              <w:rPr>
                <w:webHidden/>
              </w:rPr>
              <w:t>15</w:t>
            </w:r>
            <w:r>
              <w:rPr>
                <w:webHidden/>
              </w:rPr>
              <w:fldChar w:fldCharType="end"/>
            </w:r>
          </w:hyperlink>
        </w:p>
        <w:p w14:paraId="63E82F2A" w14:textId="66124FD6" w:rsidR="001E641C" w:rsidRDefault="001E641C">
          <w:pPr>
            <w:pStyle w:val="TOC2"/>
            <w:rPr>
              <w:rFonts w:asciiTheme="minorHAnsi" w:eastAsiaTheme="minorEastAsia" w:hAnsiTheme="minorHAnsi"/>
              <w:b w:val="0"/>
              <w:kern w:val="2"/>
              <w:sz w:val="24"/>
              <w:szCs w:val="24"/>
              <w14:ligatures w14:val="standardContextual"/>
            </w:rPr>
          </w:pPr>
          <w:hyperlink w:anchor="_Toc211268647" w:history="1">
            <w:r>
              <w:rPr>
                <w:rStyle w:val="Hyperlink"/>
              </w:rPr>
              <w:t>4.3</w:t>
            </w:r>
            <w:r>
              <w:rPr>
                <w:rFonts w:asciiTheme="minorHAnsi" w:eastAsiaTheme="minorEastAsia" w:hAnsiTheme="minorHAnsi"/>
                <w:b w:val="0"/>
                <w:kern w:val="2"/>
                <w:sz w:val="24"/>
                <w:szCs w:val="24"/>
                <w14:ligatures w14:val="standardContextual"/>
              </w:rPr>
              <w:tab/>
            </w:r>
            <w:r>
              <w:rPr>
                <w:rStyle w:val="Hyperlink"/>
              </w:rPr>
              <w:t>Security Management Processes</w:t>
            </w:r>
            <w:r>
              <w:rPr>
                <w:webHidden/>
              </w:rPr>
              <w:tab/>
            </w:r>
            <w:r>
              <w:rPr>
                <w:webHidden/>
              </w:rPr>
              <w:fldChar w:fldCharType="begin"/>
            </w:r>
            <w:r>
              <w:rPr>
                <w:webHidden/>
              </w:rPr>
              <w:instrText xml:space="preserve"> PAGEREF _Toc211268647 \h </w:instrText>
            </w:r>
            <w:r>
              <w:rPr>
                <w:webHidden/>
              </w:rPr>
            </w:r>
            <w:r>
              <w:rPr>
                <w:webHidden/>
              </w:rPr>
              <w:fldChar w:fldCharType="separate"/>
            </w:r>
            <w:r>
              <w:rPr>
                <w:webHidden/>
              </w:rPr>
              <w:t>15</w:t>
            </w:r>
            <w:r>
              <w:rPr>
                <w:webHidden/>
              </w:rPr>
              <w:fldChar w:fldCharType="end"/>
            </w:r>
          </w:hyperlink>
        </w:p>
        <w:p w14:paraId="5D6640A3" w14:textId="3F6E2746" w:rsidR="001E641C" w:rsidRDefault="001E641C">
          <w:pPr>
            <w:pStyle w:val="TOC3"/>
            <w:rPr>
              <w:rFonts w:asciiTheme="minorHAnsi" w:eastAsiaTheme="minorEastAsia" w:hAnsiTheme="minorHAnsi"/>
              <w:bCs w:val="0"/>
              <w:kern w:val="2"/>
              <w:sz w:val="24"/>
              <w:szCs w:val="24"/>
              <w14:ligatures w14:val="standardContextual"/>
            </w:rPr>
          </w:pPr>
          <w:hyperlink w:anchor="_Toc211268648" w:history="1">
            <w:r>
              <w:rPr>
                <w:rStyle w:val="Hyperlink"/>
              </w:rPr>
              <w:t>4.3.1</w:t>
            </w:r>
            <w:r>
              <w:rPr>
                <w:rFonts w:asciiTheme="minorHAnsi" w:eastAsiaTheme="minorEastAsia" w:hAnsiTheme="minorHAnsi"/>
                <w:bCs w:val="0"/>
                <w:kern w:val="2"/>
                <w:sz w:val="24"/>
                <w:szCs w:val="24"/>
                <w14:ligatures w14:val="standardContextual"/>
              </w:rPr>
              <w:tab/>
            </w:r>
            <w:r>
              <w:rPr>
                <w:rStyle w:val="Hyperlink"/>
              </w:rPr>
              <w:t>Compliance and Documentation</w:t>
            </w:r>
            <w:r>
              <w:rPr>
                <w:webHidden/>
              </w:rPr>
              <w:tab/>
            </w:r>
            <w:r>
              <w:rPr>
                <w:webHidden/>
              </w:rPr>
              <w:fldChar w:fldCharType="begin"/>
            </w:r>
            <w:r>
              <w:rPr>
                <w:webHidden/>
              </w:rPr>
              <w:instrText xml:space="preserve"> PAGEREF _Toc211268648 \h </w:instrText>
            </w:r>
            <w:r>
              <w:rPr>
                <w:webHidden/>
              </w:rPr>
            </w:r>
            <w:r>
              <w:rPr>
                <w:webHidden/>
              </w:rPr>
              <w:fldChar w:fldCharType="separate"/>
            </w:r>
            <w:r>
              <w:rPr>
                <w:webHidden/>
              </w:rPr>
              <w:t>15</w:t>
            </w:r>
            <w:r>
              <w:rPr>
                <w:webHidden/>
              </w:rPr>
              <w:fldChar w:fldCharType="end"/>
            </w:r>
          </w:hyperlink>
        </w:p>
        <w:p w14:paraId="36CA9A03" w14:textId="2413B39C" w:rsidR="001E641C" w:rsidRDefault="001E641C">
          <w:pPr>
            <w:pStyle w:val="TOC3"/>
            <w:rPr>
              <w:rFonts w:asciiTheme="minorHAnsi" w:eastAsiaTheme="minorEastAsia" w:hAnsiTheme="minorHAnsi"/>
              <w:bCs w:val="0"/>
              <w:kern w:val="2"/>
              <w:sz w:val="24"/>
              <w:szCs w:val="24"/>
              <w14:ligatures w14:val="standardContextual"/>
            </w:rPr>
          </w:pPr>
          <w:hyperlink w:anchor="_Toc211268649" w:history="1">
            <w:r>
              <w:rPr>
                <w:rStyle w:val="Hyperlink"/>
              </w:rPr>
              <w:t>4.3.2</w:t>
            </w:r>
            <w:r>
              <w:rPr>
                <w:rFonts w:asciiTheme="minorHAnsi" w:eastAsiaTheme="minorEastAsia" w:hAnsiTheme="minorHAnsi"/>
                <w:bCs w:val="0"/>
                <w:kern w:val="2"/>
                <w:sz w:val="24"/>
                <w:szCs w:val="24"/>
                <w14:ligatures w14:val="standardContextual"/>
              </w:rPr>
              <w:tab/>
            </w:r>
            <w:r>
              <w:rPr>
                <w:rStyle w:val="Hyperlink"/>
              </w:rPr>
              <w:t>Security Scanning</w:t>
            </w:r>
            <w:r>
              <w:rPr>
                <w:webHidden/>
              </w:rPr>
              <w:tab/>
            </w:r>
            <w:r>
              <w:rPr>
                <w:webHidden/>
              </w:rPr>
              <w:fldChar w:fldCharType="begin"/>
            </w:r>
            <w:r>
              <w:rPr>
                <w:webHidden/>
              </w:rPr>
              <w:instrText xml:space="preserve"> PAGEREF _Toc211268649 \h </w:instrText>
            </w:r>
            <w:r>
              <w:rPr>
                <w:webHidden/>
              </w:rPr>
            </w:r>
            <w:r>
              <w:rPr>
                <w:webHidden/>
              </w:rPr>
              <w:fldChar w:fldCharType="separate"/>
            </w:r>
            <w:r>
              <w:rPr>
                <w:webHidden/>
              </w:rPr>
              <w:t>15</w:t>
            </w:r>
            <w:r>
              <w:rPr>
                <w:webHidden/>
              </w:rPr>
              <w:fldChar w:fldCharType="end"/>
            </w:r>
          </w:hyperlink>
        </w:p>
        <w:p w14:paraId="1583350B" w14:textId="4031368B" w:rsidR="001E641C" w:rsidRDefault="001E641C">
          <w:pPr>
            <w:pStyle w:val="TOC3"/>
            <w:rPr>
              <w:rFonts w:asciiTheme="minorHAnsi" w:eastAsiaTheme="minorEastAsia" w:hAnsiTheme="minorHAnsi"/>
              <w:bCs w:val="0"/>
              <w:kern w:val="2"/>
              <w:sz w:val="24"/>
              <w:szCs w:val="24"/>
              <w14:ligatures w14:val="standardContextual"/>
            </w:rPr>
          </w:pPr>
          <w:hyperlink w:anchor="_Toc211268650" w:history="1">
            <w:r>
              <w:rPr>
                <w:rStyle w:val="Hyperlink"/>
              </w:rPr>
              <w:t>4.3.3</w:t>
            </w:r>
            <w:r>
              <w:rPr>
                <w:rFonts w:asciiTheme="minorHAnsi" w:eastAsiaTheme="minorEastAsia" w:hAnsiTheme="minorHAnsi"/>
                <w:bCs w:val="0"/>
                <w:kern w:val="2"/>
                <w:sz w:val="24"/>
                <w:szCs w:val="24"/>
                <w14:ligatures w14:val="standardContextual"/>
              </w:rPr>
              <w:tab/>
            </w:r>
            <w:r>
              <w:rPr>
                <w:rStyle w:val="Hyperlink"/>
              </w:rPr>
              <w:t>Access Management</w:t>
            </w:r>
            <w:r>
              <w:rPr>
                <w:webHidden/>
              </w:rPr>
              <w:tab/>
            </w:r>
            <w:r>
              <w:rPr>
                <w:webHidden/>
              </w:rPr>
              <w:fldChar w:fldCharType="begin"/>
            </w:r>
            <w:r>
              <w:rPr>
                <w:webHidden/>
              </w:rPr>
              <w:instrText xml:space="preserve"> PAGEREF _Toc211268650 \h </w:instrText>
            </w:r>
            <w:r>
              <w:rPr>
                <w:webHidden/>
              </w:rPr>
            </w:r>
            <w:r>
              <w:rPr>
                <w:webHidden/>
              </w:rPr>
              <w:fldChar w:fldCharType="separate"/>
            </w:r>
            <w:r>
              <w:rPr>
                <w:webHidden/>
              </w:rPr>
              <w:t>16</w:t>
            </w:r>
            <w:r>
              <w:rPr>
                <w:webHidden/>
              </w:rPr>
              <w:fldChar w:fldCharType="end"/>
            </w:r>
          </w:hyperlink>
        </w:p>
        <w:p w14:paraId="65969334" w14:textId="7A6F1F23" w:rsidR="001E641C" w:rsidRDefault="001E641C">
          <w:pPr>
            <w:pStyle w:val="TOC3"/>
            <w:rPr>
              <w:rFonts w:asciiTheme="minorHAnsi" w:eastAsiaTheme="minorEastAsia" w:hAnsiTheme="minorHAnsi"/>
              <w:bCs w:val="0"/>
              <w:kern w:val="2"/>
              <w:sz w:val="24"/>
              <w:szCs w:val="24"/>
              <w14:ligatures w14:val="standardContextual"/>
            </w:rPr>
          </w:pPr>
          <w:hyperlink w:anchor="_Toc211268651" w:history="1">
            <w:r>
              <w:rPr>
                <w:rStyle w:val="Hyperlink"/>
              </w:rPr>
              <w:t>4.3.4</w:t>
            </w:r>
            <w:r>
              <w:rPr>
                <w:rFonts w:asciiTheme="minorHAnsi" w:eastAsiaTheme="minorEastAsia" w:hAnsiTheme="minorHAnsi"/>
                <w:bCs w:val="0"/>
                <w:kern w:val="2"/>
                <w:sz w:val="24"/>
                <w:szCs w:val="24"/>
                <w14:ligatures w14:val="standardContextual"/>
              </w:rPr>
              <w:tab/>
            </w:r>
            <w:r>
              <w:rPr>
                <w:rStyle w:val="Hyperlink"/>
              </w:rPr>
              <w:t>Security Incident Management</w:t>
            </w:r>
            <w:r>
              <w:rPr>
                <w:webHidden/>
              </w:rPr>
              <w:tab/>
            </w:r>
            <w:r>
              <w:rPr>
                <w:webHidden/>
              </w:rPr>
              <w:fldChar w:fldCharType="begin"/>
            </w:r>
            <w:r>
              <w:rPr>
                <w:webHidden/>
              </w:rPr>
              <w:instrText xml:space="preserve"> PAGEREF _Toc211268651 \h </w:instrText>
            </w:r>
            <w:r>
              <w:rPr>
                <w:webHidden/>
              </w:rPr>
            </w:r>
            <w:r>
              <w:rPr>
                <w:webHidden/>
              </w:rPr>
              <w:fldChar w:fldCharType="separate"/>
            </w:r>
            <w:r>
              <w:rPr>
                <w:webHidden/>
              </w:rPr>
              <w:t>16</w:t>
            </w:r>
            <w:r>
              <w:rPr>
                <w:webHidden/>
              </w:rPr>
              <w:fldChar w:fldCharType="end"/>
            </w:r>
          </w:hyperlink>
        </w:p>
        <w:p w14:paraId="5C9A122C" w14:textId="7107730C" w:rsidR="001E641C" w:rsidRDefault="001E641C">
          <w:pPr>
            <w:pStyle w:val="TOC3"/>
            <w:rPr>
              <w:rFonts w:asciiTheme="minorHAnsi" w:eastAsiaTheme="minorEastAsia" w:hAnsiTheme="minorHAnsi"/>
              <w:bCs w:val="0"/>
              <w:kern w:val="2"/>
              <w:sz w:val="24"/>
              <w:szCs w:val="24"/>
              <w14:ligatures w14:val="standardContextual"/>
            </w:rPr>
          </w:pPr>
          <w:hyperlink w:anchor="_Toc211268652" w:history="1">
            <w:r>
              <w:rPr>
                <w:rStyle w:val="Hyperlink"/>
              </w:rPr>
              <w:t>4.3.5</w:t>
            </w:r>
            <w:r>
              <w:rPr>
                <w:rFonts w:asciiTheme="minorHAnsi" w:eastAsiaTheme="minorEastAsia" w:hAnsiTheme="minorHAnsi"/>
                <w:bCs w:val="0"/>
                <w:kern w:val="2"/>
                <w:sz w:val="24"/>
                <w:szCs w:val="24"/>
                <w14:ligatures w14:val="standardContextual"/>
              </w:rPr>
              <w:tab/>
            </w:r>
            <w:r>
              <w:rPr>
                <w:rStyle w:val="Hyperlink"/>
              </w:rPr>
              <w:t>Security Operations</w:t>
            </w:r>
            <w:r>
              <w:rPr>
                <w:webHidden/>
              </w:rPr>
              <w:tab/>
            </w:r>
            <w:r>
              <w:rPr>
                <w:webHidden/>
              </w:rPr>
              <w:fldChar w:fldCharType="begin"/>
            </w:r>
            <w:r>
              <w:rPr>
                <w:webHidden/>
              </w:rPr>
              <w:instrText xml:space="preserve"> PAGEREF _Toc211268652 \h </w:instrText>
            </w:r>
            <w:r>
              <w:rPr>
                <w:webHidden/>
              </w:rPr>
            </w:r>
            <w:r>
              <w:rPr>
                <w:webHidden/>
              </w:rPr>
              <w:fldChar w:fldCharType="separate"/>
            </w:r>
            <w:r>
              <w:rPr>
                <w:webHidden/>
              </w:rPr>
              <w:t>17</w:t>
            </w:r>
            <w:r>
              <w:rPr>
                <w:webHidden/>
              </w:rPr>
              <w:fldChar w:fldCharType="end"/>
            </w:r>
          </w:hyperlink>
        </w:p>
        <w:p w14:paraId="1DB80B7C" w14:textId="2D0972F5" w:rsidR="001E641C" w:rsidRDefault="001E641C">
          <w:pPr>
            <w:pStyle w:val="TOC3"/>
            <w:rPr>
              <w:rFonts w:asciiTheme="minorHAnsi" w:eastAsiaTheme="minorEastAsia" w:hAnsiTheme="minorHAnsi"/>
              <w:bCs w:val="0"/>
              <w:kern w:val="2"/>
              <w:sz w:val="24"/>
              <w:szCs w:val="24"/>
              <w14:ligatures w14:val="standardContextual"/>
            </w:rPr>
          </w:pPr>
          <w:hyperlink w:anchor="_Toc211268653" w:history="1">
            <w:r>
              <w:rPr>
                <w:rStyle w:val="Hyperlink"/>
              </w:rPr>
              <w:t>4.3.6</w:t>
            </w:r>
            <w:r>
              <w:rPr>
                <w:rFonts w:asciiTheme="minorHAnsi" w:eastAsiaTheme="minorEastAsia" w:hAnsiTheme="minorHAnsi"/>
                <w:bCs w:val="0"/>
                <w:kern w:val="2"/>
                <w:sz w:val="24"/>
                <w:szCs w:val="24"/>
                <w14:ligatures w14:val="standardContextual"/>
              </w:rPr>
              <w:tab/>
            </w:r>
            <w:r>
              <w:rPr>
                <w:rStyle w:val="Hyperlink"/>
              </w:rPr>
              <w:t>Business Continuity and Disaster Recovery</w:t>
            </w:r>
            <w:r>
              <w:rPr>
                <w:webHidden/>
              </w:rPr>
              <w:tab/>
            </w:r>
            <w:r>
              <w:rPr>
                <w:webHidden/>
              </w:rPr>
              <w:fldChar w:fldCharType="begin"/>
            </w:r>
            <w:r>
              <w:rPr>
                <w:webHidden/>
              </w:rPr>
              <w:instrText xml:space="preserve"> PAGEREF _Toc211268653 \h </w:instrText>
            </w:r>
            <w:r>
              <w:rPr>
                <w:webHidden/>
              </w:rPr>
            </w:r>
            <w:r>
              <w:rPr>
                <w:webHidden/>
              </w:rPr>
              <w:fldChar w:fldCharType="separate"/>
            </w:r>
            <w:r>
              <w:rPr>
                <w:webHidden/>
              </w:rPr>
              <w:t>17</w:t>
            </w:r>
            <w:r>
              <w:rPr>
                <w:webHidden/>
              </w:rPr>
              <w:fldChar w:fldCharType="end"/>
            </w:r>
          </w:hyperlink>
        </w:p>
        <w:p w14:paraId="389D644C" w14:textId="36745812" w:rsidR="001E641C" w:rsidRDefault="001E641C">
          <w:pPr>
            <w:pStyle w:val="TOC3"/>
            <w:rPr>
              <w:rFonts w:asciiTheme="minorHAnsi" w:eastAsiaTheme="minorEastAsia" w:hAnsiTheme="minorHAnsi"/>
              <w:bCs w:val="0"/>
              <w:kern w:val="2"/>
              <w:sz w:val="24"/>
              <w:szCs w:val="24"/>
              <w14:ligatures w14:val="standardContextual"/>
            </w:rPr>
          </w:pPr>
          <w:hyperlink w:anchor="_Toc211268654" w:history="1">
            <w:r>
              <w:rPr>
                <w:rStyle w:val="Hyperlink"/>
              </w:rPr>
              <w:t>4.3.7</w:t>
            </w:r>
            <w:r>
              <w:rPr>
                <w:rFonts w:asciiTheme="minorHAnsi" w:eastAsiaTheme="minorEastAsia" w:hAnsiTheme="minorHAnsi"/>
                <w:bCs w:val="0"/>
                <w:kern w:val="2"/>
                <w:sz w:val="24"/>
                <w:szCs w:val="24"/>
                <w14:ligatures w14:val="standardContextual"/>
              </w:rPr>
              <w:tab/>
            </w:r>
            <w:r>
              <w:rPr>
                <w:rStyle w:val="Hyperlink"/>
              </w:rPr>
              <w:t>Incident Response Plan</w:t>
            </w:r>
            <w:r>
              <w:rPr>
                <w:webHidden/>
              </w:rPr>
              <w:tab/>
            </w:r>
            <w:r>
              <w:rPr>
                <w:webHidden/>
              </w:rPr>
              <w:fldChar w:fldCharType="begin"/>
            </w:r>
            <w:r>
              <w:rPr>
                <w:webHidden/>
              </w:rPr>
              <w:instrText xml:space="preserve"> PAGEREF _Toc211268654 \h </w:instrText>
            </w:r>
            <w:r>
              <w:rPr>
                <w:webHidden/>
              </w:rPr>
            </w:r>
            <w:r>
              <w:rPr>
                <w:webHidden/>
              </w:rPr>
              <w:fldChar w:fldCharType="separate"/>
            </w:r>
            <w:r>
              <w:rPr>
                <w:webHidden/>
              </w:rPr>
              <w:t>18</w:t>
            </w:r>
            <w:r>
              <w:rPr>
                <w:webHidden/>
              </w:rPr>
              <w:fldChar w:fldCharType="end"/>
            </w:r>
          </w:hyperlink>
        </w:p>
        <w:p w14:paraId="091D7FB2" w14:textId="0B9B3D45" w:rsidR="001E641C" w:rsidRDefault="001E641C">
          <w:pPr>
            <w:pStyle w:val="TOC2"/>
            <w:rPr>
              <w:rFonts w:asciiTheme="minorHAnsi" w:eastAsiaTheme="minorEastAsia" w:hAnsiTheme="minorHAnsi"/>
              <w:b w:val="0"/>
              <w:kern w:val="2"/>
              <w:sz w:val="24"/>
              <w:szCs w:val="24"/>
              <w14:ligatures w14:val="standardContextual"/>
            </w:rPr>
          </w:pPr>
          <w:hyperlink w:anchor="_Toc211268655" w:history="1">
            <w:r>
              <w:rPr>
                <w:rStyle w:val="Hyperlink"/>
              </w:rPr>
              <w:t>4.4</w:t>
            </w:r>
            <w:r>
              <w:rPr>
                <w:rFonts w:asciiTheme="minorHAnsi" w:eastAsiaTheme="minorEastAsia" w:hAnsiTheme="minorHAnsi"/>
                <w:b w:val="0"/>
                <w:kern w:val="2"/>
                <w:sz w:val="24"/>
                <w:szCs w:val="24"/>
                <w14:ligatures w14:val="standardContextual"/>
              </w:rPr>
              <w:tab/>
            </w:r>
            <w:r>
              <w:rPr>
                <w:rStyle w:val="Hyperlink"/>
              </w:rPr>
              <w:t>Approach to Performing Technical Maintenance</w:t>
            </w:r>
            <w:r>
              <w:rPr>
                <w:webHidden/>
              </w:rPr>
              <w:tab/>
            </w:r>
            <w:r>
              <w:rPr>
                <w:webHidden/>
              </w:rPr>
              <w:fldChar w:fldCharType="begin"/>
            </w:r>
            <w:r>
              <w:rPr>
                <w:webHidden/>
              </w:rPr>
              <w:instrText xml:space="preserve"> PAGEREF _Toc211268655 \h </w:instrText>
            </w:r>
            <w:r>
              <w:rPr>
                <w:webHidden/>
              </w:rPr>
            </w:r>
            <w:r>
              <w:rPr>
                <w:webHidden/>
              </w:rPr>
              <w:fldChar w:fldCharType="separate"/>
            </w:r>
            <w:r>
              <w:rPr>
                <w:webHidden/>
              </w:rPr>
              <w:t>18</w:t>
            </w:r>
            <w:r>
              <w:rPr>
                <w:webHidden/>
              </w:rPr>
              <w:fldChar w:fldCharType="end"/>
            </w:r>
          </w:hyperlink>
        </w:p>
        <w:p w14:paraId="4BB87919" w14:textId="1966D2FE" w:rsidR="001E641C" w:rsidRDefault="001E641C">
          <w:pPr>
            <w:pStyle w:val="TOC3"/>
            <w:rPr>
              <w:rFonts w:asciiTheme="minorHAnsi" w:eastAsiaTheme="minorEastAsia" w:hAnsiTheme="minorHAnsi"/>
              <w:bCs w:val="0"/>
              <w:kern w:val="2"/>
              <w:sz w:val="24"/>
              <w:szCs w:val="24"/>
              <w14:ligatures w14:val="standardContextual"/>
            </w:rPr>
          </w:pPr>
          <w:hyperlink w:anchor="_Toc211268656" w:history="1">
            <w:r>
              <w:rPr>
                <w:rStyle w:val="Hyperlink"/>
              </w:rPr>
              <w:t>4.4.1</w:t>
            </w:r>
            <w:r>
              <w:rPr>
                <w:rFonts w:asciiTheme="minorHAnsi" w:eastAsiaTheme="minorEastAsia" w:hAnsiTheme="minorHAnsi"/>
                <w:bCs w:val="0"/>
                <w:kern w:val="2"/>
                <w:sz w:val="24"/>
                <w:szCs w:val="24"/>
                <w14:ligatures w14:val="standardContextual"/>
              </w:rPr>
              <w:tab/>
            </w:r>
            <w:r>
              <w:rPr>
                <w:rStyle w:val="Hyperlink"/>
              </w:rPr>
              <w:t>Architecture and Design Maintenance</w:t>
            </w:r>
            <w:r>
              <w:rPr>
                <w:webHidden/>
              </w:rPr>
              <w:tab/>
            </w:r>
            <w:r>
              <w:rPr>
                <w:webHidden/>
              </w:rPr>
              <w:fldChar w:fldCharType="begin"/>
            </w:r>
            <w:r>
              <w:rPr>
                <w:webHidden/>
              </w:rPr>
              <w:instrText xml:space="preserve"> PAGEREF _Toc211268656 \h </w:instrText>
            </w:r>
            <w:r>
              <w:rPr>
                <w:webHidden/>
              </w:rPr>
            </w:r>
            <w:r>
              <w:rPr>
                <w:webHidden/>
              </w:rPr>
              <w:fldChar w:fldCharType="separate"/>
            </w:r>
            <w:r>
              <w:rPr>
                <w:webHidden/>
              </w:rPr>
              <w:t>18</w:t>
            </w:r>
            <w:r>
              <w:rPr>
                <w:webHidden/>
              </w:rPr>
              <w:fldChar w:fldCharType="end"/>
            </w:r>
          </w:hyperlink>
        </w:p>
        <w:p w14:paraId="7F0A9F13" w14:textId="0D4BBC32" w:rsidR="001E641C" w:rsidRDefault="001E641C">
          <w:pPr>
            <w:pStyle w:val="TOC3"/>
            <w:rPr>
              <w:rFonts w:asciiTheme="minorHAnsi" w:eastAsiaTheme="minorEastAsia" w:hAnsiTheme="minorHAnsi"/>
              <w:bCs w:val="0"/>
              <w:kern w:val="2"/>
              <w:sz w:val="24"/>
              <w:szCs w:val="24"/>
              <w14:ligatures w14:val="standardContextual"/>
            </w:rPr>
          </w:pPr>
          <w:hyperlink w:anchor="_Toc211268657" w:history="1">
            <w:r>
              <w:rPr>
                <w:rStyle w:val="Hyperlink"/>
              </w:rPr>
              <w:t>4.4.2</w:t>
            </w:r>
            <w:r>
              <w:rPr>
                <w:rFonts w:asciiTheme="minorHAnsi" w:eastAsiaTheme="minorEastAsia" w:hAnsiTheme="minorHAnsi"/>
                <w:bCs w:val="0"/>
                <w:kern w:val="2"/>
                <w:sz w:val="24"/>
                <w:szCs w:val="24"/>
                <w14:ligatures w14:val="standardContextual"/>
              </w:rPr>
              <w:tab/>
            </w:r>
            <w:r>
              <w:rPr>
                <w:rStyle w:val="Hyperlink"/>
              </w:rPr>
              <w:t>Capacity Planning</w:t>
            </w:r>
            <w:r>
              <w:rPr>
                <w:webHidden/>
              </w:rPr>
              <w:tab/>
            </w:r>
            <w:r>
              <w:rPr>
                <w:webHidden/>
              </w:rPr>
              <w:fldChar w:fldCharType="begin"/>
            </w:r>
            <w:r>
              <w:rPr>
                <w:webHidden/>
              </w:rPr>
              <w:instrText xml:space="preserve"> PAGEREF _Toc211268657 \h </w:instrText>
            </w:r>
            <w:r>
              <w:rPr>
                <w:webHidden/>
              </w:rPr>
            </w:r>
            <w:r>
              <w:rPr>
                <w:webHidden/>
              </w:rPr>
              <w:fldChar w:fldCharType="separate"/>
            </w:r>
            <w:r>
              <w:rPr>
                <w:webHidden/>
              </w:rPr>
              <w:t>19</w:t>
            </w:r>
            <w:r>
              <w:rPr>
                <w:webHidden/>
              </w:rPr>
              <w:fldChar w:fldCharType="end"/>
            </w:r>
          </w:hyperlink>
        </w:p>
        <w:p w14:paraId="5585AACA" w14:textId="0DA7FDE7" w:rsidR="001E641C" w:rsidRDefault="001E641C">
          <w:pPr>
            <w:pStyle w:val="TOC3"/>
            <w:rPr>
              <w:rFonts w:asciiTheme="minorHAnsi" w:eastAsiaTheme="minorEastAsia" w:hAnsiTheme="minorHAnsi"/>
              <w:bCs w:val="0"/>
              <w:kern w:val="2"/>
              <w:sz w:val="24"/>
              <w:szCs w:val="24"/>
              <w14:ligatures w14:val="standardContextual"/>
            </w:rPr>
          </w:pPr>
          <w:hyperlink w:anchor="_Toc211268658" w:history="1">
            <w:r>
              <w:rPr>
                <w:rStyle w:val="Hyperlink"/>
              </w:rPr>
              <w:t>4.4.3</w:t>
            </w:r>
            <w:r>
              <w:rPr>
                <w:rFonts w:asciiTheme="minorHAnsi" w:eastAsiaTheme="minorEastAsia" w:hAnsiTheme="minorHAnsi"/>
                <w:bCs w:val="0"/>
                <w:kern w:val="2"/>
                <w:sz w:val="24"/>
                <w:szCs w:val="24"/>
                <w14:ligatures w14:val="standardContextual"/>
              </w:rPr>
              <w:tab/>
            </w:r>
            <w:r>
              <w:rPr>
                <w:rStyle w:val="Hyperlink"/>
              </w:rPr>
              <w:t>System and Infrastructure Upgrade</w:t>
            </w:r>
            <w:r>
              <w:rPr>
                <w:webHidden/>
              </w:rPr>
              <w:tab/>
            </w:r>
            <w:r>
              <w:rPr>
                <w:webHidden/>
              </w:rPr>
              <w:fldChar w:fldCharType="begin"/>
            </w:r>
            <w:r>
              <w:rPr>
                <w:webHidden/>
              </w:rPr>
              <w:instrText xml:space="preserve"> PAGEREF _Toc211268658 \h </w:instrText>
            </w:r>
            <w:r>
              <w:rPr>
                <w:webHidden/>
              </w:rPr>
            </w:r>
            <w:r>
              <w:rPr>
                <w:webHidden/>
              </w:rPr>
              <w:fldChar w:fldCharType="separate"/>
            </w:r>
            <w:r>
              <w:rPr>
                <w:webHidden/>
              </w:rPr>
              <w:t>19</w:t>
            </w:r>
            <w:r>
              <w:rPr>
                <w:webHidden/>
              </w:rPr>
              <w:fldChar w:fldCharType="end"/>
            </w:r>
          </w:hyperlink>
        </w:p>
        <w:p w14:paraId="03F5F036" w14:textId="02ECE746" w:rsidR="001E641C" w:rsidRDefault="001E641C">
          <w:pPr>
            <w:pStyle w:val="TOC3"/>
            <w:rPr>
              <w:rFonts w:asciiTheme="minorHAnsi" w:eastAsiaTheme="minorEastAsia" w:hAnsiTheme="minorHAnsi"/>
              <w:bCs w:val="0"/>
              <w:kern w:val="2"/>
              <w:sz w:val="24"/>
              <w:szCs w:val="24"/>
              <w14:ligatures w14:val="standardContextual"/>
            </w:rPr>
          </w:pPr>
          <w:hyperlink w:anchor="_Toc211268659" w:history="1">
            <w:r>
              <w:rPr>
                <w:rStyle w:val="Hyperlink"/>
              </w:rPr>
              <w:t>4.4.4</w:t>
            </w:r>
            <w:r>
              <w:rPr>
                <w:rFonts w:asciiTheme="minorHAnsi" w:eastAsiaTheme="minorEastAsia" w:hAnsiTheme="minorHAnsi"/>
                <w:bCs w:val="0"/>
                <w:kern w:val="2"/>
                <w:sz w:val="24"/>
                <w:szCs w:val="24"/>
                <w14:ligatures w14:val="standardContextual"/>
              </w:rPr>
              <w:tab/>
            </w:r>
            <w:r>
              <w:rPr>
                <w:rStyle w:val="Hyperlink"/>
              </w:rPr>
              <w:t>System Patching</w:t>
            </w:r>
            <w:r>
              <w:rPr>
                <w:webHidden/>
              </w:rPr>
              <w:tab/>
            </w:r>
            <w:r>
              <w:rPr>
                <w:webHidden/>
              </w:rPr>
              <w:fldChar w:fldCharType="begin"/>
            </w:r>
            <w:r>
              <w:rPr>
                <w:webHidden/>
              </w:rPr>
              <w:instrText xml:space="preserve"> PAGEREF _Toc211268659 \h </w:instrText>
            </w:r>
            <w:r>
              <w:rPr>
                <w:webHidden/>
              </w:rPr>
            </w:r>
            <w:r>
              <w:rPr>
                <w:webHidden/>
              </w:rPr>
              <w:fldChar w:fldCharType="separate"/>
            </w:r>
            <w:r>
              <w:rPr>
                <w:webHidden/>
              </w:rPr>
              <w:t>20</w:t>
            </w:r>
            <w:r>
              <w:rPr>
                <w:webHidden/>
              </w:rPr>
              <w:fldChar w:fldCharType="end"/>
            </w:r>
          </w:hyperlink>
        </w:p>
        <w:p w14:paraId="0D0CFF84" w14:textId="6DCA21A6" w:rsidR="001E641C" w:rsidRDefault="001E641C">
          <w:pPr>
            <w:pStyle w:val="TOC3"/>
            <w:rPr>
              <w:rFonts w:asciiTheme="minorHAnsi" w:eastAsiaTheme="minorEastAsia" w:hAnsiTheme="minorHAnsi"/>
              <w:bCs w:val="0"/>
              <w:kern w:val="2"/>
              <w:sz w:val="24"/>
              <w:szCs w:val="24"/>
              <w14:ligatures w14:val="standardContextual"/>
            </w:rPr>
          </w:pPr>
          <w:hyperlink w:anchor="_Toc211268660" w:history="1">
            <w:r>
              <w:rPr>
                <w:rStyle w:val="Hyperlink"/>
              </w:rPr>
              <w:t>4.4.5</w:t>
            </w:r>
            <w:r>
              <w:rPr>
                <w:rFonts w:asciiTheme="minorHAnsi" w:eastAsiaTheme="minorEastAsia" w:hAnsiTheme="minorHAnsi"/>
                <w:bCs w:val="0"/>
                <w:kern w:val="2"/>
                <w:sz w:val="24"/>
                <w:szCs w:val="24"/>
                <w14:ligatures w14:val="standardContextual"/>
              </w:rPr>
              <w:tab/>
            </w:r>
            <w:r>
              <w:rPr>
                <w:rStyle w:val="Hyperlink"/>
              </w:rPr>
              <w:t>Asset Management</w:t>
            </w:r>
            <w:r>
              <w:rPr>
                <w:webHidden/>
              </w:rPr>
              <w:tab/>
            </w:r>
            <w:r>
              <w:rPr>
                <w:webHidden/>
              </w:rPr>
              <w:fldChar w:fldCharType="begin"/>
            </w:r>
            <w:r>
              <w:rPr>
                <w:webHidden/>
              </w:rPr>
              <w:instrText xml:space="preserve"> PAGEREF _Toc211268660 \h </w:instrText>
            </w:r>
            <w:r>
              <w:rPr>
                <w:webHidden/>
              </w:rPr>
            </w:r>
            <w:r>
              <w:rPr>
                <w:webHidden/>
              </w:rPr>
              <w:fldChar w:fldCharType="separate"/>
            </w:r>
            <w:r>
              <w:rPr>
                <w:webHidden/>
              </w:rPr>
              <w:t>20</w:t>
            </w:r>
            <w:r>
              <w:rPr>
                <w:webHidden/>
              </w:rPr>
              <w:fldChar w:fldCharType="end"/>
            </w:r>
          </w:hyperlink>
        </w:p>
        <w:p w14:paraId="46B331C3" w14:textId="2489D218" w:rsidR="001E641C" w:rsidRDefault="001E641C">
          <w:pPr>
            <w:pStyle w:val="TOC2"/>
            <w:rPr>
              <w:rFonts w:asciiTheme="minorHAnsi" w:eastAsiaTheme="minorEastAsia" w:hAnsiTheme="minorHAnsi"/>
              <w:b w:val="0"/>
              <w:kern w:val="2"/>
              <w:sz w:val="24"/>
              <w:szCs w:val="24"/>
              <w14:ligatures w14:val="standardContextual"/>
            </w:rPr>
          </w:pPr>
          <w:hyperlink w:anchor="_Toc211268661" w:history="1">
            <w:r>
              <w:rPr>
                <w:rStyle w:val="Hyperlink"/>
              </w:rPr>
              <w:t>4.5</w:t>
            </w:r>
            <w:r>
              <w:rPr>
                <w:rFonts w:asciiTheme="minorHAnsi" w:eastAsiaTheme="minorEastAsia" w:hAnsiTheme="minorHAnsi"/>
                <w:b w:val="0"/>
                <w:kern w:val="2"/>
                <w:sz w:val="24"/>
                <w:szCs w:val="24"/>
                <w14:ligatures w14:val="standardContextual"/>
              </w:rPr>
              <w:tab/>
            </w:r>
            <w:r>
              <w:rPr>
                <w:rStyle w:val="Hyperlink"/>
              </w:rPr>
              <w:t>Approach to Monitoring Daily Operational Performance</w:t>
            </w:r>
            <w:r>
              <w:rPr>
                <w:webHidden/>
              </w:rPr>
              <w:tab/>
            </w:r>
            <w:r>
              <w:rPr>
                <w:webHidden/>
              </w:rPr>
              <w:fldChar w:fldCharType="begin"/>
            </w:r>
            <w:r>
              <w:rPr>
                <w:webHidden/>
              </w:rPr>
              <w:instrText xml:space="preserve"> PAGEREF _Toc211268661 \h </w:instrText>
            </w:r>
            <w:r>
              <w:rPr>
                <w:webHidden/>
              </w:rPr>
            </w:r>
            <w:r>
              <w:rPr>
                <w:webHidden/>
              </w:rPr>
              <w:fldChar w:fldCharType="separate"/>
            </w:r>
            <w:r>
              <w:rPr>
                <w:webHidden/>
              </w:rPr>
              <w:t>20</w:t>
            </w:r>
            <w:r>
              <w:rPr>
                <w:webHidden/>
              </w:rPr>
              <w:fldChar w:fldCharType="end"/>
            </w:r>
          </w:hyperlink>
        </w:p>
        <w:p w14:paraId="6388D244" w14:textId="7EFCCEFB" w:rsidR="001E641C" w:rsidRDefault="001E641C">
          <w:pPr>
            <w:pStyle w:val="TOC3"/>
            <w:rPr>
              <w:rFonts w:asciiTheme="minorHAnsi" w:eastAsiaTheme="minorEastAsia" w:hAnsiTheme="minorHAnsi"/>
              <w:bCs w:val="0"/>
              <w:kern w:val="2"/>
              <w:sz w:val="24"/>
              <w:szCs w:val="24"/>
              <w14:ligatures w14:val="standardContextual"/>
            </w:rPr>
          </w:pPr>
          <w:hyperlink w:anchor="_Toc211268662" w:history="1">
            <w:r>
              <w:rPr>
                <w:rStyle w:val="Hyperlink"/>
              </w:rPr>
              <w:t>4.5.1</w:t>
            </w:r>
            <w:r>
              <w:rPr>
                <w:rFonts w:asciiTheme="minorHAnsi" w:eastAsiaTheme="minorEastAsia" w:hAnsiTheme="minorHAnsi"/>
                <w:bCs w:val="0"/>
                <w:kern w:val="2"/>
                <w:sz w:val="24"/>
                <w:szCs w:val="24"/>
                <w14:ligatures w14:val="standardContextual"/>
              </w:rPr>
              <w:tab/>
            </w:r>
            <w:r>
              <w:rPr>
                <w:rStyle w:val="Hyperlink"/>
              </w:rPr>
              <w:t>System Monitoring</w:t>
            </w:r>
            <w:r>
              <w:rPr>
                <w:webHidden/>
              </w:rPr>
              <w:tab/>
            </w:r>
            <w:r>
              <w:rPr>
                <w:webHidden/>
              </w:rPr>
              <w:fldChar w:fldCharType="begin"/>
            </w:r>
            <w:r>
              <w:rPr>
                <w:webHidden/>
              </w:rPr>
              <w:instrText xml:space="preserve"> PAGEREF _Toc211268662 \h </w:instrText>
            </w:r>
            <w:r>
              <w:rPr>
                <w:webHidden/>
              </w:rPr>
            </w:r>
            <w:r>
              <w:rPr>
                <w:webHidden/>
              </w:rPr>
              <w:fldChar w:fldCharType="separate"/>
            </w:r>
            <w:r>
              <w:rPr>
                <w:webHidden/>
              </w:rPr>
              <w:t>21</w:t>
            </w:r>
            <w:r>
              <w:rPr>
                <w:webHidden/>
              </w:rPr>
              <w:fldChar w:fldCharType="end"/>
            </w:r>
          </w:hyperlink>
        </w:p>
        <w:p w14:paraId="12F75F09" w14:textId="091E7D33" w:rsidR="001E641C" w:rsidRDefault="001E641C">
          <w:pPr>
            <w:pStyle w:val="TOC3"/>
            <w:rPr>
              <w:rFonts w:asciiTheme="minorHAnsi" w:eastAsiaTheme="minorEastAsia" w:hAnsiTheme="minorHAnsi"/>
              <w:bCs w:val="0"/>
              <w:kern w:val="2"/>
              <w:sz w:val="24"/>
              <w:szCs w:val="24"/>
              <w14:ligatures w14:val="standardContextual"/>
            </w:rPr>
          </w:pPr>
          <w:hyperlink w:anchor="_Toc211268663" w:history="1">
            <w:r>
              <w:rPr>
                <w:rStyle w:val="Hyperlink"/>
              </w:rPr>
              <w:t>4.5.2</w:t>
            </w:r>
            <w:r>
              <w:rPr>
                <w:rFonts w:asciiTheme="minorHAnsi" w:eastAsiaTheme="minorEastAsia" w:hAnsiTheme="minorHAnsi"/>
                <w:bCs w:val="0"/>
                <w:kern w:val="2"/>
                <w:sz w:val="24"/>
                <w:szCs w:val="24"/>
                <w14:ligatures w14:val="standardContextual"/>
              </w:rPr>
              <w:tab/>
            </w:r>
            <w:r>
              <w:rPr>
                <w:rStyle w:val="Hyperlink"/>
              </w:rPr>
              <w:t>Infrastructure Monitoring</w:t>
            </w:r>
            <w:r>
              <w:rPr>
                <w:webHidden/>
              </w:rPr>
              <w:tab/>
            </w:r>
            <w:r>
              <w:rPr>
                <w:webHidden/>
              </w:rPr>
              <w:fldChar w:fldCharType="begin"/>
            </w:r>
            <w:r>
              <w:rPr>
                <w:webHidden/>
              </w:rPr>
              <w:instrText xml:space="preserve"> PAGEREF _Toc211268663 \h </w:instrText>
            </w:r>
            <w:r>
              <w:rPr>
                <w:webHidden/>
              </w:rPr>
            </w:r>
            <w:r>
              <w:rPr>
                <w:webHidden/>
              </w:rPr>
              <w:fldChar w:fldCharType="separate"/>
            </w:r>
            <w:r>
              <w:rPr>
                <w:webHidden/>
              </w:rPr>
              <w:t>21</w:t>
            </w:r>
            <w:r>
              <w:rPr>
                <w:webHidden/>
              </w:rPr>
              <w:fldChar w:fldCharType="end"/>
            </w:r>
          </w:hyperlink>
        </w:p>
        <w:p w14:paraId="37059810" w14:textId="65E227B6" w:rsidR="001E641C" w:rsidRDefault="001E641C">
          <w:pPr>
            <w:pStyle w:val="TOC3"/>
            <w:rPr>
              <w:rFonts w:asciiTheme="minorHAnsi" w:eastAsiaTheme="minorEastAsia" w:hAnsiTheme="minorHAnsi"/>
              <w:bCs w:val="0"/>
              <w:kern w:val="2"/>
              <w:sz w:val="24"/>
              <w:szCs w:val="24"/>
              <w14:ligatures w14:val="standardContextual"/>
            </w:rPr>
          </w:pPr>
          <w:hyperlink w:anchor="_Toc211268664" w:history="1">
            <w:r>
              <w:rPr>
                <w:rStyle w:val="Hyperlink"/>
              </w:rPr>
              <w:t>4.5.3</w:t>
            </w:r>
            <w:r>
              <w:rPr>
                <w:rFonts w:asciiTheme="minorHAnsi" w:eastAsiaTheme="minorEastAsia" w:hAnsiTheme="minorHAnsi"/>
                <w:bCs w:val="0"/>
                <w:kern w:val="2"/>
                <w:sz w:val="24"/>
                <w:szCs w:val="24"/>
                <w14:ligatures w14:val="standardContextual"/>
              </w:rPr>
              <w:tab/>
            </w:r>
            <w:r>
              <w:rPr>
                <w:rStyle w:val="Hyperlink"/>
              </w:rPr>
              <w:t>Application Monitoring</w:t>
            </w:r>
            <w:r>
              <w:rPr>
                <w:webHidden/>
              </w:rPr>
              <w:tab/>
            </w:r>
            <w:r>
              <w:rPr>
                <w:webHidden/>
              </w:rPr>
              <w:fldChar w:fldCharType="begin"/>
            </w:r>
            <w:r>
              <w:rPr>
                <w:webHidden/>
              </w:rPr>
              <w:instrText xml:space="preserve"> PAGEREF _Toc211268664 \h </w:instrText>
            </w:r>
            <w:r>
              <w:rPr>
                <w:webHidden/>
              </w:rPr>
            </w:r>
            <w:r>
              <w:rPr>
                <w:webHidden/>
              </w:rPr>
              <w:fldChar w:fldCharType="separate"/>
            </w:r>
            <w:r>
              <w:rPr>
                <w:webHidden/>
              </w:rPr>
              <w:t>21</w:t>
            </w:r>
            <w:r>
              <w:rPr>
                <w:webHidden/>
              </w:rPr>
              <w:fldChar w:fldCharType="end"/>
            </w:r>
          </w:hyperlink>
        </w:p>
        <w:p w14:paraId="6CA775B3" w14:textId="010CED61" w:rsidR="001E641C" w:rsidRDefault="001E641C">
          <w:pPr>
            <w:pStyle w:val="TOC3"/>
            <w:rPr>
              <w:rFonts w:asciiTheme="minorHAnsi" w:eastAsiaTheme="minorEastAsia" w:hAnsiTheme="minorHAnsi"/>
              <w:bCs w:val="0"/>
              <w:kern w:val="2"/>
              <w:sz w:val="24"/>
              <w:szCs w:val="24"/>
              <w14:ligatures w14:val="standardContextual"/>
            </w:rPr>
          </w:pPr>
          <w:hyperlink w:anchor="_Toc211268665" w:history="1">
            <w:r>
              <w:rPr>
                <w:rStyle w:val="Hyperlink"/>
              </w:rPr>
              <w:t>4.5.4</w:t>
            </w:r>
            <w:r>
              <w:rPr>
                <w:rFonts w:asciiTheme="minorHAnsi" w:eastAsiaTheme="minorEastAsia" w:hAnsiTheme="minorHAnsi"/>
                <w:bCs w:val="0"/>
                <w:kern w:val="2"/>
                <w:sz w:val="24"/>
                <w:szCs w:val="24"/>
                <w14:ligatures w14:val="standardContextual"/>
              </w:rPr>
              <w:tab/>
            </w:r>
            <w:r>
              <w:rPr>
                <w:rStyle w:val="Hyperlink"/>
              </w:rPr>
              <w:t>Security Monitoring</w:t>
            </w:r>
            <w:r>
              <w:rPr>
                <w:webHidden/>
              </w:rPr>
              <w:tab/>
            </w:r>
            <w:r>
              <w:rPr>
                <w:webHidden/>
              </w:rPr>
              <w:fldChar w:fldCharType="begin"/>
            </w:r>
            <w:r>
              <w:rPr>
                <w:webHidden/>
              </w:rPr>
              <w:instrText xml:space="preserve"> PAGEREF _Toc211268665 \h </w:instrText>
            </w:r>
            <w:r>
              <w:rPr>
                <w:webHidden/>
              </w:rPr>
            </w:r>
            <w:r>
              <w:rPr>
                <w:webHidden/>
              </w:rPr>
              <w:fldChar w:fldCharType="separate"/>
            </w:r>
            <w:r>
              <w:rPr>
                <w:webHidden/>
              </w:rPr>
              <w:t>21</w:t>
            </w:r>
            <w:r>
              <w:rPr>
                <w:webHidden/>
              </w:rPr>
              <w:fldChar w:fldCharType="end"/>
            </w:r>
          </w:hyperlink>
        </w:p>
        <w:p w14:paraId="6F5B56B3" w14:textId="307B9A80" w:rsidR="001E641C" w:rsidRDefault="001E641C">
          <w:pPr>
            <w:pStyle w:val="TOC3"/>
            <w:rPr>
              <w:rFonts w:asciiTheme="minorHAnsi" w:eastAsiaTheme="minorEastAsia" w:hAnsiTheme="minorHAnsi"/>
              <w:bCs w:val="0"/>
              <w:kern w:val="2"/>
              <w:sz w:val="24"/>
              <w:szCs w:val="24"/>
              <w14:ligatures w14:val="standardContextual"/>
            </w:rPr>
          </w:pPr>
          <w:hyperlink w:anchor="_Toc211268666" w:history="1">
            <w:r>
              <w:rPr>
                <w:rStyle w:val="Hyperlink"/>
              </w:rPr>
              <w:t>4.5.5</w:t>
            </w:r>
            <w:r>
              <w:rPr>
                <w:rFonts w:asciiTheme="minorHAnsi" w:eastAsiaTheme="minorEastAsia" w:hAnsiTheme="minorHAnsi"/>
                <w:bCs w:val="0"/>
                <w:kern w:val="2"/>
                <w:sz w:val="24"/>
                <w:szCs w:val="24"/>
                <w14:ligatures w14:val="standardContextual"/>
              </w:rPr>
              <w:tab/>
            </w:r>
            <w:r>
              <w:rPr>
                <w:rStyle w:val="Hyperlink"/>
              </w:rPr>
              <w:t>Operational Reports</w:t>
            </w:r>
            <w:r>
              <w:rPr>
                <w:webHidden/>
              </w:rPr>
              <w:tab/>
            </w:r>
            <w:r>
              <w:rPr>
                <w:webHidden/>
              </w:rPr>
              <w:fldChar w:fldCharType="begin"/>
            </w:r>
            <w:r>
              <w:rPr>
                <w:webHidden/>
              </w:rPr>
              <w:instrText xml:space="preserve"> PAGEREF _Toc211268666 \h </w:instrText>
            </w:r>
            <w:r>
              <w:rPr>
                <w:webHidden/>
              </w:rPr>
            </w:r>
            <w:r>
              <w:rPr>
                <w:webHidden/>
              </w:rPr>
              <w:fldChar w:fldCharType="separate"/>
            </w:r>
            <w:r>
              <w:rPr>
                <w:webHidden/>
              </w:rPr>
              <w:t>21</w:t>
            </w:r>
            <w:r>
              <w:rPr>
                <w:webHidden/>
              </w:rPr>
              <w:fldChar w:fldCharType="end"/>
            </w:r>
          </w:hyperlink>
        </w:p>
        <w:p w14:paraId="1E1A08D7" w14:textId="6B54F3AF" w:rsidR="001E641C" w:rsidRDefault="001E641C">
          <w:pPr>
            <w:pStyle w:val="TOC2"/>
            <w:rPr>
              <w:rFonts w:asciiTheme="minorHAnsi" w:eastAsiaTheme="minorEastAsia" w:hAnsiTheme="minorHAnsi"/>
              <w:b w:val="0"/>
              <w:kern w:val="2"/>
              <w:sz w:val="24"/>
              <w:szCs w:val="24"/>
              <w14:ligatures w14:val="standardContextual"/>
            </w:rPr>
          </w:pPr>
          <w:hyperlink w:anchor="_Toc211268667" w:history="1">
            <w:r>
              <w:rPr>
                <w:rStyle w:val="Hyperlink"/>
              </w:rPr>
              <w:t>4.6</w:t>
            </w:r>
            <w:r>
              <w:rPr>
                <w:rFonts w:asciiTheme="minorHAnsi" w:eastAsiaTheme="minorEastAsia" w:hAnsiTheme="minorHAnsi"/>
                <w:b w:val="0"/>
                <w:kern w:val="2"/>
                <w:sz w:val="24"/>
                <w:szCs w:val="24"/>
                <w14:ligatures w14:val="standardContextual"/>
              </w:rPr>
              <w:tab/>
            </w:r>
            <w:r>
              <w:rPr>
                <w:rStyle w:val="Hyperlink"/>
              </w:rPr>
              <w:t>Specifications and Process for Monthly Service Level Agreement Report</w:t>
            </w:r>
            <w:r>
              <w:rPr>
                <w:webHidden/>
              </w:rPr>
              <w:tab/>
            </w:r>
            <w:r>
              <w:rPr>
                <w:webHidden/>
              </w:rPr>
              <w:fldChar w:fldCharType="begin"/>
            </w:r>
            <w:r>
              <w:rPr>
                <w:webHidden/>
              </w:rPr>
              <w:instrText xml:space="preserve"> PAGEREF _Toc211268667 \h </w:instrText>
            </w:r>
            <w:r>
              <w:rPr>
                <w:webHidden/>
              </w:rPr>
            </w:r>
            <w:r>
              <w:rPr>
                <w:webHidden/>
              </w:rPr>
              <w:fldChar w:fldCharType="separate"/>
            </w:r>
            <w:r>
              <w:rPr>
                <w:webHidden/>
              </w:rPr>
              <w:t>22</w:t>
            </w:r>
            <w:r>
              <w:rPr>
                <w:webHidden/>
              </w:rPr>
              <w:fldChar w:fldCharType="end"/>
            </w:r>
          </w:hyperlink>
        </w:p>
        <w:p w14:paraId="67D1E4AA" w14:textId="145C0B15" w:rsidR="001E641C" w:rsidRDefault="001E641C">
          <w:pPr>
            <w:pStyle w:val="TOC1"/>
            <w:rPr>
              <w:rFonts w:asciiTheme="minorHAnsi" w:eastAsiaTheme="minorEastAsia" w:hAnsiTheme="minorHAnsi" w:cstheme="minorBidi"/>
              <w:b w:val="0"/>
              <w:bCs w:val="0"/>
              <w:kern w:val="2"/>
              <w:sz w:val="24"/>
              <w:szCs w:val="24"/>
              <w14:ligatures w14:val="standardContextual"/>
            </w:rPr>
          </w:pPr>
          <w:hyperlink w:anchor="_Toc211268668" w:history="1">
            <w:r>
              <w:rPr>
                <w:rStyle w:val="Hyperlink"/>
              </w:rPr>
              <w:t>5</w:t>
            </w:r>
            <w:r>
              <w:rPr>
                <w:rFonts w:asciiTheme="minorHAnsi" w:eastAsiaTheme="minorEastAsia" w:hAnsiTheme="minorHAnsi" w:cstheme="minorBidi"/>
                <w:b w:val="0"/>
                <w:bCs w:val="0"/>
                <w:kern w:val="2"/>
                <w:sz w:val="24"/>
                <w:szCs w:val="24"/>
                <w14:ligatures w14:val="standardContextual"/>
              </w:rPr>
              <w:tab/>
            </w:r>
            <w:r>
              <w:rPr>
                <w:rStyle w:val="Hyperlink"/>
              </w:rPr>
              <w:t>Appendix</w:t>
            </w:r>
            <w:r>
              <w:rPr>
                <w:webHidden/>
              </w:rPr>
              <w:tab/>
            </w:r>
            <w:r>
              <w:rPr>
                <w:webHidden/>
              </w:rPr>
              <w:fldChar w:fldCharType="begin"/>
            </w:r>
            <w:r>
              <w:rPr>
                <w:webHidden/>
              </w:rPr>
              <w:instrText xml:space="preserve"> PAGEREF _Toc211268668 \h </w:instrText>
            </w:r>
            <w:r>
              <w:rPr>
                <w:webHidden/>
              </w:rPr>
            </w:r>
            <w:r>
              <w:rPr>
                <w:webHidden/>
              </w:rPr>
              <w:fldChar w:fldCharType="separate"/>
            </w:r>
            <w:r>
              <w:rPr>
                <w:webHidden/>
              </w:rPr>
              <w:t>23</w:t>
            </w:r>
            <w:r>
              <w:rPr>
                <w:webHidden/>
              </w:rPr>
              <w:fldChar w:fldCharType="end"/>
            </w:r>
          </w:hyperlink>
        </w:p>
        <w:p w14:paraId="7A3E2F50" w14:textId="6ED3FC55" w:rsidR="001E641C" w:rsidRDefault="001E641C">
          <w:pPr>
            <w:pStyle w:val="TOC2"/>
            <w:rPr>
              <w:rFonts w:asciiTheme="minorHAnsi" w:eastAsiaTheme="minorEastAsia" w:hAnsiTheme="minorHAnsi"/>
              <w:b w:val="0"/>
              <w:kern w:val="2"/>
              <w:sz w:val="24"/>
              <w:szCs w:val="24"/>
              <w14:ligatures w14:val="standardContextual"/>
            </w:rPr>
          </w:pPr>
          <w:hyperlink w:anchor="_Toc211268669" w:history="1">
            <w:r>
              <w:rPr>
                <w:rStyle w:val="Hyperlink"/>
              </w:rPr>
              <w:t>5.1</w:t>
            </w:r>
            <w:r>
              <w:rPr>
                <w:rFonts w:asciiTheme="minorHAnsi" w:eastAsiaTheme="minorEastAsia" w:hAnsiTheme="minorHAnsi"/>
                <w:b w:val="0"/>
                <w:kern w:val="2"/>
                <w:sz w:val="24"/>
                <w:szCs w:val="24"/>
                <w14:ligatures w14:val="standardContextual"/>
              </w:rPr>
              <w:tab/>
            </w:r>
            <w:r>
              <w:rPr>
                <w:rStyle w:val="Hyperlink"/>
              </w:rPr>
              <w:t>Appendix A: Terms and Definitions</w:t>
            </w:r>
            <w:r>
              <w:rPr>
                <w:webHidden/>
              </w:rPr>
              <w:tab/>
            </w:r>
            <w:r>
              <w:rPr>
                <w:webHidden/>
              </w:rPr>
              <w:fldChar w:fldCharType="begin"/>
            </w:r>
            <w:r>
              <w:rPr>
                <w:webHidden/>
              </w:rPr>
              <w:instrText xml:space="preserve"> PAGEREF _Toc211268669 \h </w:instrText>
            </w:r>
            <w:r>
              <w:rPr>
                <w:webHidden/>
              </w:rPr>
            </w:r>
            <w:r>
              <w:rPr>
                <w:webHidden/>
              </w:rPr>
              <w:fldChar w:fldCharType="separate"/>
            </w:r>
            <w:r>
              <w:rPr>
                <w:webHidden/>
              </w:rPr>
              <w:t>23</w:t>
            </w:r>
            <w:r>
              <w:rPr>
                <w:webHidden/>
              </w:rPr>
              <w:fldChar w:fldCharType="end"/>
            </w:r>
          </w:hyperlink>
        </w:p>
        <w:p w14:paraId="3EA9FCEF" w14:textId="4D1FF161" w:rsidR="001E641C" w:rsidRDefault="001E641C">
          <w:pPr>
            <w:pStyle w:val="TOC2"/>
            <w:rPr>
              <w:rFonts w:asciiTheme="minorHAnsi" w:eastAsiaTheme="minorEastAsia" w:hAnsiTheme="minorHAnsi"/>
              <w:b w:val="0"/>
              <w:kern w:val="2"/>
              <w:sz w:val="24"/>
              <w:szCs w:val="24"/>
              <w14:ligatures w14:val="standardContextual"/>
            </w:rPr>
          </w:pPr>
          <w:hyperlink w:anchor="_Toc211268670" w:history="1">
            <w:r>
              <w:rPr>
                <w:rStyle w:val="Hyperlink"/>
              </w:rPr>
              <w:t>5.2</w:t>
            </w:r>
            <w:r>
              <w:rPr>
                <w:rFonts w:asciiTheme="minorHAnsi" w:eastAsiaTheme="minorEastAsia" w:hAnsiTheme="minorHAnsi"/>
                <w:b w:val="0"/>
                <w:kern w:val="2"/>
                <w:sz w:val="24"/>
                <w:szCs w:val="24"/>
                <w14:ligatures w14:val="standardContextual"/>
              </w:rPr>
              <w:tab/>
            </w:r>
            <w:r>
              <w:rPr>
                <w:rStyle w:val="Hyperlink"/>
              </w:rPr>
              <w:t>Appendix B: Reference Documents, Deliverables, and Artifacts Associated with the Maintenance &amp; Operations Run Book</w:t>
            </w:r>
            <w:r>
              <w:rPr>
                <w:webHidden/>
              </w:rPr>
              <w:tab/>
            </w:r>
            <w:r>
              <w:rPr>
                <w:webHidden/>
              </w:rPr>
              <w:fldChar w:fldCharType="begin"/>
            </w:r>
            <w:r>
              <w:rPr>
                <w:webHidden/>
              </w:rPr>
              <w:instrText xml:space="preserve"> PAGEREF _Toc211268670 \h </w:instrText>
            </w:r>
            <w:r>
              <w:rPr>
                <w:webHidden/>
              </w:rPr>
            </w:r>
            <w:r>
              <w:rPr>
                <w:webHidden/>
              </w:rPr>
              <w:fldChar w:fldCharType="separate"/>
            </w:r>
            <w:r>
              <w:rPr>
                <w:webHidden/>
              </w:rPr>
              <w:t>25</w:t>
            </w:r>
            <w:r>
              <w:rPr>
                <w:webHidden/>
              </w:rPr>
              <w:fldChar w:fldCharType="end"/>
            </w:r>
          </w:hyperlink>
        </w:p>
        <w:p w14:paraId="6EFBF0EC" w14:textId="1A5933D2" w:rsidR="006A0EBE" w:rsidRPr="00F97E04" w:rsidRDefault="00B0526D" w:rsidP="00FC3F08">
          <w:r>
            <w:fldChar w:fldCharType="end"/>
          </w:r>
        </w:p>
      </w:sdtContent>
    </w:sdt>
    <w:p w14:paraId="525682FF" w14:textId="77777777" w:rsidR="006F22D6" w:rsidRPr="00F97E04" w:rsidRDefault="009063FB" w:rsidP="000B250B">
      <w:pPr>
        <w:pStyle w:val="TOCHeading"/>
      </w:pPr>
      <w:r>
        <w:t>Table of Tables</w:t>
      </w:r>
    </w:p>
    <w:p w14:paraId="59F94B32" w14:textId="3818D6CD" w:rsidR="001E641C" w:rsidRDefault="00FC3F08">
      <w:pPr>
        <w:pStyle w:val="TableofFigures"/>
        <w:rPr>
          <w:rFonts w:asciiTheme="minorHAnsi" w:eastAsiaTheme="minorEastAsia" w:hAnsiTheme="minorHAnsi"/>
          <w:kern w:val="2"/>
          <w:sz w:val="24"/>
          <w:szCs w:val="24"/>
          <w14:ligatures w14:val="standardContextual"/>
        </w:rPr>
      </w:pPr>
      <w:r>
        <w:rPr>
          <w:noProof w:val="0"/>
        </w:rPr>
        <w:fldChar w:fldCharType="begin"/>
      </w:r>
      <w:r>
        <w:rPr>
          <w:noProof w:val="0"/>
        </w:rPr>
        <w:instrText xml:space="preserve"> TOC \h \z \c "Table" </w:instrText>
      </w:r>
      <w:r>
        <w:rPr>
          <w:noProof w:val="0"/>
        </w:rPr>
        <w:fldChar w:fldCharType="separate"/>
      </w:r>
      <w:hyperlink w:anchor="_Toc211268671" w:history="1">
        <w:r>
          <w:rPr>
            <w:rStyle w:val="Hyperlink"/>
          </w:rPr>
          <w:t>Table 3</w:t>
        </w:r>
        <w:r>
          <w:rPr>
            <w:rStyle w:val="Hyperlink"/>
          </w:rPr>
          <w:noBreakHyphen/>
          <w:t>1: System Availability</w:t>
        </w:r>
        <w:r>
          <w:rPr>
            <w:webHidden/>
          </w:rPr>
          <w:tab/>
        </w:r>
        <w:r>
          <w:rPr>
            <w:webHidden/>
          </w:rPr>
          <w:fldChar w:fldCharType="begin"/>
        </w:r>
        <w:r>
          <w:rPr>
            <w:webHidden/>
          </w:rPr>
          <w:instrText xml:space="preserve"> PAGEREF _Toc211268671 \h </w:instrText>
        </w:r>
        <w:r>
          <w:rPr>
            <w:webHidden/>
          </w:rPr>
        </w:r>
        <w:r>
          <w:rPr>
            <w:webHidden/>
          </w:rPr>
          <w:fldChar w:fldCharType="separate"/>
        </w:r>
        <w:r>
          <w:rPr>
            <w:webHidden/>
          </w:rPr>
          <w:t>9</w:t>
        </w:r>
        <w:r>
          <w:rPr>
            <w:webHidden/>
          </w:rPr>
          <w:fldChar w:fldCharType="end"/>
        </w:r>
      </w:hyperlink>
    </w:p>
    <w:p w14:paraId="4BC6A59D" w14:textId="7D58FBC2" w:rsidR="001E641C" w:rsidRDefault="001E641C">
      <w:pPr>
        <w:pStyle w:val="TableofFigures"/>
        <w:rPr>
          <w:rFonts w:asciiTheme="minorHAnsi" w:eastAsiaTheme="minorEastAsia" w:hAnsiTheme="minorHAnsi"/>
          <w:kern w:val="2"/>
          <w:sz w:val="24"/>
          <w:szCs w:val="24"/>
          <w14:ligatures w14:val="standardContextual"/>
        </w:rPr>
      </w:pPr>
      <w:hyperlink w:anchor="_Toc211268672" w:history="1">
        <w:r>
          <w:rPr>
            <w:rStyle w:val="Hyperlink"/>
          </w:rPr>
          <w:t>Table 4</w:t>
        </w:r>
        <w:r>
          <w:rPr>
            <w:rStyle w:val="Hyperlink"/>
          </w:rPr>
          <w:noBreakHyphen/>
          <w:t>1: General Operations</w:t>
        </w:r>
        <w:r>
          <w:rPr>
            <w:webHidden/>
          </w:rPr>
          <w:tab/>
        </w:r>
        <w:r>
          <w:rPr>
            <w:webHidden/>
          </w:rPr>
          <w:fldChar w:fldCharType="begin"/>
        </w:r>
        <w:r>
          <w:rPr>
            <w:webHidden/>
          </w:rPr>
          <w:instrText xml:space="preserve"> PAGEREF _Toc211268672 \h </w:instrText>
        </w:r>
        <w:r>
          <w:rPr>
            <w:webHidden/>
          </w:rPr>
        </w:r>
        <w:r>
          <w:rPr>
            <w:webHidden/>
          </w:rPr>
          <w:fldChar w:fldCharType="separate"/>
        </w:r>
        <w:r>
          <w:rPr>
            <w:webHidden/>
          </w:rPr>
          <w:t>11</w:t>
        </w:r>
        <w:r>
          <w:rPr>
            <w:webHidden/>
          </w:rPr>
          <w:fldChar w:fldCharType="end"/>
        </w:r>
      </w:hyperlink>
    </w:p>
    <w:p w14:paraId="1ECC59D2" w14:textId="168181D4" w:rsidR="001E641C" w:rsidRDefault="001E641C">
      <w:pPr>
        <w:pStyle w:val="TableofFigures"/>
        <w:rPr>
          <w:rFonts w:asciiTheme="minorHAnsi" w:eastAsiaTheme="minorEastAsia" w:hAnsiTheme="minorHAnsi"/>
          <w:kern w:val="2"/>
          <w:sz w:val="24"/>
          <w:szCs w:val="24"/>
          <w14:ligatures w14:val="standardContextual"/>
        </w:rPr>
      </w:pPr>
      <w:hyperlink w:anchor="_Toc211268673" w:history="1">
        <w:r>
          <w:rPr>
            <w:rStyle w:val="Hyperlink"/>
          </w:rPr>
          <w:t>Table 4</w:t>
        </w:r>
        <w:r>
          <w:rPr>
            <w:rStyle w:val="Hyperlink"/>
          </w:rPr>
          <w:noBreakHyphen/>
          <w:t>2: Communication and Documentation</w:t>
        </w:r>
        <w:r>
          <w:rPr>
            <w:webHidden/>
          </w:rPr>
          <w:tab/>
        </w:r>
        <w:r>
          <w:rPr>
            <w:webHidden/>
          </w:rPr>
          <w:fldChar w:fldCharType="begin"/>
        </w:r>
        <w:r>
          <w:rPr>
            <w:webHidden/>
          </w:rPr>
          <w:instrText xml:space="preserve"> PAGEREF _Toc211268673 \h </w:instrText>
        </w:r>
        <w:r>
          <w:rPr>
            <w:webHidden/>
          </w:rPr>
        </w:r>
        <w:r>
          <w:rPr>
            <w:webHidden/>
          </w:rPr>
          <w:fldChar w:fldCharType="separate"/>
        </w:r>
        <w:r>
          <w:rPr>
            <w:webHidden/>
          </w:rPr>
          <w:t>11</w:t>
        </w:r>
        <w:r>
          <w:rPr>
            <w:webHidden/>
          </w:rPr>
          <w:fldChar w:fldCharType="end"/>
        </w:r>
      </w:hyperlink>
    </w:p>
    <w:p w14:paraId="209E8257" w14:textId="1E0211EB" w:rsidR="001E641C" w:rsidRDefault="001E641C">
      <w:pPr>
        <w:pStyle w:val="TableofFigures"/>
        <w:rPr>
          <w:rFonts w:asciiTheme="minorHAnsi" w:eastAsiaTheme="minorEastAsia" w:hAnsiTheme="minorHAnsi"/>
          <w:kern w:val="2"/>
          <w:sz w:val="24"/>
          <w:szCs w:val="24"/>
          <w14:ligatures w14:val="standardContextual"/>
        </w:rPr>
      </w:pPr>
      <w:hyperlink w:anchor="_Toc211268674" w:history="1">
        <w:r>
          <w:rPr>
            <w:rStyle w:val="Hyperlink"/>
          </w:rPr>
          <w:t>Table 4</w:t>
        </w:r>
        <w:r>
          <w:rPr>
            <w:rStyle w:val="Hyperlink"/>
          </w:rPr>
          <w:noBreakHyphen/>
          <w:t>3: System Monitoring and Maintenance</w:t>
        </w:r>
        <w:r>
          <w:rPr>
            <w:webHidden/>
          </w:rPr>
          <w:tab/>
        </w:r>
        <w:r>
          <w:rPr>
            <w:webHidden/>
          </w:rPr>
          <w:fldChar w:fldCharType="begin"/>
        </w:r>
        <w:r>
          <w:rPr>
            <w:webHidden/>
          </w:rPr>
          <w:instrText xml:space="preserve"> PAGEREF _Toc211268674 \h </w:instrText>
        </w:r>
        <w:r>
          <w:rPr>
            <w:webHidden/>
          </w:rPr>
        </w:r>
        <w:r>
          <w:rPr>
            <w:webHidden/>
          </w:rPr>
          <w:fldChar w:fldCharType="separate"/>
        </w:r>
        <w:r>
          <w:rPr>
            <w:webHidden/>
          </w:rPr>
          <w:t>12</w:t>
        </w:r>
        <w:r>
          <w:rPr>
            <w:webHidden/>
          </w:rPr>
          <w:fldChar w:fldCharType="end"/>
        </w:r>
      </w:hyperlink>
    </w:p>
    <w:p w14:paraId="7BFB0E28" w14:textId="5F4108B3" w:rsidR="001E641C" w:rsidRDefault="001E641C">
      <w:pPr>
        <w:pStyle w:val="TableofFigures"/>
        <w:rPr>
          <w:rFonts w:asciiTheme="minorHAnsi" w:eastAsiaTheme="minorEastAsia" w:hAnsiTheme="minorHAnsi"/>
          <w:kern w:val="2"/>
          <w:sz w:val="24"/>
          <w:szCs w:val="24"/>
          <w14:ligatures w14:val="standardContextual"/>
        </w:rPr>
      </w:pPr>
      <w:hyperlink w:anchor="_Toc211268675" w:history="1">
        <w:r>
          <w:rPr>
            <w:rStyle w:val="Hyperlink"/>
          </w:rPr>
          <w:t>Table 4</w:t>
        </w:r>
        <w:r>
          <w:rPr>
            <w:rStyle w:val="Hyperlink"/>
          </w:rPr>
          <w:noBreakHyphen/>
          <w:t>4: Batch and Process Management</w:t>
        </w:r>
        <w:r>
          <w:rPr>
            <w:webHidden/>
          </w:rPr>
          <w:tab/>
        </w:r>
        <w:r>
          <w:rPr>
            <w:webHidden/>
          </w:rPr>
          <w:fldChar w:fldCharType="begin"/>
        </w:r>
        <w:r>
          <w:rPr>
            <w:webHidden/>
          </w:rPr>
          <w:instrText xml:space="preserve"> PAGEREF _Toc211268675 \h </w:instrText>
        </w:r>
        <w:r>
          <w:rPr>
            <w:webHidden/>
          </w:rPr>
        </w:r>
        <w:r>
          <w:rPr>
            <w:webHidden/>
          </w:rPr>
          <w:fldChar w:fldCharType="separate"/>
        </w:r>
        <w:r>
          <w:rPr>
            <w:webHidden/>
          </w:rPr>
          <w:t>13</w:t>
        </w:r>
        <w:r>
          <w:rPr>
            <w:webHidden/>
          </w:rPr>
          <w:fldChar w:fldCharType="end"/>
        </w:r>
      </w:hyperlink>
    </w:p>
    <w:p w14:paraId="695B0A77" w14:textId="23FF58D4" w:rsidR="001E641C" w:rsidRDefault="001E641C">
      <w:pPr>
        <w:pStyle w:val="TableofFigures"/>
        <w:rPr>
          <w:rFonts w:asciiTheme="minorHAnsi" w:eastAsiaTheme="minorEastAsia" w:hAnsiTheme="minorHAnsi"/>
          <w:kern w:val="2"/>
          <w:sz w:val="24"/>
          <w:szCs w:val="24"/>
          <w14:ligatures w14:val="standardContextual"/>
        </w:rPr>
      </w:pPr>
      <w:hyperlink w:anchor="_Toc211268676" w:history="1">
        <w:r>
          <w:rPr>
            <w:rStyle w:val="Hyperlink"/>
          </w:rPr>
          <w:t>Table 4</w:t>
        </w:r>
        <w:r>
          <w:rPr>
            <w:rStyle w:val="Hyperlink"/>
          </w:rPr>
          <w:noBreakHyphen/>
          <w:t>5: Quality Assurance and Improvement</w:t>
        </w:r>
        <w:r>
          <w:rPr>
            <w:webHidden/>
          </w:rPr>
          <w:tab/>
        </w:r>
        <w:r>
          <w:rPr>
            <w:webHidden/>
          </w:rPr>
          <w:fldChar w:fldCharType="begin"/>
        </w:r>
        <w:r>
          <w:rPr>
            <w:webHidden/>
          </w:rPr>
          <w:instrText xml:space="preserve"> PAGEREF _Toc211268676 \h </w:instrText>
        </w:r>
        <w:r>
          <w:rPr>
            <w:webHidden/>
          </w:rPr>
        </w:r>
        <w:r>
          <w:rPr>
            <w:webHidden/>
          </w:rPr>
          <w:fldChar w:fldCharType="separate"/>
        </w:r>
        <w:r>
          <w:rPr>
            <w:webHidden/>
          </w:rPr>
          <w:t>14</w:t>
        </w:r>
        <w:r>
          <w:rPr>
            <w:webHidden/>
          </w:rPr>
          <w:fldChar w:fldCharType="end"/>
        </w:r>
      </w:hyperlink>
    </w:p>
    <w:p w14:paraId="64AD73D6" w14:textId="047FB875" w:rsidR="001E641C" w:rsidRDefault="001E641C">
      <w:pPr>
        <w:pStyle w:val="TableofFigures"/>
        <w:rPr>
          <w:rFonts w:asciiTheme="minorHAnsi" w:eastAsiaTheme="minorEastAsia" w:hAnsiTheme="minorHAnsi"/>
          <w:kern w:val="2"/>
          <w:sz w:val="24"/>
          <w:szCs w:val="24"/>
          <w14:ligatures w14:val="standardContextual"/>
        </w:rPr>
      </w:pPr>
      <w:hyperlink w:anchor="_Toc211268677" w:history="1">
        <w:r>
          <w:rPr>
            <w:rStyle w:val="Hyperlink"/>
          </w:rPr>
          <w:t>Table 4</w:t>
        </w:r>
        <w:r>
          <w:rPr>
            <w:rStyle w:val="Hyperlink"/>
          </w:rPr>
          <w:noBreakHyphen/>
          <w:t>6: Release Management</w:t>
        </w:r>
        <w:r>
          <w:rPr>
            <w:webHidden/>
          </w:rPr>
          <w:tab/>
        </w:r>
        <w:r>
          <w:rPr>
            <w:webHidden/>
          </w:rPr>
          <w:fldChar w:fldCharType="begin"/>
        </w:r>
        <w:r>
          <w:rPr>
            <w:webHidden/>
          </w:rPr>
          <w:instrText xml:space="preserve"> PAGEREF _Toc211268677 \h </w:instrText>
        </w:r>
        <w:r>
          <w:rPr>
            <w:webHidden/>
          </w:rPr>
        </w:r>
        <w:r>
          <w:rPr>
            <w:webHidden/>
          </w:rPr>
          <w:fldChar w:fldCharType="separate"/>
        </w:r>
        <w:r>
          <w:rPr>
            <w:webHidden/>
          </w:rPr>
          <w:t>14</w:t>
        </w:r>
        <w:r>
          <w:rPr>
            <w:webHidden/>
          </w:rPr>
          <w:fldChar w:fldCharType="end"/>
        </w:r>
      </w:hyperlink>
    </w:p>
    <w:p w14:paraId="6D41B534" w14:textId="0C3D7F4D" w:rsidR="001E641C" w:rsidRDefault="001E641C">
      <w:pPr>
        <w:pStyle w:val="TableofFigures"/>
        <w:rPr>
          <w:rFonts w:asciiTheme="minorHAnsi" w:eastAsiaTheme="minorEastAsia" w:hAnsiTheme="minorHAnsi"/>
          <w:kern w:val="2"/>
          <w:sz w:val="24"/>
          <w:szCs w:val="24"/>
          <w14:ligatures w14:val="standardContextual"/>
        </w:rPr>
      </w:pPr>
      <w:hyperlink w:anchor="_Toc211268678" w:history="1">
        <w:r>
          <w:rPr>
            <w:rStyle w:val="Hyperlink"/>
          </w:rPr>
          <w:t>Table 4</w:t>
        </w:r>
        <w:r>
          <w:rPr>
            <w:rStyle w:val="Hyperlink"/>
          </w:rPr>
          <w:noBreakHyphen/>
          <w:t>7: Production Defect and Incident Management</w:t>
        </w:r>
        <w:r>
          <w:rPr>
            <w:webHidden/>
          </w:rPr>
          <w:tab/>
        </w:r>
        <w:r>
          <w:rPr>
            <w:webHidden/>
          </w:rPr>
          <w:fldChar w:fldCharType="begin"/>
        </w:r>
        <w:r>
          <w:rPr>
            <w:webHidden/>
          </w:rPr>
          <w:instrText xml:space="preserve"> PAGEREF _Toc211268678 \h </w:instrText>
        </w:r>
        <w:r>
          <w:rPr>
            <w:webHidden/>
          </w:rPr>
        </w:r>
        <w:r>
          <w:rPr>
            <w:webHidden/>
          </w:rPr>
          <w:fldChar w:fldCharType="separate"/>
        </w:r>
        <w:r>
          <w:rPr>
            <w:webHidden/>
          </w:rPr>
          <w:t>15</w:t>
        </w:r>
        <w:r>
          <w:rPr>
            <w:webHidden/>
          </w:rPr>
          <w:fldChar w:fldCharType="end"/>
        </w:r>
      </w:hyperlink>
    </w:p>
    <w:p w14:paraId="0CD16B47" w14:textId="4F0BD8B3" w:rsidR="001E641C" w:rsidRDefault="001E641C">
      <w:pPr>
        <w:pStyle w:val="TableofFigures"/>
        <w:rPr>
          <w:rFonts w:asciiTheme="minorHAnsi" w:eastAsiaTheme="minorEastAsia" w:hAnsiTheme="minorHAnsi"/>
          <w:kern w:val="2"/>
          <w:sz w:val="24"/>
          <w:szCs w:val="24"/>
          <w14:ligatures w14:val="standardContextual"/>
        </w:rPr>
      </w:pPr>
      <w:hyperlink w:anchor="_Toc211268679" w:history="1">
        <w:r>
          <w:rPr>
            <w:rStyle w:val="Hyperlink"/>
          </w:rPr>
          <w:t>Table 4</w:t>
        </w:r>
        <w:r>
          <w:rPr>
            <w:rStyle w:val="Hyperlink"/>
          </w:rPr>
          <w:noBreakHyphen/>
          <w:t>8: Security Compliance and Documentation</w:t>
        </w:r>
        <w:r>
          <w:rPr>
            <w:webHidden/>
          </w:rPr>
          <w:tab/>
        </w:r>
        <w:r>
          <w:rPr>
            <w:webHidden/>
          </w:rPr>
          <w:fldChar w:fldCharType="begin"/>
        </w:r>
        <w:r>
          <w:rPr>
            <w:webHidden/>
          </w:rPr>
          <w:instrText xml:space="preserve"> PAGEREF _Toc211268679 \h </w:instrText>
        </w:r>
        <w:r>
          <w:rPr>
            <w:webHidden/>
          </w:rPr>
        </w:r>
        <w:r>
          <w:rPr>
            <w:webHidden/>
          </w:rPr>
          <w:fldChar w:fldCharType="separate"/>
        </w:r>
        <w:r>
          <w:rPr>
            <w:webHidden/>
          </w:rPr>
          <w:t>15</w:t>
        </w:r>
        <w:r>
          <w:rPr>
            <w:webHidden/>
          </w:rPr>
          <w:fldChar w:fldCharType="end"/>
        </w:r>
      </w:hyperlink>
    </w:p>
    <w:p w14:paraId="590D3F1C" w14:textId="54CFB434" w:rsidR="001E641C" w:rsidRDefault="001E641C">
      <w:pPr>
        <w:pStyle w:val="TableofFigures"/>
        <w:rPr>
          <w:rFonts w:asciiTheme="minorHAnsi" w:eastAsiaTheme="minorEastAsia" w:hAnsiTheme="minorHAnsi"/>
          <w:kern w:val="2"/>
          <w:sz w:val="24"/>
          <w:szCs w:val="24"/>
          <w14:ligatures w14:val="standardContextual"/>
        </w:rPr>
      </w:pPr>
      <w:hyperlink w:anchor="_Toc211268680" w:history="1">
        <w:r>
          <w:rPr>
            <w:rStyle w:val="Hyperlink"/>
          </w:rPr>
          <w:t>Table 4</w:t>
        </w:r>
        <w:r>
          <w:rPr>
            <w:rStyle w:val="Hyperlink"/>
          </w:rPr>
          <w:noBreakHyphen/>
          <w:t>9: Security Scanning</w:t>
        </w:r>
        <w:r>
          <w:rPr>
            <w:webHidden/>
          </w:rPr>
          <w:tab/>
        </w:r>
        <w:r>
          <w:rPr>
            <w:webHidden/>
          </w:rPr>
          <w:fldChar w:fldCharType="begin"/>
        </w:r>
        <w:r>
          <w:rPr>
            <w:webHidden/>
          </w:rPr>
          <w:instrText xml:space="preserve"> PAGEREF _Toc211268680 \h </w:instrText>
        </w:r>
        <w:r>
          <w:rPr>
            <w:webHidden/>
          </w:rPr>
        </w:r>
        <w:r>
          <w:rPr>
            <w:webHidden/>
          </w:rPr>
          <w:fldChar w:fldCharType="separate"/>
        </w:r>
        <w:r>
          <w:rPr>
            <w:webHidden/>
          </w:rPr>
          <w:t>16</w:t>
        </w:r>
        <w:r>
          <w:rPr>
            <w:webHidden/>
          </w:rPr>
          <w:fldChar w:fldCharType="end"/>
        </w:r>
      </w:hyperlink>
    </w:p>
    <w:p w14:paraId="6C3AF77A" w14:textId="4087F69C" w:rsidR="001E641C" w:rsidRDefault="001E641C">
      <w:pPr>
        <w:pStyle w:val="TableofFigures"/>
        <w:rPr>
          <w:rFonts w:asciiTheme="minorHAnsi" w:eastAsiaTheme="minorEastAsia" w:hAnsiTheme="minorHAnsi"/>
          <w:kern w:val="2"/>
          <w:sz w:val="24"/>
          <w:szCs w:val="24"/>
          <w14:ligatures w14:val="standardContextual"/>
        </w:rPr>
      </w:pPr>
      <w:hyperlink w:anchor="_Toc211268681" w:history="1">
        <w:r>
          <w:rPr>
            <w:rStyle w:val="Hyperlink"/>
          </w:rPr>
          <w:t>Table 4</w:t>
        </w:r>
        <w:r>
          <w:rPr>
            <w:rStyle w:val="Hyperlink"/>
          </w:rPr>
          <w:noBreakHyphen/>
          <w:t>10: Security Access Management</w:t>
        </w:r>
        <w:r>
          <w:rPr>
            <w:webHidden/>
          </w:rPr>
          <w:tab/>
        </w:r>
        <w:r>
          <w:rPr>
            <w:webHidden/>
          </w:rPr>
          <w:fldChar w:fldCharType="begin"/>
        </w:r>
        <w:r>
          <w:rPr>
            <w:webHidden/>
          </w:rPr>
          <w:instrText xml:space="preserve"> PAGEREF _Toc211268681 \h </w:instrText>
        </w:r>
        <w:r>
          <w:rPr>
            <w:webHidden/>
          </w:rPr>
        </w:r>
        <w:r>
          <w:rPr>
            <w:webHidden/>
          </w:rPr>
          <w:fldChar w:fldCharType="separate"/>
        </w:r>
        <w:r>
          <w:rPr>
            <w:webHidden/>
          </w:rPr>
          <w:t>16</w:t>
        </w:r>
        <w:r>
          <w:rPr>
            <w:webHidden/>
          </w:rPr>
          <w:fldChar w:fldCharType="end"/>
        </w:r>
      </w:hyperlink>
    </w:p>
    <w:p w14:paraId="2D34E926" w14:textId="6CE4CF87" w:rsidR="001E641C" w:rsidRDefault="001E641C">
      <w:pPr>
        <w:pStyle w:val="TableofFigures"/>
        <w:rPr>
          <w:rFonts w:asciiTheme="minorHAnsi" w:eastAsiaTheme="minorEastAsia" w:hAnsiTheme="minorHAnsi"/>
          <w:kern w:val="2"/>
          <w:sz w:val="24"/>
          <w:szCs w:val="24"/>
          <w14:ligatures w14:val="standardContextual"/>
        </w:rPr>
      </w:pPr>
      <w:hyperlink w:anchor="_Toc211268682" w:history="1">
        <w:r>
          <w:rPr>
            <w:rStyle w:val="Hyperlink"/>
          </w:rPr>
          <w:t>Table 4</w:t>
        </w:r>
        <w:r>
          <w:rPr>
            <w:rStyle w:val="Hyperlink"/>
          </w:rPr>
          <w:noBreakHyphen/>
          <w:t>11: Security Incident Management</w:t>
        </w:r>
        <w:r>
          <w:rPr>
            <w:webHidden/>
          </w:rPr>
          <w:tab/>
        </w:r>
        <w:r>
          <w:rPr>
            <w:webHidden/>
          </w:rPr>
          <w:fldChar w:fldCharType="begin"/>
        </w:r>
        <w:r>
          <w:rPr>
            <w:webHidden/>
          </w:rPr>
          <w:instrText xml:space="preserve"> PAGEREF _Toc211268682 \h </w:instrText>
        </w:r>
        <w:r>
          <w:rPr>
            <w:webHidden/>
          </w:rPr>
        </w:r>
        <w:r>
          <w:rPr>
            <w:webHidden/>
          </w:rPr>
          <w:fldChar w:fldCharType="separate"/>
        </w:r>
        <w:r>
          <w:rPr>
            <w:webHidden/>
          </w:rPr>
          <w:t>17</w:t>
        </w:r>
        <w:r>
          <w:rPr>
            <w:webHidden/>
          </w:rPr>
          <w:fldChar w:fldCharType="end"/>
        </w:r>
      </w:hyperlink>
    </w:p>
    <w:p w14:paraId="61E12AF3" w14:textId="3FB53778" w:rsidR="001E641C" w:rsidRDefault="001E641C">
      <w:pPr>
        <w:pStyle w:val="TableofFigures"/>
        <w:rPr>
          <w:rFonts w:asciiTheme="minorHAnsi" w:eastAsiaTheme="minorEastAsia" w:hAnsiTheme="minorHAnsi"/>
          <w:kern w:val="2"/>
          <w:sz w:val="24"/>
          <w:szCs w:val="24"/>
          <w14:ligatures w14:val="standardContextual"/>
        </w:rPr>
      </w:pPr>
      <w:hyperlink w:anchor="_Toc211268683" w:history="1">
        <w:r>
          <w:rPr>
            <w:rStyle w:val="Hyperlink"/>
          </w:rPr>
          <w:t>Table 4</w:t>
        </w:r>
        <w:r>
          <w:rPr>
            <w:rStyle w:val="Hyperlink"/>
          </w:rPr>
          <w:noBreakHyphen/>
          <w:t>12: Security Operations</w:t>
        </w:r>
        <w:r>
          <w:rPr>
            <w:webHidden/>
          </w:rPr>
          <w:tab/>
        </w:r>
        <w:r>
          <w:rPr>
            <w:webHidden/>
          </w:rPr>
          <w:fldChar w:fldCharType="begin"/>
        </w:r>
        <w:r>
          <w:rPr>
            <w:webHidden/>
          </w:rPr>
          <w:instrText xml:space="preserve"> PAGEREF _Toc211268683 \h </w:instrText>
        </w:r>
        <w:r>
          <w:rPr>
            <w:webHidden/>
          </w:rPr>
        </w:r>
        <w:r>
          <w:rPr>
            <w:webHidden/>
          </w:rPr>
          <w:fldChar w:fldCharType="separate"/>
        </w:r>
        <w:r>
          <w:rPr>
            <w:webHidden/>
          </w:rPr>
          <w:t>17</w:t>
        </w:r>
        <w:r>
          <w:rPr>
            <w:webHidden/>
          </w:rPr>
          <w:fldChar w:fldCharType="end"/>
        </w:r>
      </w:hyperlink>
    </w:p>
    <w:p w14:paraId="16398572" w14:textId="5EE0BA5E" w:rsidR="001E641C" w:rsidRDefault="001E641C">
      <w:pPr>
        <w:pStyle w:val="TableofFigures"/>
        <w:rPr>
          <w:rFonts w:asciiTheme="minorHAnsi" w:eastAsiaTheme="minorEastAsia" w:hAnsiTheme="minorHAnsi"/>
          <w:kern w:val="2"/>
          <w:sz w:val="24"/>
          <w:szCs w:val="24"/>
          <w14:ligatures w14:val="standardContextual"/>
        </w:rPr>
      </w:pPr>
      <w:hyperlink w:anchor="_Toc211268684" w:history="1">
        <w:r>
          <w:rPr>
            <w:rStyle w:val="Hyperlink"/>
          </w:rPr>
          <w:t>Table 4</w:t>
        </w:r>
        <w:r>
          <w:rPr>
            <w:rStyle w:val="Hyperlink"/>
          </w:rPr>
          <w:noBreakHyphen/>
          <w:t>13: Security Business Continuity and Disaster Recovery</w:t>
        </w:r>
        <w:r>
          <w:rPr>
            <w:webHidden/>
          </w:rPr>
          <w:tab/>
        </w:r>
        <w:r>
          <w:rPr>
            <w:webHidden/>
          </w:rPr>
          <w:fldChar w:fldCharType="begin"/>
        </w:r>
        <w:r>
          <w:rPr>
            <w:webHidden/>
          </w:rPr>
          <w:instrText xml:space="preserve"> PAGEREF _Toc211268684 \h </w:instrText>
        </w:r>
        <w:r>
          <w:rPr>
            <w:webHidden/>
          </w:rPr>
        </w:r>
        <w:r>
          <w:rPr>
            <w:webHidden/>
          </w:rPr>
          <w:fldChar w:fldCharType="separate"/>
        </w:r>
        <w:r>
          <w:rPr>
            <w:webHidden/>
          </w:rPr>
          <w:t>17</w:t>
        </w:r>
        <w:r>
          <w:rPr>
            <w:webHidden/>
          </w:rPr>
          <w:fldChar w:fldCharType="end"/>
        </w:r>
      </w:hyperlink>
    </w:p>
    <w:p w14:paraId="37C11FBC" w14:textId="2483D2B1" w:rsidR="001E641C" w:rsidRDefault="001E641C">
      <w:pPr>
        <w:pStyle w:val="TableofFigures"/>
        <w:rPr>
          <w:rFonts w:asciiTheme="minorHAnsi" w:eastAsiaTheme="minorEastAsia" w:hAnsiTheme="minorHAnsi"/>
          <w:kern w:val="2"/>
          <w:sz w:val="24"/>
          <w:szCs w:val="24"/>
          <w14:ligatures w14:val="standardContextual"/>
        </w:rPr>
      </w:pPr>
      <w:hyperlink w:anchor="_Toc211268685" w:history="1">
        <w:r>
          <w:rPr>
            <w:rStyle w:val="Hyperlink"/>
          </w:rPr>
          <w:t>Table 4</w:t>
        </w:r>
        <w:r>
          <w:rPr>
            <w:rStyle w:val="Hyperlink"/>
          </w:rPr>
          <w:noBreakHyphen/>
          <w:t>14: Architecture and Design Maintenance</w:t>
        </w:r>
        <w:r>
          <w:rPr>
            <w:webHidden/>
          </w:rPr>
          <w:tab/>
        </w:r>
        <w:r>
          <w:rPr>
            <w:webHidden/>
          </w:rPr>
          <w:fldChar w:fldCharType="begin"/>
        </w:r>
        <w:r>
          <w:rPr>
            <w:webHidden/>
          </w:rPr>
          <w:instrText xml:space="preserve"> PAGEREF _Toc211268685 \h </w:instrText>
        </w:r>
        <w:r>
          <w:rPr>
            <w:webHidden/>
          </w:rPr>
        </w:r>
        <w:r>
          <w:rPr>
            <w:webHidden/>
          </w:rPr>
          <w:fldChar w:fldCharType="separate"/>
        </w:r>
        <w:r>
          <w:rPr>
            <w:webHidden/>
          </w:rPr>
          <w:t>19</w:t>
        </w:r>
        <w:r>
          <w:rPr>
            <w:webHidden/>
          </w:rPr>
          <w:fldChar w:fldCharType="end"/>
        </w:r>
      </w:hyperlink>
    </w:p>
    <w:p w14:paraId="06EB476B" w14:textId="796118D2" w:rsidR="001E641C" w:rsidRDefault="001E641C">
      <w:pPr>
        <w:pStyle w:val="TableofFigures"/>
        <w:rPr>
          <w:rFonts w:asciiTheme="minorHAnsi" w:eastAsiaTheme="minorEastAsia" w:hAnsiTheme="minorHAnsi"/>
          <w:kern w:val="2"/>
          <w:sz w:val="24"/>
          <w:szCs w:val="24"/>
          <w14:ligatures w14:val="standardContextual"/>
        </w:rPr>
      </w:pPr>
      <w:hyperlink w:anchor="_Toc211268686" w:history="1">
        <w:r>
          <w:rPr>
            <w:rStyle w:val="Hyperlink"/>
          </w:rPr>
          <w:t>Table 4</w:t>
        </w:r>
        <w:r>
          <w:rPr>
            <w:rStyle w:val="Hyperlink"/>
          </w:rPr>
          <w:noBreakHyphen/>
          <w:t>15: Capacity Planning</w:t>
        </w:r>
        <w:r>
          <w:rPr>
            <w:webHidden/>
          </w:rPr>
          <w:tab/>
        </w:r>
        <w:r>
          <w:rPr>
            <w:webHidden/>
          </w:rPr>
          <w:fldChar w:fldCharType="begin"/>
        </w:r>
        <w:r>
          <w:rPr>
            <w:webHidden/>
          </w:rPr>
          <w:instrText xml:space="preserve"> PAGEREF _Toc211268686 \h </w:instrText>
        </w:r>
        <w:r>
          <w:rPr>
            <w:webHidden/>
          </w:rPr>
        </w:r>
        <w:r>
          <w:rPr>
            <w:webHidden/>
          </w:rPr>
          <w:fldChar w:fldCharType="separate"/>
        </w:r>
        <w:r>
          <w:rPr>
            <w:webHidden/>
          </w:rPr>
          <w:t>19</w:t>
        </w:r>
        <w:r>
          <w:rPr>
            <w:webHidden/>
          </w:rPr>
          <w:fldChar w:fldCharType="end"/>
        </w:r>
      </w:hyperlink>
    </w:p>
    <w:p w14:paraId="0B1F785D" w14:textId="75EEBBD5" w:rsidR="001E641C" w:rsidRDefault="001E641C">
      <w:pPr>
        <w:pStyle w:val="TableofFigures"/>
        <w:rPr>
          <w:rFonts w:asciiTheme="minorHAnsi" w:eastAsiaTheme="minorEastAsia" w:hAnsiTheme="minorHAnsi"/>
          <w:kern w:val="2"/>
          <w:sz w:val="24"/>
          <w:szCs w:val="24"/>
          <w14:ligatures w14:val="standardContextual"/>
        </w:rPr>
      </w:pPr>
      <w:hyperlink w:anchor="_Toc211268687" w:history="1">
        <w:r>
          <w:rPr>
            <w:rStyle w:val="Hyperlink"/>
          </w:rPr>
          <w:t>Table 4</w:t>
        </w:r>
        <w:r>
          <w:rPr>
            <w:rStyle w:val="Hyperlink"/>
          </w:rPr>
          <w:noBreakHyphen/>
          <w:t>16: System and Infrastructure Upgrade</w:t>
        </w:r>
        <w:r>
          <w:rPr>
            <w:webHidden/>
          </w:rPr>
          <w:tab/>
        </w:r>
        <w:r>
          <w:rPr>
            <w:webHidden/>
          </w:rPr>
          <w:fldChar w:fldCharType="begin"/>
        </w:r>
        <w:r>
          <w:rPr>
            <w:webHidden/>
          </w:rPr>
          <w:instrText xml:space="preserve"> PAGEREF _Toc211268687 \h </w:instrText>
        </w:r>
        <w:r>
          <w:rPr>
            <w:webHidden/>
          </w:rPr>
        </w:r>
        <w:r>
          <w:rPr>
            <w:webHidden/>
          </w:rPr>
          <w:fldChar w:fldCharType="separate"/>
        </w:r>
        <w:r>
          <w:rPr>
            <w:webHidden/>
          </w:rPr>
          <w:t>19</w:t>
        </w:r>
        <w:r>
          <w:rPr>
            <w:webHidden/>
          </w:rPr>
          <w:fldChar w:fldCharType="end"/>
        </w:r>
      </w:hyperlink>
    </w:p>
    <w:p w14:paraId="51594CDE" w14:textId="7F3021FA" w:rsidR="001E641C" w:rsidRDefault="001E641C">
      <w:pPr>
        <w:pStyle w:val="TableofFigures"/>
        <w:rPr>
          <w:rFonts w:asciiTheme="minorHAnsi" w:eastAsiaTheme="minorEastAsia" w:hAnsiTheme="minorHAnsi"/>
          <w:kern w:val="2"/>
          <w:sz w:val="24"/>
          <w:szCs w:val="24"/>
          <w14:ligatures w14:val="standardContextual"/>
        </w:rPr>
      </w:pPr>
      <w:hyperlink w:anchor="_Toc211268688" w:history="1">
        <w:r>
          <w:rPr>
            <w:rStyle w:val="Hyperlink"/>
          </w:rPr>
          <w:t>Table 4</w:t>
        </w:r>
        <w:r>
          <w:rPr>
            <w:rStyle w:val="Hyperlink"/>
          </w:rPr>
          <w:noBreakHyphen/>
          <w:t>17: System Patching</w:t>
        </w:r>
        <w:r>
          <w:rPr>
            <w:webHidden/>
          </w:rPr>
          <w:tab/>
        </w:r>
        <w:r>
          <w:rPr>
            <w:webHidden/>
          </w:rPr>
          <w:fldChar w:fldCharType="begin"/>
        </w:r>
        <w:r>
          <w:rPr>
            <w:webHidden/>
          </w:rPr>
          <w:instrText xml:space="preserve"> PAGEREF _Toc211268688 \h </w:instrText>
        </w:r>
        <w:r>
          <w:rPr>
            <w:webHidden/>
          </w:rPr>
        </w:r>
        <w:r>
          <w:rPr>
            <w:webHidden/>
          </w:rPr>
          <w:fldChar w:fldCharType="separate"/>
        </w:r>
        <w:r>
          <w:rPr>
            <w:webHidden/>
          </w:rPr>
          <w:t>20</w:t>
        </w:r>
        <w:r>
          <w:rPr>
            <w:webHidden/>
          </w:rPr>
          <w:fldChar w:fldCharType="end"/>
        </w:r>
      </w:hyperlink>
    </w:p>
    <w:p w14:paraId="69E6CC9E" w14:textId="7FB7EA8A" w:rsidR="001E641C" w:rsidRDefault="001E641C">
      <w:pPr>
        <w:pStyle w:val="TableofFigures"/>
        <w:rPr>
          <w:rFonts w:asciiTheme="minorHAnsi" w:eastAsiaTheme="minorEastAsia" w:hAnsiTheme="minorHAnsi"/>
          <w:kern w:val="2"/>
          <w:sz w:val="24"/>
          <w:szCs w:val="24"/>
          <w14:ligatures w14:val="standardContextual"/>
        </w:rPr>
      </w:pPr>
      <w:hyperlink w:anchor="_Toc211268689" w:history="1">
        <w:r>
          <w:rPr>
            <w:rStyle w:val="Hyperlink"/>
          </w:rPr>
          <w:t>Table 4</w:t>
        </w:r>
        <w:r>
          <w:rPr>
            <w:rStyle w:val="Hyperlink"/>
          </w:rPr>
          <w:noBreakHyphen/>
          <w:t>18: Asset Management</w:t>
        </w:r>
        <w:r>
          <w:rPr>
            <w:webHidden/>
          </w:rPr>
          <w:tab/>
        </w:r>
        <w:r>
          <w:rPr>
            <w:webHidden/>
          </w:rPr>
          <w:fldChar w:fldCharType="begin"/>
        </w:r>
        <w:r>
          <w:rPr>
            <w:webHidden/>
          </w:rPr>
          <w:instrText xml:space="preserve"> PAGEREF _Toc211268689 \h </w:instrText>
        </w:r>
        <w:r>
          <w:rPr>
            <w:webHidden/>
          </w:rPr>
        </w:r>
        <w:r>
          <w:rPr>
            <w:webHidden/>
          </w:rPr>
          <w:fldChar w:fldCharType="separate"/>
        </w:r>
        <w:r>
          <w:rPr>
            <w:webHidden/>
          </w:rPr>
          <w:t>20</w:t>
        </w:r>
        <w:r>
          <w:rPr>
            <w:webHidden/>
          </w:rPr>
          <w:fldChar w:fldCharType="end"/>
        </w:r>
      </w:hyperlink>
    </w:p>
    <w:p w14:paraId="5644BFC9" w14:textId="1A782ED2" w:rsidR="001E641C" w:rsidRDefault="001E641C">
      <w:pPr>
        <w:pStyle w:val="TableofFigures"/>
        <w:rPr>
          <w:rFonts w:asciiTheme="minorHAnsi" w:eastAsiaTheme="minorEastAsia" w:hAnsiTheme="minorHAnsi"/>
          <w:kern w:val="2"/>
          <w:sz w:val="24"/>
          <w:szCs w:val="24"/>
          <w14:ligatures w14:val="standardContextual"/>
        </w:rPr>
      </w:pPr>
      <w:hyperlink w:anchor="_Toc211268690" w:history="1">
        <w:r>
          <w:rPr>
            <w:rStyle w:val="Hyperlink"/>
          </w:rPr>
          <w:t>Table 4</w:t>
        </w:r>
        <w:r>
          <w:rPr>
            <w:rStyle w:val="Hyperlink"/>
          </w:rPr>
          <w:noBreakHyphen/>
          <w:t>19: System Monitoring</w:t>
        </w:r>
        <w:r>
          <w:rPr>
            <w:webHidden/>
          </w:rPr>
          <w:tab/>
        </w:r>
        <w:r>
          <w:rPr>
            <w:webHidden/>
          </w:rPr>
          <w:fldChar w:fldCharType="begin"/>
        </w:r>
        <w:r>
          <w:rPr>
            <w:webHidden/>
          </w:rPr>
          <w:instrText xml:space="preserve"> PAGEREF _Toc211268690 \h </w:instrText>
        </w:r>
        <w:r>
          <w:rPr>
            <w:webHidden/>
          </w:rPr>
        </w:r>
        <w:r>
          <w:rPr>
            <w:webHidden/>
          </w:rPr>
          <w:fldChar w:fldCharType="separate"/>
        </w:r>
        <w:r>
          <w:rPr>
            <w:webHidden/>
          </w:rPr>
          <w:t>21</w:t>
        </w:r>
        <w:r>
          <w:rPr>
            <w:webHidden/>
          </w:rPr>
          <w:fldChar w:fldCharType="end"/>
        </w:r>
      </w:hyperlink>
    </w:p>
    <w:p w14:paraId="267E5B90" w14:textId="5ED577C2" w:rsidR="001E641C" w:rsidRDefault="001E641C">
      <w:pPr>
        <w:pStyle w:val="TableofFigures"/>
        <w:rPr>
          <w:rFonts w:asciiTheme="minorHAnsi" w:eastAsiaTheme="minorEastAsia" w:hAnsiTheme="minorHAnsi"/>
          <w:kern w:val="2"/>
          <w:sz w:val="24"/>
          <w:szCs w:val="24"/>
          <w14:ligatures w14:val="standardContextual"/>
        </w:rPr>
      </w:pPr>
      <w:hyperlink w:anchor="_Toc211268691" w:history="1">
        <w:r>
          <w:rPr>
            <w:rStyle w:val="Hyperlink"/>
          </w:rPr>
          <w:t>Table 4</w:t>
        </w:r>
        <w:r>
          <w:rPr>
            <w:rStyle w:val="Hyperlink"/>
          </w:rPr>
          <w:noBreakHyphen/>
          <w:t>20: Infrastructure Monitoring</w:t>
        </w:r>
        <w:r>
          <w:rPr>
            <w:webHidden/>
          </w:rPr>
          <w:tab/>
        </w:r>
        <w:r>
          <w:rPr>
            <w:webHidden/>
          </w:rPr>
          <w:fldChar w:fldCharType="begin"/>
        </w:r>
        <w:r>
          <w:rPr>
            <w:webHidden/>
          </w:rPr>
          <w:instrText xml:space="preserve"> PAGEREF _Toc211268691 \h </w:instrText>
        </w:r>
        <w:r>
          <w:rPr>
            <w:webHidden/>
          </w:rPr>
        </w:r>
        <w:r>
          <w:rPr>
            <w:webHidden/>
          </w:rPr>
          <w:fldChar w:fldCharType="separate"/>
        </w:r>
        <w:r>
          <w:rPr>
            <w:webHidden/>
          </w:rPr>
          <w:t>21</w:t>
        </w:r>
        <w:r>
          <w:rPr>
            <w:webHidden/>
          </w:rPr>
          <w:fldChar w:fldCharType="end"/>
        </w:r>
      </w:hyperlink>
    </w:p>
    <w:p w14:paraId="588B591C" w14:textId="0D60571B" w:rsidR="001E641C" w:rsidRDefault="001E641C">
      <w:pPr>
        <w:pStyle w:val="TableofFigures"/>
        <w:rPr>
          <w:rFonts w:asciiTheme="minorHAnsi" w:eastAsiaTheme="minorEastAsia" w:hAnsiTheme="minorHAnsi"/>
          <w:kern w:val="2"/>
          <w:sz w:val="24"/>
          <w:szCs w:val="24"/>
          <w14:ligatures w14:val="standardContextual"/>
        </w:rPr>
      </w:pPr>
      <w:hyperlink w:anchor="_Toc211268692" w:history="1">
        <w:r>
          <w:rPr>
            <w:rStyle w:val="Hyperlink"/>
          </w:rPr>
          <w:t>Table 4</w:t>
        </w:r>
        <w:r>
          <w:rPr>
            <w:rStyle w:val="Hyperlink"/>
          </w:rPr>
          <w:noBreakHyphen/>
          <w:t>21: Application Monitoring</w:t>
        </w:r>
        <w:r>
          <w:rPr>
            <w:webHidden/>
          </w:rPr>
          <w:tab/>
        </w:r>
        <w:r>
          <w:rPr>
            <w:webHidden/>
          </w:rPr>
          <w:fldChar w:fldCharType="begin"/>
        </w:r>
        <w:r>
          <w:rPr>
            <w:webHidden/>
          </w:rPr>
          <w:instrText xml:space="preserve"> PAGEREF _Toc211268692 \h </w:instrText>
        </w:r>
        <w:r>
          <w:rPr>
            <w:webHidden/>
          </w:rPr>
        </w:r>
        <w:r>
          <w:rPr>
            <w:webHidden/>
          </w:rPr>
          <w:fldChar w:fldCharType="separate"/>
        </w:r>
        <w:r>
          <w:rPr>
            <w:webHidden/>
          </w:rPr>
          <w:t>21</w:t>
        </w:r>
        <w:r>
          <w:rPr>
            <w:webHidden/>
          </w:rPr>
          <w:fldChar w:fldCharType="end"/>
        </w:r>
      </w:hyperlink>
    </w:p>
    <w:p w14:paraId="74E6710B" w14:textId="76079875" w:rsidR="001E641C" w:rsidRDefault="001E641C">
      <w:pPr>
        <w:pStyle w:val="TableofFigures"/>
        <w:rPr>
          <w:rFonts w:asciiTheme="minorHAnsi" w:eastAsiaTheme="minorEastAsia" w:hAnsiTheme="minorHAnsi"/>
          <w:kern w:val="2"/>
          <w:sz w:val="24"/>
          <w:szCs w:val="24"/>
          <w14:ligatures w14:val="standardContextual"/>
        </w:rPr>
      </w:pPr>
      <w:hyperlink w:anchor="_Toc211268693" w:history="1">
        <w:r>
          <w:rPr>
            <w:rStyle w:val="Hyperlink"/>
          </w:rPr>
          <w:t>Table 4</w:t>
        </w:r>
        <w:r>
          <w:rPr>
            <w:rStyle w:val="Hyperlink"/>
          </w:rPr>
          <w:noBreakHyphen/>
          <w:t>22: Security Monitoring</w:t>
        </w:r>
        <w:r>
          <w:rPr>
            <w:webHidden/>
          </w:rPr>
          <w:tab/>
        </w:r>
        <w:r>
          <w:rPr>
            <w:webHidden/>
          </w:rPr>
          <w:fldChar w:fldCharType="begin"/>
        </w:r>
        <w:r>
          <w:rPr>
            <w:webHidden/>
          </w:rPr>
          <w:instrText xml:space="preserve"> PAGEREF _Toc211268693 \h </w:instrText>
        </w:r>
        <w:r>
          <w:rPr>
            <w:webHidden/>
          </w:rPr>
        </w:r>
        <w:r>
          <w:rPr>
            <w:webHidden/>
          </w:rPr>
          <w:fldChar w:fldCharType="separate"/>
        </w:r>
        <w:r>
          <w:rPr>
            <w:webHidden/>
          </w:rPr>
          <w:t>21</w:t>
        </w:r>
        <w:r>
          <w:rPr>
            <w:webHidden/>
          </w:rPr>
          <w:fldChar w:fldCharType="end"/>
        </w:r>
      </w:hyperlink>
    </w:p>
    <w:p w14:paraId="478BA616" w14:textId="29EEB056" w:rsidR="001E641C" w:rsidRDefault="001E641C">
      <w:pPr>
        <w:pStyle w:val="TableofFigures"/>
        <w:rPr>
          <w:rFonts w:asciiTheme="minorHAnsi" w:eastAsiaTheme="minorEastAsia" w:hAnsiTheme="minorHAnsi"/>
          <w:kern w:val="2"/>
          <w:sz w:val="24"/>
          <w:szCs w:val="24"/>
          <w14:ligatures w14:val="standardContextual"/>
        </w:rPr>
      </w:pPr>
      <w:hyperlink w:anchor="_Toc211268694" w:history="1">
        <w:r>
          <w:rPr>
            <w:rStyle w:val="Hyperlink"/>
          </w:rPr>
          <w:t>Table 4</w:t>
        </w:r>
        <w:r>
          <w:rPr>
            <w:rStyle w:val="Hyperlink"/>
          </w:rPr>
          <w:noBreakHyphen/>
          <w:t>23: Operational Reports</w:t>
        </w:r>
        <w:r>
          <w:rPr>
            <w:webHidden/>
          </w:rPr>
          <w:tab/>
        </w:r>
        <w:r>
          <w:rPr>
            <w:webHidden/>
          </w:rPr>
          <w:fldChar w:fldCharType="begin"/>
        </w:r>
        <w:r>
          <w:rPr>
            <w:webHidden/>
          </w:rPr>
          <w:instrText xml:space="preserve"> PAGEREF _Toc211268694 \h </w:instrText>
        </w:r>
        <w:r>
          <w:rPr>
            <w:webHidden/>
          </w:rPr>
        </w:r>
        <w:r>
          <w:rPr>
            <w:webHidden/>
          </w:rPr>
          <w:fldChar w:fldCharType="separate"/>
        </w:r>
        <w:r>
          <w:rPr>
            <w:webHidden/>
          </w:rPr>
          <w:t>22</w:t>
        </w:r>
        <w:r>
          <w:rPr>
            <w:webHidden/>
          </w:rPr>
          <w:fldChar w:fldCharType="end"/>
        </w:r>
      </w:hyperlink>
    </w:p>
    <w:p w14:paraId="536F73D5" w14:textId="37DE86AD" w:rsidR="001E641C" w:rsidRDefault="001E641C">
      <w:pPr>
        <w:pStyle w:val="TableofFigures"/>
        <w:rPr>
          <w:rFonts w:asciiTheme="minorHAnsi" w:eastAsiaTheme="minorEastAsia" w:hAnsiTheme="minorHAnsi"/>
          <w:kern w:val="2"/>
          <w:sz w:val="24"/>
          <w:szCs w:val="24"/>
          <w14:ligatures w14:val="standardContextual"/>
        </w:rPr>
      </w:pPr>
      <w:hyperlink w:anchor="_Toc211268695" w:history="1">
        <w:r>
          <w:rPr>
            <w:rStyle w:val="Hyperlink"/>
          </w:rPr>
          <w:t>Table 4</w:t>
        </w:r>
        <w:r>
          <w:rPr>
            <w:rStyle w:val="Hyperlink"/>
          </w:rPr>
          <w:noBreakHyphen/>
          <w:t>24: Service Level Agreement Reporting</w:t>
        </w:r>
        <w:r>
          <w:rPr>
            <w:webHidden/>
          </w:rPr>
          <w:tab/>
        </w:r>
        <w:r>
          <w:rPr>
            <w:webHidden/>
          </w:rPr>
          <w:fldChar w:fldCharType="begin"/>
        </w:r>
        <w:r>
          <w:rPr>
            <w:webHidden/>
          </w:rPr>
          <w:instrText xml:space="preserve"> PAGEREF _Toc211268695 \h </w:instrText>
        </w:r>
        <w:r>
          <w:rPr>
            <w:webHidden/>
          </w:rPr>
        </w:r>
        <w:r>
          <w:rPr>
            <w:webHidden/>
          </w:rPr>
          <w:fldChar w:fldCharType="separate"/>
        </w:r>
        <w:r>
          <w:rPr>
            <w:webHidden/>
          </w:rPr>
          <w:t>22</w:t>
        </w:r>
        <w:r>
          <w:rPr>
            <w:webHidden/>
          </w:rPr>
          <w:fldChar w:fldCharType="end"/>
        </w:r>
      </w:hyperlink>
    </w:p>
    <w:p w14:paraId="75BB840C" w14:textId="57D0D1EE" w:rsidR="001E641C" w:rsidRDefault="001E641C">
      <w:pPr>
        <w:pStyle w:val="TableofFigures"/>
        <w:rPr>
          <w:rFonts w:asciiTheme="minorHAnsi" w:eastAsiaTheme="minorEastAsia" w:hAnsiTheme="minorHAnsi"/>
          <w:kern w:val="2"/>
          <w:sz w:val="24"/>
          <w:szCs w:val="24"/>
          <w14:ligatures w14:val="standardContextual"/>
        </w:rPr>
      </w:pPr>
      <w:hyperlink w:anchor="_Toc211268696" w:history="1">
        <w:r>
          <w:rPr>
            <w:rStyle w:val="Hyperlink"/>
          </w:rPr>
          <w:t>Table 5</w:t>
        </w:r>
        <w:r>
          <w:rPr>
            <w:rStyle w:val="Hyperlink"/>
          </w:rPr>
          <w:noBreakHyphen/>
          <w:t>1: Terms and Definitions</w:t>
        </w:r>
        <w:r>
          <w:rPr>
            <w:webHidden/>
          </w:rPr>
          <w:tab/>
        </w:r>
        <w:r>
          <w:rPr>
            <w:webHidden/>
          </w:rPr>
          <w:fldChar w:fldCharType="begin"/>
        </w:r>
        <w:r>
          <w:rPr>
            <w:webHidden/>
          </w:rPr>
          <w:instrText xml:space="preserve"> PAGEREF _Toc211268696 \h </w:instrText>
        </w:r>
        <w:r>
          <w:rPr>
            <w:webHidden/>
          </w:rPr>
        </w:r>
        <w:r>
          <w:rPr>
            <w:webHidden/>
          </w:rPr>
          <w:fldChar w:fldCharType="separate"/>
        </w:r>
        <w:r>
          <w:rPr>
            <w:webHidden/>
          </w:rPr>
          <w:t>24</w:t>
        </w:r>
        <w:r>
          <w:rPr>
            <w:webHidden/>
          </w:rPr>
          <w:fldChar w:fldCharType="end"/>
        </w:r>
      </w:hyperlink>
    </w:p>
    <w:p w14:paraId="35C5C01D" w14:textId="3E884681" w:rsidR="001E641C" w:rsidRDefault="001E641C">
      <w:pPr>
        <w:pStyle w:val="TableofFigures"/>
        <w:rPr>
          <w:rFonts w:asciiTheme="minorHAnsi" w:eastAsiaTheme="minorEastAsia" w:hAnsiTheme="minorHAnsi"/>
          <w:kern w:val="2"/>
          <w:sz w:val="24"/>
          <w:szCs w:val="24"/>
          <w14:ligatures w14:val="standardContextual"/>
        </w:rPr>
      </w:pPr>
      <w:hyperlink w:anchor="_Toc211268697" w:history="1">
        <w:r>
          <w:rPr>
            <w:rStyle w:val="Hyperlink"/>
          </w:rPr>
          <w:t>Table 5</w:t>
        </w:r>
        <w:r>
          <w:rPr>
            <w:rStyle w:val="Hyperlink"/>
          </w:rPr>
          <w:noBreakHyphen/>
          <w:t>2: Reference Documents, Deliverables, and Artifacts Associated with the Maintenance and Operations Run Book</w:t>
        </w:r>
        <w:r>
          <w:rPr>
            <w:webHidden/>
          </w:rPr>
          <w:tab/>
        </w:r>
        <w:r>
          <w:rPr>
            <w:webHidden/>
          </w:rPr>
          <w:fldChar w:fldCharType="begin"/>
        </w:r>
        <w:r>
          <w:rPr>
            <w:webHidden/>
          </w:rPr>
          <w:instrText xml:space="preserve"> PAGEREF _Toc211268697 \h </w:instrText>
        </w:r>
        <w:r>
          <w:rPr>
            <w:webHidden/>
          </w:rPr>
        </w:r>
        <w:r>
          <w:rPr>
            <w:webHidden/>
          </w:rPr>
          <w:fldChar w:fldCharType="separate"/>
        </w:r>
        <w:r>
          <w:rPr>
            <w:webHidden/>
          </w:rPr>
          <w:t>26</w:t>
        </w:r>
        <w:r>
          <w:rPr>
            <w:webHidden/>
          </w:rPr>
          <w:fldChar w:fldCharType="end"/>
        </w:r>
      </w:hyperlink>
    </w:p>
    <w:p w14:paraId="68FA6B40" w14:textId="7E67E6D5" w:rsidR="008B534F" w:rsidRPr="00F97E04" w:rsidRDefault="00FC3F08" w:rsidP="008B534F">
      <w:r>
        <w:fldChar w:fldCharType="end"/>
      </w:r>
    </w:p>
    <w:p w14:paraId="35DAA701" w14:textId="58723A9A" w:rsidR="00AE1C0A" w:rsidRPr="00F97E04" w:rsidRDefault="00F71500" w:rsidP="008B534F">
      <w:pPr>
        <w:rPr>
          <w:b/>
          <w:bCs/>
          <w:u w:val="single"/>
        </w:rPr>
      </w:pPr>
      <w:r>
        <w:rPr>
          <w:b/>
          <w:bCs/>
          <w:u w:val="single"/>
        </w:rPr>
        <w:t>Table of Figures</w:t>
      </w:r>
    </w:p>
    <w:p w14:paraId="32228DC2" w14:textId="3939274D" w:rsidR="001E641C" w:rsidRDefault="00AE1C0A">
      <w:pPr>
        <w:pStyle w:val="TableofFigures"/>
        <w:rPr>
          <w:rFonts w:asciiTheme="minorHAnsi" w:eastAsiaTheme="minorEastAsia" w:hAnsiTheme="minorHAnsi"/>
          <w:kern w:val="2"/>
          <w:sz w:val="24"/>
          <w:szCs w:val="24"/>
          <w14:ligatures w14:val="standardContextual"/>
        </w:rPr>
      </w:pPr>
      <w:r>
        <w:rPr>
          <w:noProof w:val="0"/>
        </w:rPr>
        <w:fldChar w:fldCharType="begin"/>
      </w:r>
      <w:r>
        <w:rPr>
          <w:noProof w:val="0"/>
        </w:rPr>
        <w:instrText xml:space="preserve"> TOC \h \z \c "Figure" </w:instrText>
      </w:r>
      <w:r>
        <w:rPr>
          <w:noProof w:val="0"/>
        </w:rPr>
        <w:fldChar w:fldCharType="separate"/>
      </w:r>
      <w:hyperlink w:anchor="_Toc211268698" w:history="1">
        <w:r>
          <w:rPr>
            <w:rStyle w:val="Hyperlink"/>
          </w:rPr>
          <w:t>Figure 3</w:t>
        </w:r>
        <w:r>
          <w:rPr>
            <w:rStyle w:val="Hyperlink"/>
          </w:rPr>
          <w:noBreakHyphen/>
          <w:t>1: NY-Medicaid Transformation - Technology Stack</w:t>
        </w:r>
        <w:r>
          <w:rPr>
            <w:webHidden/>
          </w:rPr>
          <w:tab/>
        </w:r>
        <w:r>
          <w:rPr>
            <w:webHidden/>
          </w:rPr>
          <w:fldChar w:fldCharType="begin"/>
        </w:r>
        <w:r>
          <w:rPr>
            <w:webHidden/>
          </w:rPr>
          <w:instrText xml:space="preserve"> PAGEREF _Toc211268698 \h </w:instrText>
        </w:r>
        <w:r>
          <w:rPr>
            <w:webHidden/>
          </w:rPr>
        </w:r>
        <w:r>
          <w:rPr>
            <w:webHidden/>
          </w:rPr>
          <w:fldChar w:fldCharType="separate"/>
        </w:r>
        <w:r>
          <w:rPr>
            <w:webHidden/>
          </w:rPr>
          <w:t>7</w:t>
        </w:r>
        <w:r>
          <w:rPr>
            <w:webHidden/>
          </w:rPr>
          <w:fldChar w:fldCharType="end"/>
        </w:r>
      </w:hyperlink>
    </w:p>
    <w:p w14:paraId="72A51787" w14:textId="4905E303" w:rsidR="001E641C" w:rsidRDefault="001E641C">
      <w:pPr>
        <w:pStyle w:val="TableofFigures"/>
        <w:rPr>
          <w:rFonts w:asciiTheme="minorHAnsi" w:eastAsiaTheme="minorEastAsia" w:hAnsiTheme="minorHAnsi"/>
          <w:kern w:val="2"/>
          <w:sz w:val="24"/>
          <w:szCs w:val="24"/>
          <w14:ligatures w14:val="standardContextual"/>
        </w:rPr>
      </w:pPr>
      <w:hyperlink w:anchor="_Toc211268699" w:history="1">
        <w:r>
          <w:rPr>
            <w:rStyle w:val="Hyperlink"/>
          </w:rPr>
          <w:t>Figure 4</w:t>
        </w:r>
        <w:r>
          <w:rPr>
            <w:rStyle w:val="Hyperlink"/>
          </w:rPr>
          <w:noBreakHyphen/>
          <w:t>1: Daily NY Batch Run Status Report</w:t>
        </w:r>
        <w:r>
          <w:rPr>
            <w:webHidden/>
          </w:rPr>
          <w:tab/>
        </w:r>
        <w:r>
          <w:rPr>
            <w:webHidden/>
          </w:rPr>
          <w:fldChar w:fldCharType="begin"/>
        </w:r>
        <w:r>
          <w:rPr>
            <w:webHidden/>
          </w:rPr>
          <w:instrText xml:space="preserve"> PAGEREF _Toc211268699 \h </w:instrText>
        </w:r>
        <w:r>
          <w:rPr>
            <w:webHidden/>
          </w:rPr>
        </w:r>
        <w:r>
          <w:rPr>
            <w:webHidden/>
          </w:rPr>
          <w:fldChar w:fldCharType="separate"/>
        </w:r>
        <w:r>
          <w:rPr>
            <w:webHidden/>
          </w:rPr>
          <w:t>13</w:t>
        </w:r>
        <w:r>
          <w:rPr>
            <w:webHidden/>
          </w:rPr>
          <w:fldChar w:fldCharType="end"/>
        </w:r>
      </w:hyperlink>
    </w:p>
    <w:p w14:paraId="2A30D109" w14:textId="42847DE5" w:rsidR="002C769A" w:rsidRPr="00F97E04" w:rsidRDefault="00AE1C0A">
      <w:pPr>
        <w:spacing w:before="0" w:after="160" w:line="259" w:lineRule="auto"/>
        <w:sectPr w:rsidR="002C769A" w:rsidRPr="00F97E04" w:rsidSect="002C769A">
          <w:headerReference w:type="even" r:id="rId15"/>
          <w:headerReference w:type="default" r:id="rId16"/>
          <w:headerReference w:type="first" r:id="rId17"/>
          <w:footerReference w:type="first" r:id="rId18"/>
          <w:pgSz w:w="12240" w:h="15840"/>
          <w:pgMar w:top="240" w:right="1440" w:bottom="810" w:left="1440" w:header="432" w:footer="720" w:gutter="0"/>
          <w:pgNumType w:fmt="lowerRoman" w:start="1"/>
          <w:cols w:space="720"/>
          <w:titlePg/>
          <w:docGrid w:linePitch="360"/>
        </w:sectPr>
      </w:pPr>
      <w:r>
        <w:fldChar w:fldCharType="end"/>
      </w:r>
      <w:r>
        <w:br w:type="page"/>
      </w:r>
    </w:p>
    <w:p w14:paraId="76C22F5B" w14:textId="77777777" w:rsidR="00213922" w:rsidRPr="00F97E04" w:rsidRDefault="00213922" w:rsidP="00213922">
      <w:pPr>
        <w:pStyle w:val="Heading1"/>
        <w:rPr>
          <w:noProof w:val="0"/>
        </w:rPr>
      </w:pPr>
      <w:bookmarkStart w:id="2" w:name="_Toc211268628"/>
      <w:bookmarkStart w:id="3" w:name="_Toc206705752"/>
      <w:r>
        <w:rPr>
          <w:noProof w:val="0"/>
        </w:rPr>
        <w:lastRenderedPageBreak/>
        <w:t>Introduction</w:t>
      </w:r>
      <w:bookmarkEnd w:id="2"/>
    </w:p>
    <w:p w14:paraId="3E991676" w14:textId="2A1ED4FA" w:rsidR="00FC3F08" w:rsidRPr="00F97E04" w:rsidRDefault="00F816A1" w:rsidP="00675753">
      <w:pPr>
        <w:pStyle w:val="NormalNEW"/>
      </w:pPr>
      <w:bookmarkStart w:id="4" w:name="_Toc209719267"/>
      <w:bookmarkEnd w:id="1"/>
      <w:bookmarkEnd w:id="0"/>
      <w:bookmarkEnd w:id="3"/>
      <w:r>
        <w:t>Defining and documenting the Maintenance and Operations (M&amp;O) Run Book is critical to aligning expectations across all stakeholders regarding how the Medicaid Eligibility and Client Management (MECM) system will be maintained and operated. This document is Deliverable #33 and serves as a comprehensive guide to all necessary activities, processes, and procedures to facilitate efficient system management. It provides a detailed framework covering the scope, roles, responsibilities, and methodologies required for the effective operation of the MECM system throughout its lifecycle. The M&amp;O Run Book is an essential component of the overall system management strategy, ensuring consistency, reliability, and security in daily operations. By outlining standard operating procedures (SOP), defect and incident management, security protocols, technical maintenance, and performance monitoring, this document affirms that all stakeholders have a clear understanding of their roles and the processes involved in maintaining system integrity and performance.</w:t>
      </w:r>
      <w:bookmarkEnd w:id="4"/>
      <w:r>
        <w:t xml:space="preserve"> </w:t>
      </w:r>
    </w:p>
    <w:p w14:paraId="278DB917" w14:textId="25E840B7" w:rsidR="00213922" w:rsidRPr="00F97E04" w:rsidRDefault="00213922" w:rsidP="00675753">
      <w:pPr>
        <w:pStyle w:val="Heading1"/>
        <w:rPr>
          <w:noProof w:val="0"/>
        </w:rPr>
      </w:pPr>
      <w:bookmarkStart w:id="5" w:name="_Toc211268629"/>
      <w:r>
        <w:rPr>
          <w:noProof w:val="0"/>
        </w:rPr>
        <w:t>Purpose</w:t>
      </w:r>
      <w:bookmarkEnd w:id="5"/>
    </w:p>
    <w:p w14:paraId="49DE854E" w14:textId="47FFBF6B" w:rsidR="00464F6D" w:rsidRPr="00F97E04" w:rsidRDefault="00464F6D" w:rsidP="00896385">
      <w:pPr>
        <w:pStyle w:val="NormalNEW"/>
      </w:pPr>
      <w:r>
        <w:t>The purpose of this document is to define the framework and processes for the maintenance and operation of the MECM system. It outlines how the system will be managed throughout its operational lifecycle, detailing the scope, activities, roles, and responsibilities necessary for effective system management. The document provides structured guidance on Statement of Process (SOP), defect and incident management, security protocols, technical maintenance, and daily performance monitoring. By elaborating on these processes, the M&amp;O Run Book affirms that stakeholders have a clear understanding of the operational requirements and can maintain system integrity and performance efficiently.</w:t>
      </w:r>
    </w:p>
    <w:p w14:paraId="78ACE3CA" w14:textId="5F1E64E2" w:rsidR="00464F6D" w:rsidRPr="00F97E04" w:rsidRDefault="00464F6D" w:rsidP="00896385">
      <w:pPr>
        <w:pStyle w:val="NormalNEW"/>
      </w:pPr>
      <w:r>
        <w:t>Objectives of the M&amp;O Run Book include:</w:t>
      </w:r>
    </w:p>
    <w:p w14:paraId="24916DB6" w14:textId="3EDE8CF2" w:rsidR="00464F6D" w:rsidRPr="00F97E04" w:rsidRDefault="00464F6D" w:rsidP="00675753">
      <w:pPr>
        <w:pStyle w:val="BulletNEW"/>
        <w:rPr>
          <w:lang w:val="en-US"/>
        </w:rPr>
      </w:pPr>
      <w:r>
        <w:rPr>
          <w:lang w:val="en-US"/>
        </w:rPr>
        <w:t>Establishing consistency in maintenance and operational processes across various system components and stakeholders</w:t>
      </w:r>
    </w:p>
    <w:p w14:paraId="7A2A92AA" w14:textId="7AD1E2F9" w:rsidR="00464F6D" w:rsidRPr="00F97E04" w:rsidRDefault="00DD5407" w:rsidP="00675753">
      <w:pPr>
        <w:pStyle w:val="BulletNEW"/>
        <w:rPr>
          <w:lang w:val="en-US"/>
        </w:rPr>
      </w:pPr>
      <w:r>
        <w:rPr>
          <w:lang w:val="en-US"/>
        </w:rPr>
        <w:t>Facilitating reliable system performance through well-defined procedures for monitoring and incident management</w:t>
      </w:r>
    </w:p>
    <w:p w14:paraId="4E4982C3" w14:textId="60FD5A19" w:rsidR="00464F6D" w:rsidRPr="00F97E04" w:rsidRDefault="00464F6D" w:rsidP="00675753">
      <w:pPr>
        <w:pStyle w:val="BulletNEW"/>
        <w:rPr>
          <w:lang w:val="en-US"/>
        </w:rPr>
      </w:pPr>
      <w:r>
        <w:rPr>
          <w:lang w:val="en-US"/>
        </w:rPr>
        <w:t>Educating system users and administrators about their roles and responsibilities, along with the tools and resources available to support system operations</w:t>
      </w:r>
    </w:p>
    <w:p w14:paraId="408B40C8" w14:textId="727663CB" w:rsidR="00C43FAE" w:rsidRPr="00F97E04" w:rsidRDefault="00464F6D" w:rsidP="00675753">
      <w:pPr>
        <w:pStyle w:val="BulletNEW"/>
        <w:rPr>
          <w:lang w:val="en-US"/>
        </w:rPr>
      </w:pPr>
      <w:r>
        <w:rPr>
          <w:lang w:val="en-US"/>
        </w:rPr>
        <w:t>Promoting collaboration across teams while clearly defining responsibilities to optimize the use of resources and stakeholder time</w:t>
      </w:r>
    </w:p>
    <w:p w14:paraId="11BD4C7E" w14:textId="0C51238B" w:rsidR="00FC3F08" w:rsidRPr="00F97E04" w:rsidRDefault="00FC3F08" w:rsidP="00FF1DEA">
      <w:pPr>
        <w:pStyle w:val="Heading2"/>
        <w:rPr>
          <w:noProof w:val="0"/>
        </w:rPr>
      </w:pPr>
      <w:bookmarkStart w:id="6" w:name="_Toc211268630"/>
      <w:r>
        <w:rPr>
          <w:noProof w:val="0"/>
        </w:rPr>
        <w:t>Scope</w:t>
      </w:r>
      <w:bookmarkEnd w:id="6"/>
    </w:p>
    <w:p w14:paraId="05FB249B" w14:textId="206F8E3E" w:rsidR="00A85AF9" w:rsidRPr="00F97E04" w:rsidRDefault="00A85AF9" w:rsidP="00A85AF9">
      <w:pPr>
        <w:pStyle w:val="NormalNEW"/>
      </w:pPr>
      <w:r>
        <w:t>The scope of the M&amp;O Run Book is defined by the requirements and obligations outlined in the contract. This document comprehensively describes the processes and procedures necessary for the effective maintenance and operation of the MECM system. The M&amp;O Run Book includes the following key components:</w:t>
      </w:r>
    </w:p>
    <w:p w14:paraId="0EB7FF77" w14:textId="120B58DF" w:rsidR="00A85AF9" w:rsidRPr="00F97E04" w:rsidRDefault="005331ED" w:rsidP="00675753">
      <w:pPr>
        <w:pStyle w:val="Bullet2Numbered"/>
      </w:pPr>
      <w:r>
        <w:rPr>
          <w:b/>
        </w:rPr>
        <w:t>SOPs</w:t>
      </w:r>
      <w:r>
        <w:t>: Detailed procedures for managing batches, interfaces, notices, deployments, and data activities such as data fixes and data extracts. These procedures enable all routine operations to be conducted efficiently and consistently</w:t>
      </w:r>
    </w:p>
    <w:p w14:paraId="43D031B3" w14:textId="585D16A3" w:rsidR="00A85AF9" w:rsidRPr="00F97E04" w:rsidRDefault="00A85AF9" w:rsidP="00675753">
      <w:pPr>
        <w:pStyle w:val="Bullet2Numbered"/>
      </w:pPr>
      <w:r>
        <w:rPr>
          <w:b/>
        </w:rPr>
        <w:t>Production Defect and Incident Management Processes</w:t>
      </w:r>
      <w:r>
        <w:t>: Clear processes for identifying, reporting, and resolving production defects and incidents. These processes help mitigate any issues affecting system performance by defining how they can be promptly addressed to maintain system integrity</w:t>
      </w:r>
    </w:p>
    <w:p w14:paraId="250F8615" w14:textId="063A4AD4" w:rsidR="00A85AF9" w:rsidRPr="00F97E04" w:rsidRDefault="00A85AF9" w:rsidP="00675753">
      <w:pPr>
        <w:pStyle w:val="Bullet2Numbered"/>
      </w:pPr>
      <w:r>
        <w:rPr>
          <w:b/>
        </w:rPr>
        <w:t>Security Management Processes</w:t>
      </w:r>
      <w:r>
        <w:t>: Comprehensive security protocols to safeguard the system against threats. This includes compliance documentation, security code scanning, access management, and incident response procedures to safeguard the system's security and privacy</w:t>
      </w:r>
    </w:p>
    <w:p w14:paraId="5F97963D" w14:textId="055551CE" w:rsidR="00A85AF9" w:rsidRPr="00F97E04" w:rsidRDefault="00A85AF9" w:rsidP="00675753">
      <w:pPr>
        <w:pStyle w:val="Bullet2Numbered"/>
      </w:pPr>
      <w:r>
        <w:rPr>
          <w:b/>
        </w:rPr>
        <w:lastRenderedPageBreak/>
        <w:t>Approach to Performing Technical Maintenance</w:t>
      </w:r>
      <w:r>
        <w:t>: Strategies for conducting technical maintenance activities, including system patching and upgrades. These strategies keep the system up-to-date and function optimally</w:t>
      </w:r>
    </w:p>
    <w:p w14:paraId="556B8E5B" w14:textId="352FF473" w:rsidR="00A85AF9" w:rsidRPr="00F97E04" w:rsidRDefault="00A85AF9" w:rsidP="00675753">
      <w:pPr>
        <w:pStyle w:val="Bullet2Numbered"/>
      </w:pPr>
      <w:r>
        <w:rPr>
          <w:b/>
        </w:rPr>
        <w:t>Approach to Monitoring Daily Operational Performance</w:t>
      </w:r>
      <w:r>
        <w:t>: Methods for monitoring the system's daily performance, including the definition of recurring M&amp;O reports. Monitoring daily operational performance provides continuous oversight and timely identification of any performance issues</w:t>
      </w:r>
    </w:p>
    <w:p w14:paraId="1A411DFD" w14:textId="403F187F" w:rsidR="00A85AF9" w:rsidRPr="00F97E04" w:rsidRDefault="00A85AF9" w:rsidP="00675753">
      <w:pPr>
        <w:pStyle w:val="Bullet2Numbered"/>
      </w:pPr>
      <w:r>
        <w:rPr>
          <w:b/>
        </w:rPr>
        <w:t>Specifications and Process for Monthly SLA Report</w:t>
      </w:r>
      <w:r>
        <w:t>: Detailed specifications and processes for assembling and delivering the monthly Service Level Agreement (SLA) report which enables performance metrics to be accurately reported and contractual obligations to be met</w:t>
      </w:r>
    </w:p>
    <w:p w14:paraId="0D6186FD" w14:textId="0BC1A47D" w:rsidR="00C43FAE" w:rsidRPr="00F97E04" w:rsidRDefault="00A85AF9" w:rsidP="00675753">
      <w:pPr>
        <w:pStyle w:val="Bullet2Numbered"/>
      </w:pPr>
      <w:r>
        <w:t>By covering these areas comprehensively, the M&amp;O Run Book prepares the MECM system to operate smoothly, efficiently, and securely, meeting all contractual obligations and performance standards</w:t>
      </w:r>
    </w:p>
    <w:p w14:paraId="077BA0A9" w14:textId="0806AEB5" w:rsidR="00FC3F08" w:rsidRPr="00F97E04" w:rsidRDefault="00FC3F08" w:rsidP="00FF1DEA">
      <w:pPr>
        <w:pStyle w:val="Heading2"/>
        <w:rPr>
          <w:noProof w:val="0"/>
        </w:rPr>
      </w:pPr>
      <w:bookmarkStart w:id="7" w:name="_Toc211268631"/>
      <w:r>
        <w:rPr>
          <w:noProof w:val="0"/>
        </w:rPr>
        <w:t>Assumptions</w:t>
      </w:r>
      <w:bookmarkEnd w:id="7"/>
    </w:p>
    <w:p w14:paraId="67F87D9F" w14:textId="77B6EADE" w:rsidR="00D54398" w:rsidRPr="00F97E04" w:rsidRDefault="00472C9C" w:rsidP="00675753">
      <w:pPr>
        <w:pStyle w:val="BulletNEW"/>
        <w:rPr>
          <w:lang w:val="en-US"/>
        </w:rPr>
      </w:pPr>
      <w:r>
        <w:rPr>
          <w:lang w:val="en-US"/>
        </w:rPr>
        <w:t>New York State (NYS) Department of Health Office of Health Insurance Programs (DOH OHIP) will utilize the incident and problem management system for Incident Management and Problem Management. The M&amp;O Run Book processes will be updated to consistently reflect this direction across all work products in the future submissions</w:t>
      </w:r>
    </w:p>
    <w:p w14:paraId="1C4E5F77" w14:textId="70988252" w:rsidR="00404D1D" w:rsidRPr="00F97E04" w:rsidRDefault="00EA6999" w:rsidP="00675753">
      <w:pPr>
        <w:pStyle w:val="BulletNEW"/>
        <w:rPr>
          <w:rFonts w:eastAsia="Verdana" w:cs="Verdana"/>
          <w:szCs w:val="20"/>
          <w:lang w:val="en-US"/>
        </w:rPr>
      </w:pPr>
      <w:r>
        <w:rPr>
          <w:rFonts w:eastAsia="Verdana" w:cs="Verdana"/>
          <w:lang w:val="en-US"/>
        </w:rPr>
        <w:t>Based on ISOW3, Deloitte will perform content reviews based on the process outlined in the GOP-001_Del 33_Manage Notices During M&amp;O.docx</w:t>
      </w:r>
      <w:r>
        <w:rPr>
          <w:lang w:val="en-US"/>
        </w:rPr>
        <w:t xml:space="preserve"> </w:t>
      </w:r>
      <w:r>
        <w:rPr>
          <w:rFonts w:eastAsia="Verdana" w:cs="Verdana"/>
          <w:szCs w:val="20"/>
          <w:lang w:val="en-US"/>
        </w:rPr>
        <w:t>document for up to five percent (5%) of the notices generated for a given system rollout period for accuracy and compliance before notices are sent to stakeholders. After the rollout period concludes, this requirement will no longer apply</w:t>
      </w:r>
    </w:p>
    <w:p w14:paraId="3FE61414" w14:textId="5DD3EAEB" w:rsidR="008D293E" w:rsidRPr="00F97E04" w:rsidRDefault="008D293E">
      <w:pPr>
        <w:spacing w:before="0" w:after="160" w:line="259" w:lineRule="auto"/>
        <w:rPr>
          <w:rFonts w:eastAsiaTheme="majorEastAsia" w:cstheme="majorBidi"/>
          <w:b/>
          <w:bCs/>
          <w:szCs w:val="28"/>
        </w:rPr>
      </w:pPr>
      <w:r>
        <w:br w:type="page"/>
      </w:r>
    </w:p>
    <w:p w14:paraId="34137052" w14:textId="3B9F85D5" w:rsidR="00FC3F08" w:rsidRPr="00F97E04" w:rsidRDefault="00FC3F08" w:rsidP="009540D2">
      <w:pPr>
        <w:pStyle w:val="Heading1"/>
        <w:rPr>
          <w:noProof w:val="0"/>
        </w:rPr>
      </w:pPr>
      <w:bookmarkStart w:id="8" w:name="_Toc211268632"/>
      <w:r>
        <w:rPr>
          <w:noProof w:val="0"/>
        </w:rPr>
        <w:lastRenderedPageBreak/>
        <w:t>MECM Solution Overview</w:t>
      </w:r>
      <w:bookmarkEnd w:id="8"/>
    </w:p>
    <w:p w14:paraId="7C7D98ED" w14:textId="4945B53D" w:rsidR="00C43FAE" w:rsidRPr="00F97E04" w:rsidRDefault="00265104" w:rsidP="002F70B4">
      <w:pPr>
        <w:pStyle w:val="MainBodyText"/>
      </w:pPr>
      <w:r>
        <w:t>The New York (NY) MECM system is a transfer solution developed based on the Tennessee Eligibility Determination System (TEDS). MECM has been designed and developed with a key focus on functional and technical design modifications introduced to accommodate the initial requirements of DOH OHIP.</w:t>
      </w:r>
    </w:p>
    <w:p w14:paraId="68C8DC05" w14:textId="7D61C0AA" w:rsidR="00FC3F08" w:rsidRPr="00F97E04" w:rsidRDefault="00FC3F08" w:rsidP="006E660E">
      <w:pPr>
        <w:pStyle w:val="Heading2"/>
        <w:rPr>
          <w:noProof w:val="0"/>
        </w:rPr>
      </w:pPr>
      <w:bookmarkStart w:id="9" w:name="_Toc211268633"/>
      <w:r>
        <w:rPr>
          <w:noProof w:val="0"/>
        </w:rPr>
        <w:t>Functional System Overview</w:t>
      </w:r>
      <w:bookmarkEnd w:id="9"/>
    </w:p>
    <w:p w14:paraId="16DB1327" w14:textId="4FF16CC5" w:rsidR="00246627" w:rsidRPr="00F97E04" w:rsidRDefault="00246627" w:rsidP="00246627">
      <w:r>
        <w:t>Information about the MECM system functionality and how it works can be found in the Del.18_Requirements Specification Document (RSD), Interface Control Documents (ICD) and the Del.20_Functional Design Documents (FDD) . The RSD gives an overview of the scope, assumptions, and approach to requirements gathering associated with the initial design and development of the MECM system for the Wave 1 release. The 19 FDDs describe in detail the design of the various features and functions necessary for seamless MECM system performance in Wave 1. The ICDs for the MECM system formally defines the technical specifications, data formats, and communication protocols required for secure and reliable integration and data exchange between MECM and its trading partner systems. These documents are designed to build system functionality holistically across workstreams. For example, the Verifications Part 1 and Part 2 FDDs include details of how information is captured and requested in the Member Portal and Worker Portal, how interfaces are triggered for each verification and scenario, the eligibility rules that will be considered for those scenarios, and what notices may need to be triggered.</w:t>
      </w:r>
    </w:p>
    <w:p w14:paraId="0CDA421B" w14:textId="57F81E9D" w:rsidR="00C43FAE" w:rsidRPr="00F97E04" w:rsidRDefault="00121704" w:rsidP="002F70B4">
      <w:r>
        <w:t>While the FDD captures system functionality from a holistic perspective, additional documentation is also required to store the details and designs specific to each track or function within the system (e.g., Portals, Eligibility, Interfaces, etc.). These designs are referred to as Component Level Specification Documents.</w:t>
      </w:r>
    </w:p>
    <w:p w14:paraId="33A87187" w14:textId="0F2397F3" w:rsidR="006E09E7" w:rsidRPr="00F97E04" w:rsidRDefault="006E09E7" w:rsidP="002F70B4">
      <w:r>
        <w:rPr>
          <w:noProof/>
        </w:rPr>
        <w:drawing>
          <wp:inline distT="0" distB="0" distL="0" distR="0" wp14:anchorId="6388F7ED" wp14:editId="0B0B8836">
            <wp:extent cx="5943600" cy="3552825"/>
            <wp:effectExtent l="0" t="0" r="0" b="9525"/>
            <wp:docPr id="288110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110501" name=""/>
                    <pic:cNvPicPr/>
                  </pic:nvPicPr>
                  <pic:blipFill>
                    <a:blip r:embed="rId19"/>
                    <a:stretch>
                      <a:fillRect/>
                    </a:stretch>
                  </pic:blipFill>
                  <pic:spPr>
                    <a:xfrm>
                      <a:off x="0" y="0"/>
                      <a:ext cx="5943600" cy="3552825"/>
                    </a:xfrm>
                    <a:prstGeom prst="rect">
                      <a:avLst/>
                    </a:prstGeom>
                  </pic:spPr>
                </pic:pic>
              </a:graphicData>
            </a:graphic>
          </wp:inline>
        </w:drawing>
      </w:r>
    </w:p>
    <w:p w14:paraId="12BA7EE0" w14:textId="34A86DB6" w:rsidR="009D4874" w:rsidRPr="00F97E04" w:rsidRDefault="009D4874" w:rsidP="00310DFA">
      <w:pPr>
        <w:pStyle w:val="Caption"/>
      </w:pPr>
      <w:bookmarkStart w:id="10" w:name="_Toc211268698"/>
      <w:r>
        <w:t xml:space="preserve">Figure </w:t>
      </w:r>
      <w:fldSimple w:instr=" STYLEREF 1 \s ">
        <w:r>
          <w:rPr>
            <w:noProof/>
          </w:rPr>
          <w:t>3</w:t>
        </w:r>
      </w:fldSimple>
      <w:r>
        <w:noBreakHyphen/>
      </w:r>
      <w:fldSimple w:instr=" SEQ Figure \* ARABIC \s 1 ">
        <w:r>
          <w:rPr>
            <w:noProof/>
          </w:rPr>
          <w:t>1</w:t>
        </w:r>
      </w:fldSimple>
      <w:r>
        <w:t>: NY-Medicaid Transformation - Technology Stack</w:t>
      </w:r>
      <w:bookmarkEnd w:id="10"/>
    </w:p>
    <w:p w14:paraId="32853C88" w14:textId="50E82A90" w:rsidR="00FC3F08" w:rsidRPr="00F97E04" w:rsidRDefault="00FC3F08" w:rsidP="009D796D">
      <w:pPr>
        <w:pStyle w:val="Heading2"/>
        <w:rPr>
          <w:noProof w:val="0"/>
        </w:rPr>
      </w:pPr>
      <w:bookmarkStart w:id="11" w:name="_Toc211268634"/>
      <w:r>
        <w:rPr>
          <w:noProof w:val="0"/>
        </w:rPr>
        <w:t>Physical System Overview</w:t>
      </w:r>
      <w:bookmarkEnd w:id="11"/>
    </w:p>
    <w:p w14:paraId="651D7180" w14:textId="0AFE7EEA" w:rsidR="00C43FAE" w:rsidRPr="00F97E04" w:rsidRDefault="00C551DB" w:rsidP="002F70B4">
      <w:r>
        <w:t>The physical system overview can be found in Del.16_System Architecture Design Document (SADD).docx, which includes information about the different layers of the application and how they work together to provide the technical backbone for the MECM application.</w:t>
      </w:r>
    </w:p>
    <w:p w14:paraId="2E23CC78" w14:textId="167423D9" w:rsidR="00FC3F08" w:rsidRPr="00F97E04" w:rsidRDefault="00FC3F08" w:rsidP="002E635F">
      <w:pPr>
        <w:pStyle w:val="Heading2"/>
        <w:rPr>
          <w:noProof w:val="0"/>
        </w:rPr>
      </w:pPr>
      <w:bookmarkStart w:id="12" w:name="_Toc211268635"/>
      <w:r>
        <w:rPr>
          <w:noProof w:val="0"/>
        </w:rPr>
        <w:lastRenderedPageBreak/>
        <w:t>System User Overview</w:t>
      </w:r>
      <w:bookmarkEnd w:id="12"/>
      <w:r>
        <w:rPr>
          <w:noProof w:val="0"/>
        </w:rPr>
        <w:t xml:space="preserve"> </w:t>
      </w:r>
    </w:p>
    <w:p w14:paraId="19C4F606" w14:textId="54A7C5CD" w:rsidR="00080E02" w:rsidRPr="00F97E04" w:rsidRDefault="00080E02" w:rsidP="00080E02">
      <w:r>
        <w:t>There are multiple user populations that will interact with MECM. These user groups are documented in the list below.</w:t>
      </w:r>
    </w:p>
    <w:p w14:paraId="341EFE06" w14:textId="77777777" w:rsidR="00080E02" w:rsidRPr="00F97E04" w:rsidRDefault="00080E02" w:rsidP="00080E02">
      <w:r>
        <w:t>Worker Portal</w:t>
      </w:r>
    </w:p>
    <w:p w14:paraId="543D84C8" w14:textId="77588495" w:rsidR="00080E02" w:rsidRPr="00F97E04" w:rsidRDefault="009972B7" w:rsidP="00675753">
      <w:pPr>
        <w:pStyle w:val="BulletNEW"/>
        <w:rPr>
          <w:lang w:val="en-US"/>
        </w:rPr>
      </w:pPr>
      <w:r>
        <w:rPr>
          <w:lang w:val="en-US"/>
        </w:rPr>
        <w:t>Customer Service Representatives (CSR) (these are Maximus workers)</w:t>
      </w:r>
    </w:p>
    <w:p w14:paraId="563D0F9B" w14:textId="7185E9DA" w:rsidR="009B5AFB" w:rsidRPr="00F97E04" w:rsidRDefault="009B5AFB" w:rsidP="00675753">
      <w:pPr>
        <w:pStyle w:val="BulletNEW"/>
        <w:rPr>
          <w:lang w:val="en-US"/>
        </w:rPr>
      </w:pPr>
      <w:r>
        <w:rPr>
          <w:lang w:val="en-US"/>
        </w:rPr>
        <w:t>Eligibility Specialists (also Maximus workers)</w:t>
      </w:r>
    </w:p>
    <w:p w14:paraId="59D30CFE" w14:textId="449D0106" w:rsidR="009972B7" w:rsidRPr="00F97E04" w:rsidRDefault="009972B7" w:rsidP="00675753">
      <w:pPr>
        <w:pStyle w:val="BulletNEW"/>
        <w:rPr>
          <w:lang w:val="en-US"/>
        </w:rPr>
      </w:pPr>
      <w:r>
        <w:rPr>
          <w:lang w:val="en-US"/>
        </w:rPr>
        <w:t>Back-Office Workers (DOH workers)</w:t>
      </w:r>
    </w:p>
    <w:p w14:paraId="571BC0A6" w14:textId="3F4020DE" w:rsidR="00080E02" w:rsidRPr="00F97E04" w:rsidRDefault="00080E02" w:rsidP="00080E02">
      <w:r>
        <w:t>Member Portal</w:t>
      </w:r>
    </w:p>
    <w:p w14:paraId="5EBA91E5" w14:textId="74C336E6" w:rsidR="00080E02" w:rsidRPr="00F97E04" w:rsidRDefault="00080E02" w:rsidP="00675753">
      <w:pPr>
        <w:pStyle w:val="BulletNEW"/>
        <w:rPr>
          <w:lang w:val="en-US"/>
        </w:rPr>
      </w:pPr>
      <w:r>
        <w:rPr>
          <w:lang w:val="en-US"/>
        </w:rPr>
        <w:t>Members (Account Holders, Authorized Representatives, Notice Recipients, Other Household Members)</w:t>
      </w:r>
    </w:p>
    <w:p w14:paraId="5D64FD24" w14:textId="345E5714" w:rsidR="00684EB8" w:rsidRPr="00F97E04" w:rsidRDefault="00684EB8" w:rsidP="00675753">
      <w:pPr>
        <w:pStyle w:val="BulletNEW"/>
        <w:rPr>
          <w:lang w:val="en-US"/>
        </w:rPr>
      </w:pPr>
      <w:r>
        <w:rPr>
          <w:lang w:val="en-US"/>
        </w:rPr>
        <w:t>Assistors</w:t>
      </w:r>
    </w:p>
    <w:p w14:paraId="2E265AF9" w14:textId="59E51B3F" w:rsidR="00470286" w:rsidRPr="00F97E04" w:rsidRDefault="00780DFB" w:rsidP="00675753">
      <w:pPr>
        <w:pStyle w:val="BulletNEW"/>
        <w:rPr>
          <w:lang w:val="en-US"/>
        </w:rPr>
      </w:pPr>
      <w:r>
        <w:rPr>
          <w:lang w:val="en-US"/>
        </w:rPr>
        <w:t>CSR (these are Maximus workers)</w:t>
      </w:r>
    </w:p>
    <w:p w14:paraId="2CFF6A1B" w14:textId="35810742" w:rsidR="008E236C" w:rsidRPr="00F97E04" w:rsidRDefault="008E236C" w:rsidP="00675753">
      <w:pPr>
        <w:pStyle w:val="BulletNEW"/>
        <w:rPr>
          <w:lang w:val="en-US"/>
        </w:rPr>
      </w:pPr>
      <w:r>
        <w:rPr>
          <w:lang w:val="en-US"/>
        </w:rPr>
        <w:t>Eligibility Specialists (also Maximus workers)</w:t>
      </w:r>
    </w:p>
    <w:p w14:paraId="70E7DF98" w14:textId="0BFE11D9" w:rsidR="009D148C" w:rsidRPr="00F97E04" w:rsidRDefault="009D148C" w:rsidP="00675753">
      <w:pPr>
        <w:pStyle w:val="BulletNEW"/>
        <w:rPr>
          <w:lang w:val="en-US"/>
        </w:rPr>
      </w:pPr>
      <w:r>
        <w:rPr>
          <w:lang w:val="en-US"/>
        </w:rPr>
        <w:t>Back-Office Workers (DOH workers)</w:t>
      </w:r>
    </w:p>
    <w:p w14:paraId="4A37E444" w14:textId="517F9082" w:rsidR="00080E02" w:rsidRPr="00F97E04" w:rsidRDefault="00470286" w:rsidP="00675753">
      <w:pPr>
        <w:pStyle w:val="BulletNEW"/>
        <w:rPr>
          <w:lang w:val="en-US"/>
        </w:rPr>
      </w:pPr>
      <w:r>
        <w:rPr>
          <w:lang w:val="en-US"/>
        </w:rPr>
        <w:t>Assistor Portal</w:t>
      </w:r>
    </w:p>
    <w:p w14:paraId="12790E9A" w14:textId="38833F27" w:rsidR="00080E02" w:rsidRPr="00F97E04" w:rsidRDefault="00470286" w:rsidP="00675753">
      <w:pPr>
        <w:pStyle w:val="BulletNEW"/>
        <w:rPr>
          <w:lang w:val="en-US"/>
        </w:rPr>
      </w:pPr>
      <w:r>
        <w:rPr>
          <w:lang w:val="en-US"/>
        </w:rPr>
        <w:t>Assistors</w:t>
      </w:r>
    </w:p>
    <w:p w14:paraId="27F8AAF3" w14:textId="259DC696" w:rsidR="00C43FAE" w:rsidRPr="00F97E04" w:rsidRDefault="00470286" w:rsidP="00675753">
      <w:pPr>
        <w:pStyle w:val="BulletNEW"/>
        <w:rPr>
          <w:rFonts w:eastAsia="Verdana"/>
          <w:lang w:val="en-US"/>
        </w:rPr>
      </w:pPr>
      <w:r>
        <w:rPr>
          <w:lang w:val="en-US"/>
        </w:rPr>
        <w:t>DOH Admin</w:t>
      </w:r>
    </w:p>
    <w:p w14:paraId="62B4B75E" w14:textId="11CEF4C4" w:rsidR="00FC3F08" w:rsidRPr="00F97E04" w:rsidRDefault="00FC3F08" w:rsidP="002E635F">
      <w:pPr>
        <w:pStyle w:val="Heading2"/>
        <w:rPr>
          <w:noProof w:val="0"/>
        </w:rPr>
      </w:pPr>
      <w:bookmarkStart w:id="13" w:name="_Toc211268636"/>
      <w:r>
        <w:rPr>
          <w:noProof w:val="0"/>
        </w:rPr>
        <w:t>Security and Privacy Overview</w:t>
      </w:r>
      <w:bookmarkEnd w:id="13"/>
    </w:p>
    <w:p w14:paraId="0878BC65" w14:textId="03F23D0D" w:rsidR="00BB22D7" w:rsidRPr="00F97E04" w:rsidRDefault="00BB22D7" w:rsidP="00BB22D7">
      <w:pPr>
        <w:pStyle w:val="NormalNEW"/>
      </w:pPr>
      <w:r>
        <w:t>Deloitte is responsible for performing the operations and maintenance of MECM in compliance with the federal regulatory requirements listed in the documents below:</w:t>
      </w:r>
    </w:p>
    <w:p w14:paraId="1AE01AE7" w14:textId="60ACD62F" w:rsidR="00BB22D7" w:rsidRPr="00F97E04" w:rsidRDefault="1C2A7B5F" w:rsidP="00675753">
      <w:pPr>
        <w:pStyle w:val="BulletNEW"/>
        <w:rPr>
          <w:lang w:val="en-US"/>
        </w:rPr>
      </w:pPr>
      <w:r>
        <w:rPr>
          <w:lang w:val="en-US"/>
        </w:rPr>
        <w:t>Centers for Medicare &amp; Medicaid Services (CMS) Minimum Acceptable Risk Standards for Exchanges (MARS-E), Version 2.0, as well as upgrades to the Acceptable Risk controls for Affordable Care Act (ACA), Medicaid and Partner Entities</w:t>
      </w:r>
    </w:p>
    <w:p w14:paraId="2274C9D7" w14:textId="0F427386" w:rsidR="00BB22D7" w:rsidRPr="00F97E04" w:rsidRDefault="00BB22D7" w:rsidP="00675753">
      <w:pPr>
        <w:pStyle w:val="BulletNEW"/>
        <w:rPr>
          <w:lang w:val="en-US"/>
        </w:rPr>
      </w:pPr>
      <w:r>
        <w:rPr>
          <w:lang w:val="en-US"/>
        </w:rPr>
        <w:t>Internal Revenue Service (IRS) Publication 1075</w:t>
      </w:r>
    </w:p>
    <w:p w14:paraId="7570003D" w14:textId="38DC63F0" w:rsidR="00BB22D7" w:rsidRPr="00F97E04" w:rsidRDefault="00BB22D7" w:rsidP="00675753">
      <w:pPr>
        <w:pStyle w:val="BulletNEW"/>
        <w:rPr>
          <w:lang w:val="en-US"/>
        </w:rPr>
      </w:pPr>
      <w:r>
        <w:rPr>
          <w:lang w:val="en-US"/>
        </w:rPr>
        <w:t>Social Security Administration (SSA) Technical System Security Requirements (TSSR)</w:t>
      </w:r>
    </w:p>
    <w:p w14:paraId="43BF6FAE" w14:textId="1F9C0889" w:rsidR="00BE5D59" w:rsidRPr="00F97E04" w:rsidRDefault="0065770A" w:rsidP="00675753">
      <w:pPr>
        <w:pStyle w:val="BulletNEW"/>
        <w:rPr>
          <w:lang w:val="en-US"/>
        </w:rPr>
      </w:pPr>
      <w:r>
        <w:rPr>
          <w:lang w:val="en-US"/>
        </w:rPr>
        <w:t>NYS Information Technology Services (ITS) Security Policies and Standards</w:t>
      </w:r>
    </w:p>
    <w:p w14:paraId="64C61AC5" w14:textId="1B5C5671" w:rsidR="00BB22D7" w:rsidRPr="00F97E04" w:rsidRDefault="00403F6A" w:rsidP="007C569E">
      <w:pPr>
        <w:pStyle w:val="NormalNEW"/>
      </w:pPr>
      <w:r>
        <w:t>Deloitte is responsible for performing operations and maintenance of MECM in compliance with the NYS ITS regulatory requirements listed in the documents below:</w:t>
      </w:r>
    </w:p>
    <w:p w14:paraId="1EFDE617" w14:textId="3FB7F396" w:rsidR="00BB22D7" w:rsidRPr="00F97E04" w:rsidRDefault="00BB22D7" w:rsidP="00675753">
      <w:pPr>
        <w:pStyle w:val="BulletNEW"/>
        <w:rPr>
          <w:lang w:val="en-US"/>
        </w:rPr>
      </w:pPr>
      <w:r>
        <w:rPr>
          <w:lang w:val="en-US"/>
        </w:rPr>
        <w:t>Behavioral Health Confidentiality Limitations in 33-3-103</w:t>
      </w:r>
    </w:p>
    <w:p w14:paraId="0D70B0C3" w14:textId="2DA09B38" w:rsidR="00BB22D7" w:rsidRPr="00F97E04" w:rsidRDefault="00BB22D7" w:rsidP="00675753">
      <w:pPr>
        <w:pStyle w:val="BulletNEW"/>
        <w:rPr>
          <w:lang w:val="en-US"/>
        </w:rPr>
      </w:pPr>
      <w:r>
        <w:rPr>
          <w:lang w:val="en-US"/>
        </w:rPr>
        <w:t>Open Records Act Requirements of 10-7-501</w:t>
      </w:r>
    </w:p>
    <w:p w14:paraId="3739E95B" w14:textId="68CC5DB4" w:rsidR="00BB22D7" w:rsidRPr="00F97E04" w:rsidRDefault="00BB22D7" w:rsidP="00A52DF8">
      <w:pPr>
        <w:pStyle w:val="MainBodyText0"/>
      </w:pPr>
      <w:r>
        <w:t>Deloitte maintains the CMS System Security Plan (SSP), IRS Safeguard Security Reports (SSR), and Social Security Administration (SSA) Security Design Plan (SDP) deliverables to describe the following:</w:t>
      </w:r>
    </w:p>
    <w:p w14:paraId="43BA0A98" w14:textId="2656EFAD" w:rsidR="00BB22D7" w:rsidRPr="00F97E04" w:rsidRDefault="00BB22D7" w:rsidP="00675753">
      <w:pPr>
        <w:pStyle w:val="BulletNEW"/>
        <w:rPr>
          <w:lang w:val="en-US"/>
        </w:rPr>
      </w:pPr>
      <w:r>
        <w:rPr>
          <w:lang w:val="en-US"/>
        </w:rPr>
        <w:t xml:space="preserve">The security and privacy controls in place or planned actions for complying with federal security and privacy requirements </w:t>
      </w:r>
    </w:p>
    <w:p w14:paraId="53354E72" w14:textId="703594AA" w:rsidR="00BB22D7" w:rsidRPr="00F97E04" w:rsidRDefault="00BB22D7" w:rsidP="00675753">
      <w:pPr>
        <w:pStyle w:val="BulletNEW"/>
        <w:rPr>
          <w:lang w:val="en-US"/>
        </w:rPr>
      </w:pPr>
      <w:r>
        <w:rPr>
          <w:lang w:val="en-US"/>
        </w:rPr>
        <w:t>How management, operational, and technical controls employed by Deloitte are compliant with federal regulations</w:t>
      </w:r>
    </w:p>
    <w:p w14:paraId="3F0F5477" w14:textId="52952F46" w:rsidR="00BB22D7" w:rsidRPr="00F97E04" w:rsidRDefault="00BB22D7" w:rsidP="00675753">
      <w:pPr>
        <w:pStyle w:val="BulletNEW"/>
        <w:rPr>
          <w:lang w:val="en-US"/>
        </w:rPr>
      </w:pPr>
      <w:r>
        <w:rPr>
          <w:lang w:val="en-US"/>
        </w:rPr>
        <w:t>The operational environment for MECM and relationships with or connections to other information systems</w:t>
      </w:r>
    </w:p>
    <w:p w14:paraId="4A282608" w14:textId="40437176" w:rsidR="00BB22D7" w:rsidRPr="00F97E04" w:rsidRDefault="00BB22D7" w:rsidP="00675753">
      <w:pPr>
        <w:pStyle w:val="BulletNEW"/>
        <w:rPr>
          <w:lang w:val="en-US"/>
        </w:rPr>
      </w:pPr>
      <w:r>
        <w:rPr>
          <w:lang w:val="en-US"/>
        </w:rPr>
        <w:t>A detailed description of the security tools utilized by MECM</w:t>
      </w:r>
    </w:p>
    <w:p w14:paraId="49EB80F1" w14:textId="7EB9177E" w:rsidR="00FC3F08" w:rsidRPr="00F97E04" w:rsidRDefault="1C2A7B5F" w:rsidP="00DF7C2D">
      <w:pPr>
        <w:pStyle w:val="MainBodyText0"/>
      </w:pPr>
      <w:r>
        <w:lastRenderedPageBreak/>
        <w:t>During operations and maintenance, Deloitte manages annual federal compliance documentation updates for CMS (i.e., Information Security Risk Assessment (ISRA), SSP, Privacy Impact Assessment (PIA), IRS (i.e., SSR), and SSA (i.e., Security Evaluation Questionnaire (SEQ and Security Requirements Traceability Matrix (SRTM)).</w:t>
      </w:r>
    </w:p>
    <w:p w14:paraId="240923EB" w14:textId="20BD25C3" w:rsidR="004C2BC5" w:rsidRPr="00F97E04" w:rsidRDefault="00D4412C">
      <w:pPr>
        <w:pStyle w:val="Heading2"/>
        <w:rPr>
          <w:noProof w:val="0"/>
        </w:rPr>
      </w:pPr>
      <w:bookmarkStart w:id="14" w:name="_Toc210652063"/>
      <w:bookmarkStart w:id="15" w:name="_Toc211268637"/>
      <w:bookmarkEnd w:id="14"/>
      <w:r>
        <w:rPr>
          <w:noProof w:val="0"/>
        </w:rPr>
        <w:t>System Availability</w:t>
      </w:r>
      <w:bookmarkEnd w:id="15"/>
    </w:p>
    <w:p w14:paraId="4DCB06CB" w14:textId="59E3EA00" w:rsidR="00F82315" w:rsidRPr="00F97E04" w:rsidRDefault="00F82315" w:rsidP="00675753">
      <w:pPr>
        <w:pStyle w:val="MainBodyText"/>
      </w:pPr>
      <w:r>
        <w:t>The table below indicates system availability: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1620"/>
        <w:gridCol w:w="1620"/>
        <w:gridCol w:w="4585"/>
      </w:tblGrid>
      <w:tr w:rsidR="00D4215E" w:rsidRPr="00F97E04" w14:paraId="2AE0FA69" w14:textId="77777777" w:rsidTr="000414F6">
        <w:trPr>
          <w:tblHeader/>
          <w:jc w:val="center"/>
        </w:trPr>
        <w:tc>
          <w:tcPr>
            <w:tcW w:w="4765" w:type="dxa"/>
            <w:gridSpan w:val="3"/>
            <w:tcBorders>
              <w:right w:val="single" w:sz="4" w:space="0" w:color="FFFFFF" w:themeColor="background1"/>
            </w:tcBorders>
            <w:shd w:val="clear" w:color="auto" w:fill="000000" w:themeFill="text1"/>
            <w:noWrap/>
            <w:hideMark/>
          </w:tcPr>
          <w:p w14:paraId="3E3BEC2F" w14:textId="77777777" w:rsidR="00D4412C" w:rsidRPr="00F97E04" w:rsidRDefault="00D4412C" w:rsidP="00FC606E">
            <w:pPr>
              <w:spacing w:before="60" w:after="60"/>
              <w:rPr>
                <w:rFonts w:eastAsia="Times New Roman" w:cs="Calibri"/>
                <w:b/>
                <w:bCs/>
                <w:color w:val="FFFFFF"/>
              </w:rPr>
            </w:pPr>
            <w:r>
              <w:rPr>
                <w:rFonts w:eastAsia="Times New Roman" w:cs="Calibri"/>
                <w:b/>
                <w:bCs/>
                <w:color w:val="FFFFFF"/>
              </w:rPr>
              <w:t>Description</w:t>
            </w:r>
          </w:p>
        </w:tc>
        <w:tc>
          <w:tcPr>
            <w:tcW w:w="4585" w:type="dxa"/>
            <w:tcBorders>
              <w:left w:val="single" w:sz="4" w:space="0" w:color="FFFFFF" w:themeColor="background1"/>
            </w:tcBorders>
            <w:shd w:val="clear" w:color="auto" w:fill="000000" w:themeFill="text1"/>
            <w:noWrap/>
            <w:hideMark/>
          </w:tcPr>
          <w:p w14:paraId="125390A6" w14:textId="77777777" w:rsidR="00D4412C" w:rsidRPr="00F97E04" w:rsidRDefault="00D4412C" w:rsidP="00FC606E">
            <w:pPr>
              <w:spacing w:before="60" w:after="60"/>
              <w:jc w:val="center"/>
              <w:rPr>
                <w:rFonts w:eastAsia="Times New Roman" w:cs="Calibri"/>
                <w:b/>
                <w:bCs/>
                <w:color w:val="FFFFFF"/>
              </w:rPr>
            </w:pPr>
            <w:r>
              <w:rPr>
                <w:rFonts w:eastAsia="Times New Roman" w:cs="Calibri"/>
                <w:b/>
                <w:bCs/>
                <w:color w:val="FFFFFF"/>
              </w:rPr>
              <w:t>MECM</w:t>
            </w:r>
          </w:p>
        </w:tc>
      </w:tr>
      <w:tr w:rsidR="002707A3" w:rsidRPr="00F97E04" w14:paraId="0C51CE92" w14:textId="77777777" w:rsidTr="000414F6">
        <w:trPr>
          <w:trHeight w:val="830"/>
          <w:jc w:val="center"/>
        </w:trPr>
        <w:tc>
          <w:tcPr>
            <w:tcW w:w="4765" w:type="dxa"/>
            <w:gridSpan w:val="3"/>
            <w:hideMark/>
          </w:tcPr>
          <w:p w14:paraId="13F35A46" w14:textId="77777777" w:rsidR="00D4412C" w:rsidRPr="00F97E04" w:rsidRDefault="00D4412C" w:rsidP="00FC606E">
            <w:pPr>
              <w:spacing w:before="60" w:after="60"/>
              <w:rPr>
                <w:rFonts w:eastAsia="Times New Roman" w:cs="Calibri"/>
                <w:b/>
                <w:bCs/>
              </w:rPr>
            </w:pPr>
            <w:r>
              <w:rPr>
                <w:rFonts w:eastAsia="Times New Roman" w:cs="Calibri"/>
                <w:b/>
                <w:bCs/>
              </w:rPr>
              <w:t>System Availability (Prod)</w:t>
            </w:r>
          </w:p>
        </w:tc>
        <w:tc>
          <w:tcPr>
            <w:tcW w:w="4585" w:type="dxa"/>
            <w:hideMark/>
          </w:tcPr>
          <w:p w14:paraId="087AAFEF" w14:textId="647ADE1A" w:rsidR="003A5B42" w:rsidRPr="00F97E04" w:rsidRDefault="00D4412C" w:rsidP="00FC606E">
            <w:pPr>
              <w:spacing w:before="60" w:after="60"/>
            </w:pPr>
            <w:r>
              <w:t>Worker Portal: scheduled daily service hours</w:t>
            </w:r>
          </w:p>
          <w:p w14:paraId="60648BBD" w14:textId="65BC1FFD" w:rsidR="00D4412C" w:rsidRPr="00F97E04" w:rsidRDefault="00D4412C" w:rsidP="00FC606E">
            <w:pPr>
              <w:spacing w:before="60" w:after="60"/>
              <w:rPr>
                <w:rFonts w:eastAsia="Times New Roman" w:cs="Calibri"/>
                <w:color w:val="000000"/>
              </w:rPr>
            </w:pPr>
            <w:r>
              <w:t>Member Portal: 24 X 7</w:t>
            </w:r>
          </w:p>
        </w:tc>
      </w:tr>
      <w:tr w:rsidR="002707A3" w:rsidRPr="00F97E04" w14:paraId="590B8AE3" w14:textId="77777777" w:rsidTr="000414F6">
        <w:trPr>
          <w:trHeight w:val="254"/>
          <w:jc w:val="center"/>
        </w:trPr>
        <w:tc>
          <w:tcPr>
            <w:tcW w:w="1525" w:type="dxa"/>
            <w:noWrap/>
            <w:hideMark/>
          </w:tcPr>
          <w:p w14:paraId="396E62A6" w14:textId="6615E79A" w:rsidR="00D4412C" w:rsidRPr="00F97E04" w:rsidRDefault="00D4412C" w:rsidP="00FC606E">
            <w:pPr>
              <w:spacing w:before="60" w:after="60"/>
              <w:rPr>
                <w:rFonts w:eastAsia="Times New Roman" w:cs="Calibri"/>
                <w:b/>
                <w:bCs/>
                <w:color w:val="000000"/>
              </w:rPr>
            </w:pPr>
            <w:r>
              <w:rPr>
                <w:rFonts w:eastAsia="Times New Roman" w:cs="Calibri"/>
                <w:b/>
                <w:bCs/>
                <w:color w:val="000000"/>
              </w:rPr>
              <w:t>Maintenance Schedule (Prod)</w:t>
            </w:r>
          </w:p>
        </w:tc>
        <w:tc>
          <w:tcPr>
            <w:tcW w:w="1620" w:type="dxa"/>
            <w:noWrap/>
            <w:hideMark/>
          </w:tcPr>
          <w:p w14:paraId="29FE58D1" w14:textId="4233B590" w:rsidR="00737779" w:rsidRPr="00F97E04" w:rsidRDefault="0062141A" w:rsidP="00FC606E">
            <w:pPr>
              <w:spacing w:before="60" w:after="60"/>
              <w:rPr>
                <w:rFonts w:eastAsia="Times New Roman" w:cs="Calibri"/>
                <w:b/>
              </w:rPr>
            </w:pPr>
            <w:r>
              <w:rPr>
                <w:rFonts w:eastAsia="Times New Roman" w:cs="Calibri"/>
                <w:b/>
                <w:bCs/>
              </w:rPr>
              <w:t>OS Patching</w:t>
            </w:r>
          </w:p>
        </w:tc>
        <w:tc>
          <w:tcPr>
            <w:tcW w:w="1620" w:type="dxa"/>
          </w:tcPr>
          <w:p w14:paraId="1DA2262A" w14:textId="62B1F2AF" w:rsidR="00737779" w:rsidRPr="00F97E04" w:rsidRDefault="0062141A" w:rsidP="00FC606E">
            <w:pPr>
              <w:spacing w:before="60" w:after="60"/>
              <w:rPr>
                <w:rFonts w:eastAsia="Times New Roman" w:cs="Calibri"/>
                <w:b/>
              </w:rPr>
            </w:pPr>
            <w:r>
              <w:rPr>
                <w:rFonts w:eastAsia="Times New Roman" w:cs="Calibri"/>
                <w:b/>
                <w:bCs/>
              </w:rPr>
              <w:t>Software Patching</w:t>
            </w:r>
          </w:p>
        </w:tc>
        <w:tc>
          <w:tcPr>
            <w:tcW w:w="4585" w:type="dxa"/>
          </w:tcPr>
          <w:p w14:paraId="43C433FF" w14:textId="6739AD39" w:rsidR="00D4412C" w:rsidRPr="00F97E04" w:rsidRDefault="0062141A" w:rsidP="00FC606E">
            <w:pPr>
              <w:spacing w:before="60" w:after="60"/>
              <w:rPr>
                <w:rFonts w:eastAsia="Times New Roman" w:cs="Calibri"/>
                <w:b/>
              </w:rPr>
            </w:pPr>
            <w:r>
              <w:rPr>
                <w:rFonts w:eastAsia="Times New Roman" w:cs="Calibri"/>
                <w:b/>
                <w:bCs/>
              </w:rPr>
              <w:t>Deployment</w:t>
            </w:r>
          </w:p>
        </w:tc>
      </w:tr>
      <w:tr w:rsidR="00A202D6" w:rsidRPr="00F97E04" w14:paraId="109E5EC9" w14:textId="77777777" w:rsidTr="000414F6">
        <w:trPr>
          <w:trHeight w:val="1001"/>
          <w:jc w:val="center"/>
        </w:trPr>
        <w:tc>
          <w:tcPr>
            <w:tcW w:w="1525" w:type="dxa"/>
            <w:noWrap/>
          </w:tcPr>
          <w:p w14:paraId="7E2FBC0B" w14:textId="77777777" w:rsidR="00C754FD" w:rsidRPr="00F97E04" w:rsidRDefault="00C754FD" w:rsidP="00FC606E">
            <w:pPr>
              <w:spacing w:before="60" w:after="60"/>
              <w:rPr>
                <w:rFonts w:eastAsia="Times New Roman" w:cs="Calibri"/>
                <w:b/>
                <w:bCs/>
                <w:color w:val="000000"/>
              </w:rPr>
            </w:pPr>
          </w:p>
        </w:tc>
        <w:tc>
          <w:tcPr>
            <w:tcW w:w="1620" w:type="dxa"/>
          </w:tcPr>
          <w:p w14:paraId="4F4051C0" w14:textId="3C1586D7" w:rsidR="00C754FD" w:rsidRPr="00F97E04" w:rsidRDefault="00C754FD" w:rsidP="00303310">
            <w:pPr>
              <w:numPr>
                <w:ilvl w:val="0"/>
                <w:numId w:val="39"/>
              </w:numPr>
              <w:tabs>
                <w:tab w:val="clear" w:pos="720"/>
                <w:tab w:val="num" w:pos="256"/>
              </w:tabs>
              <w:spacing w:before="60" w:after="60"/>
              <w:ind w:left="250" w:hanging="264"/>
              <w:rPr>
                <w:rFonts w:eastAsia="Times New Roman" w:cs="Calibri"/>
              </w:rPr>
            </w:pPr>
            <w:r>
              <w:rPr>
                <w:rFonts w:eastAsia="Times New Roman" w:cs="Calibri"/>
              </w:rPr>
              <w:t>Scheduled maintenance window</w:t>
            </w:r>
          </w:p>
          <w:p w14:paraId="084DF81F" w14:textId="6618753C" w:rsidR="00C754FD" w:rsidRPr="00F97E04" w:rsidRDefault="00C754FD" w:rsidP="00303310">
            <w:pPr>
              <w:numPr>
                <w:ilvl w:val="0"/>
                <w:numId w:val="39"/>
              </w:numPr>
              <w:tabs>
                <w:tab w:val="clear" w:pos="720"/>
                <w:tab w:val="num" w:pos="256"/>
              </w:tabs>
              <w:spacing w:before="60" w:after="60"/>
              <w:ind w:left="250" w:hanging="264"/>
              <w:rPr>
                <w:rFonts w:eastAsia="Times New Roman" w:cs="Calibri"/>
              </w:rPr>
            </w:pPr>
            <w:r>
              <w:rPr>
                <w:rFonts w:eastAsia="Times New Roman" w:cs="Calibri"/>
              </w:rPr>
              <w:t>Monthly, per the published schedule</w:t>
            </w:r>
          </w:p>
        </w:tc>
        <w:tc>
          <w:tcPr>
            <w:tcW w:w="1620" w:type="dxa"/>
          </w:tcPr>
          <w:p w14:paraId="28F3AAF2" w14:textId="77777777" w:rsidR="00C754FD" w:rsidRPr="00F97E04" w:rsidRDefault="00C754FD" w:rsidP="003A6ABD">
            <w:pPr>
              <w:numPr>
                <w:ilvl w:val="0"/>
                <w:numId w:val="40"/>
              </w:numPr>
              <w:tabs>
                <w:tab w:val="clear" w:pos="720"/>
              </w:tabs>
              <w:spacing w:before="60" w:after="60"/>
              <w:ind w:left="220" w:hanging="220"/>
              <w:rPr>
                <w:rFonts w:eastAsia="Times New Roman" w:cs="Calibri"/>
              </w:rPr>
            </w:pPr>
            <w:r>
              <w:rPr>
                <w:rFonts w:eastAsia="Times New Roman" w:cs="Calibri"/>
              </w:rPr>
              <w:t>Scheduled maintenance window</w:t>
            </w:r>
          </w:p>
          <w:p w14:paraId="4B619A7D" w14:textId="4CDBD7D3" w:rsidR="00412A66" w:rsidRPr="003A6ABD" w:rsidRDefault="00C754FD" w:rsidP="003A6ABD">
            <w:pPr>
              <w:numPr>
                <w:ilvl w:val="0"/>
                <w:numId w:val="40"/>
              </w:numPr>
              <w:tabs>
                <w:tab w:val="clear" w:pos="720"/>
              </w:tabs>
              <w:spacing w:before="60" w:after="60"/>
              <w:ind w:left="220" w:hanging="220"/>
              <w:rPr>
                <w:rFonts w:eastAsia="Times New Roman" w:cs="Calibri"/>
              </w:rPr>
            </w:pPr>
            <w:r>
              <w:rPr>
                <w:rFonts w:eastAsia="Times New Roman" w:cs="Calibri"/>
              </w:rPr>
              <w:t>Monthly, per the published schedule</w:t>
            </w:r>
          </w:p>
        </w:tc>
        <w:tc>
          <w:tcPr>
            <w:tcW w:w="4585" w:type="dxa"/>
          </w:tcPr>
          <w:p w14:paraId="39190603" w14:textId="08349E1F" w:rsidR="0062141A" w:rsidRPr="00F97E04" w:rsidRDefault="007E1FC7" w:rsidP="00FC606E">
            <w:pPr>
              <w:numPr>
                <w:ilvl w:val="0"/>
                <w:numId w:val="40"/>
              </w:numPr>
              <w:tabs>
                <w:tab w:val="clear" w:pos="720"/>
                <w:tab w:val="num" w:pos="436"/>
              </w:tabs>
              <w:spacing w:before="60" w:after="60"/>
              <w:ind w:left="436"/>
              <w:rPr>
                <w:rFonts w:eastAsia="Times New Roman" w:cs="Calibri"/>
              </w:rPr>
            </w:pPr>
            <w:r>
              <w:rPr>
                <w:rFonts w:eastAsia="Times New Roman" w:cs="Calibri"/>
              </w:rPr>
              <w:t xml:space="preserve">Monthly deployment during a scheduled evening window </w:t>
            </w:r>
          </w:p>
          <w:p w14:paraId="7BAF56B5" w14:textId="2CC0AE47" w:rsidR="00412A66" w:rsidRPr="00F97E04" w:rsidRDefault="00DE6038" w:rsidP="00FC606E">
            <w:pPr>
              <w:numPr>
                <w:ilvl w:val="0"/>
                <w:numId w:val="40"/>
              </w:numPr>
              <w:tabs>
                <w:tab w:val="clear" w:pos="720"/>
              </w:tabs>
              <w:spacing w:before="60" w:after="60"/>
              <w:ind w:left="436"/>
              <w:rPr>
                <w:rFonts w:eastAsia="Times New Roman" w:cs="Calibri"/>
              </w:rPr>
            </w:pPr>
            <w:r>
              <w:rPr>
                <w:rFonts w:eastAsia="Times New Roman" w:cs="Calibri"/>
              </w:rPr>
              <w:t>Patch deployment as needed during a scheduled evening window</w:t>
            </w:r>
          </w:p>
        </w:tc>
      </w:tr>
    </w:tbl>
    <w:p w14:paraId="7818F32D" w14:textId="179E60AC" w:rsidR="00526AB1" w:rsidRPr="00F97E04" w:rsidRDefault="00526AB1" w:rsidP="00526AB1">
      <w:pPr>
        <w:pStyle w:val="Caption"/>
        <w:keepNext/>
      </w:pPr>
      <w:bookmarkStart w:id="16" w:name="_Toc211268671"/>
      <w:r>
        <w:t xml:space="preserve">Table </w:t>
      </w:r>
      <w:fldSimple w:instr=" STYLEREF 1 \s ">
        <w:r>
          <w:rPr>
            <w:noProof/>
          </w:rPr>
          <w:t>3</w:t>
        </w:r>
      </w:fldSimple>
      <w:r>
        <w:noBreakHyphen/>
      </w:r>
      <w:fldSimple w:instr=" SEQ Table \* ARABIC \s 1 ">
        <w:r>
          <w:rPr>
            <w:noProof/>
          </w:rPr>
          <w:t>1</w:t>
        </w:r>
      </w:fldSimple>
      <w:r>
        <w:t>: System Availability</w:t>
      </w:r>
      <w:bookmarkEnd w:id="16"/>
    </w:p>
    <w:p w14:paraId="3A09531F" w14:textId="4EECFB3B" w:rsidR="0046792C" w:rsidRPr="00F97E04" w:rsidRDefault="0046792C" w:rsidP="00526AB1">
      <w:pPr>
        <w:pStyle w:val="Caption"/>
        <w:jc w:val="left"/>
      </w:pPr>
      <w:r>
        <w:br w:type="page"/>
      </w:r>
    </w:p>
    <w:p w14:paraId="6ABE77B0" w14:textId="210660B7" w:rsidR="00FC3F08" w:rsidRPr="00F97E04" w:rsidRDefault="00625157" w:rsidP="009C1BD0">
      <w:pPr>
        <w:pStyle w:val="Heading1"/>
        <w:rPr>
          <w:noProof w:val="0"/>
        </w:rPr>
      </w:pPr>
      <w:bookmarkStart w:id="17" w:name="_Toc211268638"/>
      <w:r>
        <w:rPr>
          <w:noProof w:val="0"/>
        </w:rPr>
        <w:lastRenderedPageBreak/>
        <w:t>Maintenance and Operations Processes and Procedures</w:t>
      </w:r>
      <w:bookmarkEnd w:id="17"/>
    </w:p>
    <w:p w14:paraId="0B1447C5" w14:textId="0DA18D87" w:rsidR="00214CF4" w:rsidRDefault="00D56881" w:rsidP="00DF7C2D">
      <w:pPr>
        <w:pStyle w:val="MainBodyText0"/>
      </w:pPr>
      <w:r>
        <w:t>The M&amp;O Processes and Procedures contains a standardized set of components to support consistent execution, compliance, and continuous improvement of the MECM system.</w:t>
      </w:r>
    </w:p>
    <w:p w14:paraId="26F29F0A" w14:textId="4F584048" w:rsidR="00D56881" w:rsidRPr="00F97E04" w:rsidRDefault="006B33D4" w:rsidP="00DF7C2D">
      <w:pPr>
        <w:pStyle w:val="MainBodyText0"/>
      </w:pPr>
      <w:r>
        <w:t>stems. These processes are grouped by process area and captured as unique, individual Microsoft Word documents in addition to content of the M&amp;O Run Book. This structure provides a sustainable model for updating specific processes independently from the whole M&amp;O Run Book as well as providing easy communication of processes during M&amp;O. All M&amp;O processes are stored in the designated SharePoint location for MECM. Changes to M&amp;O Run Book processes proceed through the approved deliverable management process that is part of the ISOW Project Management Plan (PMP).</w:t>
      </w:r>
    </w:p>
    <w:p w14:paraId="45AF696F" w14:textId="1371A170" w:rsidR="00A955A9" w:rsidRPr="00F97E04" w:rsidRDefault="4CB229DD" w:rsidP="00DF7C2D">
      <w:pPr>
        <w:pStyle w:val="MainBodyText0"/>
      </w:pPr>
      <w:r>
        <w:t>Each sub-section of Section 4 Maintenance and Operations Processes and Procedures includes tables listing relevant M&amp;O processes and procedures, along with descriptions. Each process or procedure refers to a separate document as needed. The Configuration Management Plan (CMP) will also specify how the inventory of M&amp;O processes and procedures is managed separately from other contractual deliverables.</w:t>
      </w:r>
    </w:p>
    <w:p w14:paraId="17789979" w14:textId="6F1B71E6" w:rsidR="00C43FAE" w:rsidRPr="00F97E04" w:rsidRDefault="00D56881" w:rsidP="00DF7C2D">
      <w:pPr>
        <w:pStyle w:val="MainBodyText0"/>
      </w:pPr>
      <w:r>
        <w:t>The process areas listed below are based on Information Technology Service Management (ITSM) / Information Technology Infrastructure Library (ITIL) and comply with the prescribed process areas from the original MECM contract. These process areas are also based on the operations and maintenance required specifically for MECM and are tailored to meet the needs of the organization.</w:t>
      </w:r>
    </w:p>
    <w:p w14:paraId="2802887C" w14:textId="76838B22" w:rsidR="00FC3F08" w:rsidRPr="00F97E04" w:rsidRDefault="00FC3F08" w:rsidP="009C1BD0">
      <w:pPr>
        <w:pStyle w:val="Heading2"/>
        <w:rPr>
          <w:noProof w:val="0"/>
        </w:rPr>
      </w:pPr>
      <w:bookmarkStart w:id="18" w:name="_Toc211268639"/>
      <w:r>
        <w:rPr>
          <w:noProof w:val="0"/>
        </w:rPr>
        <w:t>Standard Operating Procedures</w:t>
      </w:r>
      <w:bookmarkEnd w:id="18"/>
    </w:p>
    <w:p w14:paraId="287CA003" w14:textId="1DA5A7C8" w:rsidR="00C43FAE" w:rsidRPr="00F97E04" w:rsidRDefault="00FD3D09" w:rsidP="00DF7C2D">
      <w:pPr>
        <w:pStyle w:val="MainBodyText0"/>
      </w:pPr>
      <w:r>
        <w:t xml:space="preserve">This section defines SOPs for the MECM system, grouped into broader categories. </w:t>
      </w:r>
    </w:p>
    <w:p w14:paraId="5DC8F15D" w14:textId="425517B4" w:rsidR="00FC3F08" w:rsidRPr="00F97E04" w:rsidRDefault="003015F2" w:rsidP="009A7247">
      <w:pPr>
        <w:pStyle w:val="Heading3"/>
      </w:pPr>
      <w:bookmarkStart w:id="19" w:name="_Toc210652067"/>
      <w:bookmarkStart w:id="20" w:name="_Toc211268640"/>
      <w:bookmarkEnd w:id="19"/>
      <w:r>
        <w:t>General Operations</w:t>
      </w:r>
      <w:bookmarkEnd w:id="20"/>
    </w:p>
    <w:p w14:paraId="5153CBF4" w14:textId="1425AFAD" w:rsidR="00BF18B9" w:rsidRPr="00F97E04" w:rsidRDefault="00467357" w:rsidP="00DF7C2D">
      <w:pPr>
        <w:pStyle w:val="MainBodyText0"/>
      </w:pPr>
      <w:bookmarkStart w:id="21" w:name="_Toc205292923"/>
      <w:bookmarkStart w:id="22" w:name="_Toc205370391"/>
      <w:r>
        <w:t>This section outlines the processes and procedures for managing interfaces, notices, deployments, and data activities/management such as data fixes and data extracts. These procedures confirm that all routine operations are conducted efficiently and consistently.</w:t>
      </w:r>
      <w:bookmarkEnd w:id="21"/>
      <w:bookmarkEnd w:id="22"/>
    </w:p>
    <w:tbl>
      <w:tblPr>
        <w:tblW w:w="5000" w:type="pct"/>
        <w:jc w:val="center"/>
        <w:tblLook w:val="04A0" w:firstRow="1" w:lastRow="0" w:firstColumn="1" w:lastColumn="0" w:noHBand="0" w:noVBand="1"/>
      </w:tblPr>
      <w:tblGrid>
        <w:gridCol w:w="3437"/>
        <w:gridCol w:w="5923"/>
      </w:tblGrid>
      <w:tr w:rsidR="00BF18B9" w:rsidRPr="00F97E04" w14:paraId="316F9302" w14:textId="288E0BB3" w:rsidTr="007D4F2E">
        <w:trPr>
          <w:cantSplit/>
          <w:tblHeader/>
          <w:jc w:val="center"/>
        </w:trPr>
        <w:tc>
          <w:tcPr>
            <w:tcW w:w="1836" w:type="pct"/>
            <w:tcBorders>
              <w:bottom w:val="single" w:sz="4" w:space="0" w:color="auto"/>
              <w:right w:val="single" w:sz="4" w:space="0" w:color="FFFFFF" w:themeColor="background1"/>
            </w:tcBorders>
            <w:shd w:val="clear" w:color="auto" w:fill="000000" w:themeFill="text1"/>
          </w:tcPr>
          <w:p w14:paraId="60A8CD54" w14:textId="0CFAF17E" w:rsidR="00BF18B9" w:rsidRPr="00F97E04" w:rsidRDefault="00BF18B9" w:rsidP="007D4F2E">
            <w:pPr>
              <w:spacing w:before="60" w:after="60"/>
              <w:rPr>
                <w:b/>
              </w:rPr>
            </w:pPr>
            <w:r>
              <w:rPr>
                <w:b/>
              </w:rPr>
              <w:t xml:space="preserve">Process </w:t>
            </w:r>
            <w:r>
              <w:rPr>
                <w:b/>
                <w:bCs/>
              </w:rPr>
              <w:t xml:space="preserve">Name </w:t>
            </w:r>
          </w:p>
        </w:tc>
        <w:tc>
          <w:tcPr>
            <w:tcW w:w="3164" w:type="pct"/>
            <w:tcBorders>
              <w:left w:val="single" w:sz="4" w:space="0" w:color="FFFFFF" w:themeColor="background1"/>
              <w:bottom w:val="single" w:sz="4" w:space="0" w:color="auto"/>
            </w:tcBorders>
            <w:shd w:val="clear" w:color="auto" w:fill="000000" w:themeFill="text1"/>
          </w:tcPr>
          <w:p w14:paraId="3C371EB1" w14:textId="400AD9D1" w:rsidR="2F25B8AA" w:rsidRPr="00F97E04" w:rsidRDefault="2F25B8AA" w:rsidP="007D4F2E">
            <w:pPr>
              <w:spacing w:before="60" w:after="60"/>
              <w:rPr>
                <w:b/>
                <w:bCs/>
              </w:rPr>
            </w:pPr>
            <w:r>
              <w:rPr>
                <w:b/>
                <w:bCs/>
              </w:rPr>
              <w:t>Description</w:t>
            </w:r>
          </w:p>
        </w:tc>
      </w:tr>
      <w:tr w:rsidR="00BF18B9" w:rsidRPr="00F97E04" w14:paraId="5EAB2E2D" w14:textId="436304A6" w:rsidTr="007D4F2E">
        <w:trPr>
          <w:cantSplit/>
          <w:jc w:val="center"/>
        </w:trPr>
        <w:tc>
          <w:tcPr>
            <w:tcW w:w="1836" w:type="pct"/>
            <w:tcBorders>
              <w:top w:val="single" w:sz="4" w:space="0" w:color="auto"/>
              <w:left w:val="single" w:sz="4" w:space="0" w:color="auto"/>
              <w:bottom w:val="single" w:sz="4" w:space="0" w:color="auto"/>
              <w:right w:val="single" w:sz="4" w:space="0" w:color="auto"/>
            </w:tcBorders>
            <w:shd w:val="clear" w:color="auto" w:fill="FFFFFF" w:themeFill="background1"/>
          </w:tcPr>
          <w:p w14:paraId="206776A4" w14:textId="2F77C23F" w:rsidR="00BF18B9" w:rsidRPr="00F97E04" w:rsidRDefault="00915529" w:rsidP="007D4F2E">
            <w:pPr>
              <w:spacing w:before="60" w:after="60"/>
              <w:rPr>
                <w:rFonts w:cs="Arial"/>
              </w:rPr>
            </w:pPr>
            <w:r>
              <w:t>GOP-001_</w:t>
            </w:r>
            <w:r>
              <w:rPr>
                <w:rFonts w:cs="Arial"/>
              </w:rPr>
              <w:t>Manage Notices During M&amp;O</w:t>
            </w:r>
          </w:p>
        </w:tc>
        <w:tc>
          <w:tcPr>
            <w:tcW w:w="3164" w:type="pct"/>
            <w:tcBorders>
              <w:top w:val="single" w:sz="4" w:space="0" w:color="auto"/>
              <w:left w:val="single" w:sz="4" w:space="0" w:color="auto"/>
              <w:bottom w:val="single" w:sz="4" w:space="0" w:color="auto"/>
              <w:right w:val="single" w:sz="4" w:space="0" w:color="auto"/>
            </w:tcBorders>
          </w:tcPr>
          <w:p w14:paraId="188CE30D" w14:textId="4EE70C64" w:rsidR="4624C096" w:rsidRPr="00F97E04" w:rsidRDefault="00C75960" w:rsidP="007D4F2E">
            <w:pPr>
              <w:spacing w:before="60" w:after="60"/>
            </w:pPr>
            <w:r>
              <w:t>The process implemented to coordinate with the respective notices vendor to review the daily Operational Report and manage notices triggered and processed to validate and identify any discrepancies, take action as needed and notify all parties involved.</w:t>
            </w:r>
          </w:p>
        </w:tc>
      </w:tr>
      <w:tr w:rsidR="001F5941" w:rsidRPr="00F97E04" w14:paraId="516B9F7F" w14:textId="716593D8" w:rsidTr="007D4F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836" w:type="pct"/>
            <w:tcBorders>
              <w:top w:val="single" w:sz="4" w:space="0" w:color="auto"/>
              <w:left w:val="single" w:sz="4" w:space="0" w:color="auto"/>
              <w:bottom w:val="single" w:sz="4" w:space="0" w:color="auto"/>
              <w:right w:val="single" w:sz="4" w:space="0" w:color="auto"/>
            </w:tcBorders>
          </w:tcPr>
          <w:p w14:paraId="5461E347" w14:textId="03F0986C" w:rsidR="001F5941" w:rsidRPr="00F97E04" w:rsidDel="001D21CB" w:rsidRDefault="00532023" w:rsidP="007D4F2E">
            <w:pPr>
              <w:spacing w:before="60" w:after="60"/>
              <w:rPr>
                <w:rFonts w:cs="Arial"/>
                <w:color w:val="000000" w:themeColor="text1"/>
              </w:rPr>
            </w:pPr>
            <w:r>
              <w:t>GOP-002_</w:t>
            </w:r>
            <w:r>
              <w:rPr>
                <w:rFonts w:cs="Arial"/>
              </w:rPr>
              <w:t>Manage MECM Data Fix Process</w:t>
            </w:r>
          </w:p>
        </w:tc>
        <w:tc>
          <w:tcPr>
            <w:tcW w:w="3164" w:type="pct"/>
            <w:tcBorders>
              <w:top w:val="single" w:sz="4" w:space="0" w:color="auto"/>
              <w:left w:val="single" w:sz="4" w:space="0" w:color="auto"/>
              <w:bottom w:val="single" w:sz="4" w:space="0" w:color="auto"/>
              <w:right w:val="single" w:sz="4" w:space="0" w:color="auto"/>
            </w:tcBorders>
          </w:tcPr>
          <w:p w14:paraId="6B0DD1ED" w14:textId="62A78004" w:rsidR="4624C096" w:rsidRPr="00F97E04" w:rsidRDefault="005D4F97" w:rsidP="007D4F2E">
            <w:pPr>
              <w:spacing w:before="60" w:after="60"/>
              <w:rPr>
                <w:rFonts w:cs="Arial"/>
              </w:rPr>
            </w:pPr>
            <w:r>
              <w:rPr>
                <w:rFonts w:cs="Arial"/>
              </w:rPr>
              <w:t>The comprehensive process implemented for managing data fixes, that correct data issues caused by system errors and d</w:t>
            </w:r>
            <w:r>
              <w:rPr>
                <w:rFonts w:eastAsia="Verdana" w:cs="Verdana"/>
              </w:rPr>
              <w:t>ata change scripts, which are planned updates for business reasons, such as policy changes.</w:t>
            </w:r>
          </w:p>
        </w:tc>
      </w:tr>
      <w:tr w:rsidR="001F5941" w:rsidRPr="00F97E04" w14:paraId="712DA7E5" w14:textId="0E65B202" w:rsidTr="007D4F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836" w:type="pct"/>
            <w:tcBorders>
              <w:top w:val="single" w:sz="4" w:space="0" w:color="auto"/>
              <w:left w:val="single" w:sz="4" w:space="0" w:color="auto"/>
              <w:bottom w:val="single" w:sz="4" w:space="0" w:color="auto"/>
              <w:right w:val="single" w:sz="4" w:space="0" w:color="auto"/>
            </w:tcBorders>
          </w:tcPr>
          <w:p w14:paraId="2BEA38DC" w14:textId="1E11C317" w:rsidR="001F5941" w:rsidRPr="00F97E04" w:rsidRDefault="00B04DBB" w:rsidP="007D4F2E">
            <w:pPr>
              <w:spacing w:before="60" w:after="60"/>
              <w:rPr>
                <w:rFonts w:cs="Arial"/>
              </w:rPr>
            </w:pPr>
            <w:r>
              <w:t>GOP-003_</w:t>
            </w:r>
            <w:r>
              <w:rPr>
                <w:rFonts w:cs="Arial"/>
              </w:rPr>
              <w:t>Service Request Process</w:t>
            </w:r>
          </w:p>
        </w:tc>
        <w:tc>
          <w:tcPr>
            <w:tcW w:w="3164" w:type="pct"/>
            <w:tcBorders>
              <w:top w:val="single" w:sz="4" w:space="0" w:color="auto"/>
              <w:left w:val="single" w:sz="4" w:space="0" w:color="auto"/>
              <w:bottom w:val="single" w:sz="4" w:space="0" w:color="auto"/>
              <w:right w:val="single" w:sz="4" w:space="0" w:color="auto"/>
            </w:tcBorders>
          </w:tcPr>
          <w:p w14:paraId="10F18611" w14:textId="29C0C08C" w:rsidR="4624C096" w:rsidRPr="00F97E04" w:rsidRDefault="00485821" w:rsidP="007D4F2E">
            <w:pPr>
              <w:spacing w:before="60" w:after="60"/>
              <w:rPr>
                <w:rFonts w:cs="Arial"/>
              </w:rPr>
            </w:pPr>
            <w:r>
              <w:rPr>
                <w:rFonts w:cs="Arial"/>
              </w:rPr>
              <w:t>The standardized process to support DOH’s service requests, which include ad hoc reports, Notice Template/Language updates and execution of future program migrations/enhancements.</w:t>
            </w:r>
          </w:p>
        </w:tc>
      </w:tr>
      <w:tr w:rsidR="001F5941" w:rsidRPr="00F97E04" w14:paraId="77762627" w14:textId="6FC70A6D" w:rsidTr="007D4F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836" w:type="pct"/>
            <w:tcBorders>
              <w:top w:val="single" w:sz="4" w:space="0" w:color="auto"/>
              <w:left w:val="single" w:sz="4" w:space="0" w:color="auto"/>
              <w:bottom w:val="single" w:sz="4" w:space="0" w:color="auto"/>
              <w:right w:val="single" w:sz="4" w:space="0" w:color="auto"/>
            </w:tcBorders>
          </w:tcPr>
          <w:p w14:paraId="2D4619D1" w14:textId="77B6C0B7" w:rsidR="001F5941" w:rsidRPr="00F97E04" w:rsidRDefault="00B04DBB" w:rsidP="007D4F2E">
            <w:pPr>
              <w:spacing w:before="60" w:after="60"/>
              <w:rPr>
                <w:rFonts w:cs="Arial"/>
                <w:color w:val="000000" w:themeColor="text1"/>
              </w:rPr>
            </w:pPr>
            <w:r>
              <w:t>GOP-004_</w:t>
            </w:r>
            <w:r>
              <w:rPr>
                <w:rFonts w:cs="Arial"/>
              </w:rPr>
              <w:t>Document Staff Changes and Organizational Updates to MECM During M&amp;O</w:t>
            </w:r>
          </w:p>
        </w:tc>
        <w:tc>
          <w:tcPr>
            <w:tcW w:w="3164" w:type="pct"/>
            <w:tcBorders>
              <w:top w:val="single" w:sz="4" w:space="0" w:color="auto"/>
              <w:left w:val="single" w:sz="4" w:space="0" w:color="auto"/>
              <w:bottom w:val="single" w:sz="4" w:space="0" w:color="auto"/>
              <w:right w:val="single" w:sz="4" w:space="0" w:color="auto"/>
            </w:tcBorders>
          </w:tcPr>
          <w:p w14:paraId="56CAD8D5" w14:textId="646C8887" w:rsidR="4624C096" w:rsidRPr="00F97E04" w:rsidRDefault="1487572F" w:rsidP="007D4F2E">
            <w:pPr>
              <w:spacing w:before="60" w:after="60"/>
              <w:rPr>
                <w:rFonts w:eastAsia="Verdana" w:cs="Verdana"/>
              </w:rPr>
            </w:pPr>
            <w:r>
              <w:rPr>
                <w:rFonts w:eastAsia="Verdana" w:cs="Verdana"/>
              </w:rPr>
              <w:t xml:space="preserve">This process describes how Deloitte will manage and communicate Deloitte’s personnel changes to MECM during M&amp;O. Process steps will differ between key personnel and non-key personnel. </w:t>
            </w:r>
          </w:p>
        </w:tc>
      </w:tr>
      <w:tr w:rsidR="006A2ADA" w:rsidRPr="00F97E04" w14:paraId="495FF5D7" w14:textId="234C8CAA" w:rsidTr="007D4F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836" w:type="pct"/>
            <w:tcBorders>
              <w:top w:val="single" w:sz="4" w:space="0" w:color="auto"/>
              <w:left w:val="single" w:sz="4" w:space="0" w:color="auto"/>
              <w:bottom w:val="single" w:sz="4" w:space="0" w:color="auto"/>
              <w:right w:val="single" w:sz="4" w:space="0" w:color="auto"/>
            </w:tcBorders>
          </w:tcPr>
          <w:p w14:paraId="52F6C854" w14:textId="462126A5" w:rsidR="001F5941" w:rsidRPr="00F97E04" w:rsidRDefault="00B04DBB" w:rsidP="007D4F2E">
            <w:pPr>
              <w:spacing w:before="60" w:after="60"/>
              <w:rPr>
                <w:rFonts w:cs="Arial"/>
              </w:rPr>
            </w:pPr>
            <w:r>
              <w:t>GOP-005_</w:t>
            </w:r>
            <w:r>
              <w:rPr>
                <w:rFonts w:cs="Arial"/>
              </w:rPr>
              <w:t>Update MECM Reference Tables</w:t>
            </w:r>
          </w:p>
        </w:tc>
        <w:tc>
          <w:tcPr>
            <w:tcW w:w="3164" w:type="pct"/>
            <w:tcBorders>
              <w:top w:val="single" w:sz="4" w:space="0" w:color="auto"/>
              <w:left w:val="single" w:sz="4" w:space="0" w:color="auto"/>
              <w:bottom w:val="single" w:sz="4" w:space="0" w:color="auto"/>
              <w:right w:val="single" w:sz="4" w:space="0" w:color="auto"/>
            </w:tcBorders>
          </w:tcPr>
          <w:p w14:paraId="69C1E4CB" w14:textId="640EE053" w:rsidR="4624C096" w:rsidRPr="00F97E04" w:rsidRDefault="0015753C" w:rsidP="007D4F2E">
            <w:pPr>
              <w:spacing w:before="60" w:after="60"/>
              <w:rPr>
                <w:rFonts w:eastAsia="Verdana" w:cs="Verdana"/>
              </w:rPr>
            </w:pPr>
            <w:r>
              <w:rPr>
                <w:rFonts w:cs="Arial"/>
              </w:rPr>
              <w:t>This pr</w:t>
            </w:r>
            <w:r>
              <w:rPr>
                <w:rFonts w:cs="Arial"/>
                <w:color w:val="000000" w:themeColor="text1"/>
              </w:rPr>
              <w:t>ocess outlines how Deloi</w:t>
            </w:r>
            <w:r>
              <w:rPr>
                <w:rFonts w:cs="Arial"/>
              </w:rPr>
              <w:t>tte will closely work with DOH OHIP staff to identify instances where reference table updates are needed and implement a periodic process to prioritize, schedule and update as needed.</w:t>
            </w:r>
          </w:p>
        </w:tc>
      </w:tr>
      <w:tr w:rsidR="00572F43" w:rsidRPr="00F97E04" w14:paraId="0B975A1F" w14:textId="33E805E3" w:rsidTr="007D4F2E">
        <w:trPr>
          <w:cantSplit/>
          <w:jc w:val="center"/>
        </w:trPr>
        <w:tc>
          <w:tcPr>
            <w:tcW w:w="1836" w:type="pct"/>
            <w:tcBorders>
              <w:top w:val="single" w:sz="4" w:space="0" w:color="auto"/>
              <w:left w:val="single" w:sz="4" w:space="0" w:color="auto"/>
              <w:bottom w:val="single" w:sz="4" w:space="0" w:color="auto"/>
              <w:right w:val="single" w:sz="4" w:space="0" w:color="auto"/>
            </w:tcBorders>
            <w:shd w:val="clear" w:color="auto" w:fill="FFFFFF" w:themeFill="background1"/>
          </w:tcPr>
          <w:p w14:paraId="454D23E9" w14:textId="4A8F8376" w:rsidR="00572F43" w:rsidRPr="00F97E04" w:rsidRDefault="0064011D" w:rsidP="007D4F2E">
            <w:pPr>
              <w:keepNext/>
              <w:spacing w:before="60" w:after="60"/>
              <w:rPr>
                <w:rFonts w:cs="Arial"/>
              </w:rPr>
            </w:pPr>
            <w:r>
              <w:lastRenderedPageBreak/>
              <w:t>GOP-006_</w:t>
            </w:r>
            <w:r>
              <w:rPr>
                <w:rFonts w:cs="Arial"/>
              </w:rPr>
              <w:t>Interfaces Error Handling Process</w:t>
            </w:r>
          </w:p>
        </w:tc>
        <w:tc>
          <w:tcPr>
            <w:tcW w:w="3164" w:type="pct"/>
            <w:tcBorders>
              <w:top w:val="single" w:sz="4" w:space="0" w:color="auto"/>
              <w:left w:val="single" w:sz="4" w:space="0" w:color="auto"/>
              <w:bottom w:val="single" w:sz="4" w:space="0" w:color="auto"/>
              <w:right w:val="single" w:sz="4" w:space="0" w:color="auto"/>
            </w:tcBorders>
          </w:tcPr>
          <w:p w14:paraId="4C93F0AE" w14:textId="07600777" w:rsidR="4624C096" w:rsidRPr="00F97E04" w:rsidRDefault="005D4F97" w:rsidP="007D4F2E">
            <w:pPr>
              <w:keepNext/>
              <w:spacing w:before="60" w:after="60"/>
              <w:rPr>
                <w:rFonts w:cs="Arial"/>
              </w:rPr>
            </w:pPr>
            <w:r>
              <w:rPr>
                <w:rFonts w:cs="Arial"/>
              </w:rPr>
              <w:t>The comprehensive process to handle errors that occur during execution of scheduled interface jobs in a timely manner to maintain data integrity and reduce any operational setbacks.</w:t>
            </w:r>
          </w:p>
        </w:tc>
      </w:tr>
    </w:tbl>
    <w:p w14:paraId="2480696C" w14:textId="0C8FA058" w:rsidR="005814BE" w:rsidRPr="00F97E04" w:rsidRDefault="00214628" w:rsidP="00310DFA">
      <w:pPr>
        <w:pStyle w:val="Caption"/>
      </w:pPr>
      <w:bookmarkStart w:id="23" w:name="_Toc211268672"/>
      <w:bookmarkStart w:id="24" w:name="_Toc205292925"/>
      <w:bookmarkStart w:id="25" w:name="_Toc205370393"/>
      <w:r>
        <w:t xml:space="preserve">Table </w:t>
      </w:r>
      <w:fldSimple w:instr=" STYLEREF 1 \s ">
        <w:r>
          <w:rPr>
            <w:noProof/>
          </w:rPr>
          <w:t>4</w:t>
        </w:r>
      </w:fldSimple>
      <w:r>
        <w:noBreakHyphen/>
      </w:r>
      <w:fldSimple w:instr=" SEQ Table \* ARABIC \s 1 ">
        <w:r>
          <w:rPr>
            <w:noProof/>
          </w:rPr>
          <w:t>1</w:t>
        </w:r>
      </w:fldSimple>
      <w:r>
        <w:t>: General Operations</w:t>
      </w:r>
      <w:bookmarkEnd w:id="23"/>
    </w:p>
    <w:p w14:paraId="627D2FBE" w14:textId="779D7525" w:rsidR="006D54B7" w:rsidRPr="00F97E04" w:rsidRDefault="006D54B7" w:rsidP="006D54B7">
      <w:pPr>
        <w:pStyle w:val="Heading3"/>
      </w:pPr>
      <w:bookmarkStart w:id="26" w:name="_Toc211268641"/>
      <w:r>
        <w:t>Communication and Documentation</w:t>
      </w:r>
      <w:bookmarkEnd w:id="26"/>
    </w:p>
    <w:p w14:paraId="4B1EDE55" w14:textId="26E75B45" w:rsidR="004B777E" w:rsidRPr="00F97E04" w:rsidRDefault="00FA18D5" w:rsidP="00DF7C2D">
      <w:pPr>
        <w:pStyle w:val="MainBodyText0"/>
      </w:pPr>
      <w:r>
        <w:t>This section outlines the processes for managing notices, external interface partner communications, documenting staff changes and organizational updates, publishing daily operations reports, and updating and maintaining information system documentation. Additionally, it will provide an overview of the M&amp;O roles and responsibilities, including communication protocols for operational escalations of incidents, reporting, Quality Assurance/Quality Control (QA/QC) communications, and other relevant activities.</w:t>
      </w:r>
      <w:bookmarkEnd w:id="24"/>
      <w:bookmarkEnd w:id="25"/>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2"/>
        <w:gridCol w:w="6068"/>
      </w:tblGrid>
      <w:tr w:rsidR="00E44760" w:rsidRPr="00F97E04" w14:paraId="28254A94" w14:textId="1CEA00D3" w:rsidTr="00E451A7">
        <w:trPr>
          <w:cantSplit/>
          <w:trHeight w:val="479"/>
          <w:tblHeader/>
          <w:jc w:val="center"/>
        </w:trPr>
        <w:tc>
          <w:tcPr>
            <w:tcW w:w="1755" w:type="pct"/>
            <w:tcBorders>
              <w:right w:val="single" w:sz="4" w:space="0" w:color="FFFFFF" w:themeColor="background1"/>
            </w:tcBorders>
            <w:shd w:val="clear" w:color="auto" w:fill="000000" w:themeFill="text1"/>
            <w:vAlign w:val="center"/>
          </w:tcPr>
          <w:p w14:paraId="29226910" w14:textId="77777777" w:rsidR="003A556A" w:rsidRPr="00F97E04" w:rsidRDefault="003A556A" w:rsidP="008839B7">
            <w:pPr>
              <w:spacing w:before="60" w:after="60"/>
              <w:rPr>
                <w:rFonts w:eastAsia="Verdana" w:cs="Times New Roman"/>
                <w:b/>
                <w:lang w:val="en-US"/>
              </w:rPr>
            </w:pPr>
            <w:r>
              <w:rPr>
                <w:rFonts w:eastAsia="Verdana" w:cs="Times New Roman"/>
                <w:b/>
                <w:lang w:val="en-US"/>
              </w:rPr>
              <w:t>Process Name</w:t>
            </w:r>
          </w:p>
        </w:tc>
        <w:tc>
          <w:tcPr>
            <w:tcW w:w="3245" w:type="pct"/>
            <w:tcBorders>
              <w:left w:val="single" w:sz="4" w:space="0" w:color="FFFFFF" w:themeColor="background1"/>
            </w:tcBorders>
            <w:shd w:val="clear" w:color="auto" w:fill="000000" w:themeFill="text1"/>
            <w:vAlign w:val="center"/>
          </w:tcPr>
          <w:p w14:paraId="2C1449C1" w14:textId="226CDA75" w:rsidR="003A556A" w:rsidRPr="00F97E04" w:rsidRDefault="003A556A" w:rsidP="008839B7">
            <w:pPr>
              <w:spacing w:before="60" w:after="60"/>
              <w:rPr>
                <w:rFonts w:eastAsia="Verdana" w:cs="Times New Roman"/>
                <w:b/>
                <w:bCs/>
                <w:lang w:val="en-US"/>
              </w:rPr>
            </w:pPr>
            <w:r>
              <w:rPr>
                <w:rFonts w:eastAsia="Verdana" w:cs="Times New Roman"/>
                <w:b/>
                <w:bCs/>
                <w:lang w:val="en-US"/>
              </w:rPr>
              <w:t>Description</w:t>
            </w:r>
          </w:p>
        </w:tc>
      </w:tr>
      <w:tr w:rsidR="00E44760" w:rsidRPr="00F97E04" w14:paraId="07CF56CF" w14:textId="2AA11509" w:rsidTr="00E451A7">
        <w:trPr>
          <w:cantSplit/>
          <w:trHeight w:val="947"/>
          <w:jc w:val="center"/>
        </w:trPr>
        <w:tc>
          <w:tcPr>
            <w:tcW w:w="1755" w:type="pct"/>
          </w:tcPr>
          <w:p w14:paraId="6363D42B" w14:textId="2B8B3419" w:rsidR="003A556A" w:rsidRPr="00F97E04" w:rsidRDefault="004C5F76" w:rsidP="008B7C77">
            <w:pPr>
              <w:spacing w:before="60" w:after="60" w:line="280" w:lineRule="atLeast"/>
              <w:rPr>
                <w:rFonts w:eastAsia="Verdana" w:cs="Times New Roman"/>
                <w:lang w:val="en-US"/>
              </w:rPr>
            </w:pPr>
            <w:r>
              <w:rPr>
                <w:lang w:val="en-US"/>
              </w:rPr>
              <w:t>GOP-007_</w:t>
            </w:r>
            <w:r>
              <w:rPr>
                <w:rFonts w:eastAsia="Verdana" w:cs="Times New Roman"/>
                <w:lang w:val="en-US"/>
              </w:rPr>
              <w:t>Communicate a System Outage or Disruption in Service</w:t>
            </w:r>
          </w:p>
        </w:tc>
        <w:tc>
          <w:tcPr>
            <w:tcW w:w="3245" w:type="pct"/>
          </w:tcPr>
          <w:p w14:paraId="5AF52BFF" w14:textId="009CFA8C" w:rsidR="003A556A" w:rsidRPr="00F97E04" w:rsidRDefault="003A556A" w:rsidP="008B7C77">
            <w:pPr>
              <w:spacing w:before="60" w:after="60" w:line="240" w:lineRule="auto"/>
              <w:rPr>
                <w:rFonts w:eastAsia="Verdana" w:cs="Verdana"/>
                <w:lang w:val="en-US"/>
              </w:rPr>
            </w:pPr>
            <w:r>
              <w:rPr>
                <w:rFonts w:eastAsia="Verdana" w:cs="Verdana"/>
                <w:lang w:val="en-US"/>
              </w:rPr>
              <w:t>Communication process wherein all parties impacted will be diligently notified in the event of planned outages or unexpected disruptions to provide timely and consistent communication.</w:t>
            </w:r>
          </w:p>
        </w:tc>
      </w:tr>
      <w:tr w:rsidR="00E44760" w:rsidRPr="00F97E04" w14:paraId="22D5F4E1" w14:textId="64AFDCB4" w:rsidTr="00E451A7">
        <w:trPr>
          <w:cantSplit/>
          <w:trHeight w:val="956"/>
          <w:jc w:val="center"/>
        </w:trPr>
        <w:tc>
          <w:tcPr>
            <w:tcW w:w="1755" w:type="pct"/>
          </w:tcPr>
          <w:p w14:paraId="554DC045" w14:textId="1B08A2DA" w:rsidR="003A556A" w:rsidRPr="00F97E04" w:rsidRDefault="004C5F76" w:rsidP="008B7C77">
            <w:pPr>
              <w:spacing w:before="60" w:after="60" w:line="280" w:lineRule="atLeast"/>
              <w:rPr>
                <w:rFonts w:eastAsia="Verdana" w:cs="Times New Roman"/>
                <w:u w:val="single"/>
                <w:lang w:val="en-US"/>
              </w:rPr>
            </w:pPr>
            <w:r>
              <w:rPr>
                <w:lang w:val="en-US"/>
              </w:rPr>
              <w:t>GOP-008_</w:t>
            </w:r>
            <w:r>
              <w:rPr>
                <w:rFonts w:eastAsia="Verdana" w:cs="Times New Roman"/>
                <w:lang w:val="en-US"/>
              </w:rPr>
              <w:t>Manage Distribution Lists to Facilitate Communication During M&amp;O</w:t>
            </w:r>
          </w:p>
        </w:tc>
        <w:tc>
          <w:tcPr>
            <w:tcW w:w="3245" w:type="pct"/>
          </w:tcPr>
          <w:p w14:paraId="182BE5DF" w14:textId="677D3738" w:rsidR="003A556A" w:rsidRPr="00F97E04" w:rsidRDefault="003A556A" w:rsidP="008B7C77">
            <w:pPr>
              <w:spacing w:before="60" w:after="60" w:line="240" w:lineRule="auto"/>
              <w:rPr>
                <w:rFonts w:eastAsia="Verdana" w:cs="Arial"/>
                <w:color w:val="000000" w:themeColor="text1"/>
                <w:lang w:val="en-US"/>
              </w:rPr>
            </w:pPr>
            <w:r>
              <w:rPr>
                <w:rFonts w:eastAsia="Verdana" w:cs="Arial"/>
                <w:color w:val="000000" w:themeColor="text1"/>
                <w:lang w:val="en-US"/>
              </w:rPr>
              <w:t>This process lays out detailed steps to update distribution lists pertaining to both Deloitte and DOH to provide efficient communication across all channels.</w:t>
            </w:r>
          </w:p>
        </w:tc>
      </w:tr>
      <w:tr w:rsidR="00E44760" w:rsidRPr="00F97E04" w14:paraId="6A47D716" w14:textId="31F62CC6" w:rsidTr="00E451A7">
        <w:trPr>
          <w:cantSplit/>
          <w:jc w:val="center"/>
        </w:trPr>
        <w:tc>
          <w:tcPr>
            <w:tcW w:w="1755" w:type="pct"/>
          </w:tcPr>
          <w:p w14:paraId="5D3235D3" w14:textId="4727F42B" w:rsidR="003A556A" w:rsidRPr="00F97E04" w:rsidRDefault="767686C7" w:rsidP="008B7C77">
            <w:pPr>
              <w:spacing w:before="60" w:after="60" w:line="280" w:lineRule="atLeast"/>
              <w:rPr>
                <w:rFonts w:eastAsia="Verdana" w:cs="Arial"/>
                <w:lang w:val="en-US"/>
              </w:rPr>
            </w:pPr>
            <w:r>
              <w:rPr>
                <w:rFonts w:eastAsia="Verdana" w:cs="Arial"/>
                <w:lang w:val="en-US"/>
              </w:rPr>
              <w:t>GOP-009_Del 33_MECM System Documentation Updates</w:t>
            </w:r>
          </w:p>
        </w:tc>
        <w:tc>
          <w:tcPr>
            <w:tcW w:w="3245" w:type="pct"/>
          </w:tcPr>
          <w:p w14:paraId="24243E00" w14:textId="0A0B0433" w:rsidR="00362ADE" w:rsidRPr="00F97E04" w:rsidRDefault="00872376" w:rsidP="008B7C77">
            <w:pPr>
              <w:spacing w:before="60" w:after="60" w:line="240" w:lineRule="auto"/>
              <w:rPr>
                <w:rFonts w:eastAsia="Verdana" w:cs="Arial"/>
                <w:color w:val="000000" w:themeColor="text1"/>
                <w:lang w:val="en-US"/>
              </w:rPr>
            </w:pPr>
            <w:r>
              <w:rPr>
                <w:rFonts w:eastAsia="Verdana" w:cs="Arial"/>
                <w:color w:val="000000" w:themeColor="text1"/>
                <w:lang w:val="en-US"/>
              </w:rPr>
              <w:t>Process outlining responsibilities around keeping system documentation updated with the latest changes</w:t>
            </w:r>
          </w:p>
          <w:p w14:paraId="17244AD8" w14:textId="389752FF" w:rsidR="003A556A" w:rsidRPr="00F97E04" w:rsidRDefault="00314EA5" w:rsidP="008B7C77">
            <w:pPr>
              <w:spacing w:before="60" w:after="60" w:line="240" w:lineRule="auto"/>
              <w:rPr>
                <w:rFonts w:eastAsia="Verdana" w:cs="Arial"/>
                <w:color w:val="000000" w:themeColor="text1"/>
                <w:lang w:val="en-US"/>
              </w:rPr>
            </w:pPr>
            <w:r>
              <w:rPr>
                <w:rFonts w:eastAsia="Verdana" w:cs="Arial"/>
                <w:color w:val="000000" w:themeColor="text1"/>
                <w:lang w:val="en-US"/>
              </w:rPr>
              <w:t xml:space="preserve">Refer to the </w:t>
            </w:r>
            <w:r>
              <w:rPr>
                <w:rFonts w:eastAsia="Verdana" w:cs="Arial"/>
                <w:lang w:val="en-US"/>
              </w:rPr>
              <w:t>Del.5_Project Management Plan.docx.</w:t>
            </w:r>
          </w:p>
        </w:tc>
      </w:tr>
      <w:tr w:rsidR="00E44760" w:rsidRPr="00F97E04" w14:paraId="78F20CC2" w14:textId="7E8764C2" w:rsidTr="00E451A7">
        <w:trPr>
          <w:cantSplit/>
          <w:jc w:val="center"/>
        </w:trPr>
        <w:tc>
          <w:tcPr>
            <w:tcW w:w="1755" w:type="pct"/>
          </w:tcPr>
          <w:p w14:paraId="3E7EF9A8" w14:textId="53E7501C" w:rsidR="003A556A" w:rsidRPr="00F97E04" w:rsidRDefault="004C5F76" w:rsidP="008B7C77">
            <w:pPr>
              <w:spacing w:before="60" w:after="60" w:line="280" w:lineRule="atLeast"/>
              <w:rPr>
                <w:rFonts w:eastAsia="Verdana" w:cs="Arial"/>
                <w:color w:val="000000" w:themeColor="text1"/>
                <w:lang w:val="en-US"/>
              </w:rPr>
            </w:pPr>
            <w:r>
              <w:rPr>
                <w:lang w:val="en-US"/>
              </w:rPr>
              <w:t>GOP-010_</w:t>
            </w:r>
            <w:r>
              <w:rPr>
                <w:rFonts w:cs="Arial"/>
                <w:lang w:val="en-US"/>
              </w:rPr>
              <w:t>MECM Deloitte-NYDOH OHIP -Emergency Contacts</w:t>
            </w:r>
          </w:p>
        </w:tc>
        <w:tc>
          <w:tcPr>
            <w:tcW w:w="3245" w:type="pct"/>
          </w:tcPr>
          <w:p w14:paraId="04E5ABB2" w14:textId="4DE41433" w:rsidR="003A556A" w:rsidRPr="00F97E04" w:rsidRDefault="003A556A" w:rsidP="008B7C77">
            <w:pPr>
              <w:spacing w:before="60" w:after="60" w:line="240" w:lineRule="auto"/>
              <w:rPr>
                <w:rFonts w:eastAsia="Verdana" w:cs="Arial"/>
                <w:color w:val="000000" w:themeColor="text1"/>
                <w:lang w:val="en-US"/>
              </w:rPr>
            </w:pPr>
            <w:r>
              <w:rPr>
                <w:rFonts w:eastAsia="Verdana" w:cs="Verdana"/>
                <w:lang w:val="en-US"/>
              </w:rPr>
              <w:t>Tracker implemented to list out emergency contacts from NYS DOH OHIP and Deloitte for clarity and collaboration.</w:t>
            </w:r>
            <w:r>
              <w:rPr>
                <w:rFonts w:eastAsia="Verdana" w:cs="Arial"/>
                <w:color w:val="000000" w:themeColor="text1"/>
                <w:lang w:val="en-US"/>
              </w:rPr>
              <w:t xml:space="preserve"> </w:t>
            </w:r>
          </w:p>
        </w:tc>
      </w:tr>
      <w:tr w:rsidR="00E44760" w:rsidRPr="00F97E04" w14:paraId="393EEC50" w14:textId="482A6631" w:rsidTr="00E451A7">
        <w:trPr>
          <w:cantSplit/>
          <w:trHeight w:val="983"/>
          <w:jc w:val="center"/>
        </w:trPr>
        <w:tc>
          <w:tcPr>
            <w:tcW w:w="1755" w:type="pct"/>
          </w:tcPr>
          <w:p w14:paraId="064DA27C" w14:textId="56F26E0B" w:rsidR="003A556A" w:rsidRPr="00F97E04" w:rsidRDefault="004C5F76" w:rsidP="008B7C77">
            <w:pPr>
              <w:spacing w:before="60" w:after="60" w:line="280" w:lineRule="atLeast"/>
              <w:rPr>
                <w:rFonts w:eastAsia="Verdana" w:cs="Arial"/>
                <w:color w:val="000000" w:themeColor="text1"/>
                <w:lang w:val="en-US"/>
              </w:rPr>
            </w:pPr>
            <w:r>
              <w:rPr>
                <w:lang w:val="en-US"/>
              </w:rPr>
              <w:t>GOP-011_</w:t>
            </w:r>
            <w:r>
              <w:rPr>
                <w:rFonts w:eastAsia="Verdana" w:cs="Arial"/>
                <w:lang w:val="en-US"/>
              </w:rPr>
              <w:t>MECM Meeting Cadence and Communications</w:t>
            </w:r>
          </w:p>
        </w:tc>
        <w:tc>
          <w:tcPr>
            <w:tcW w:w="3245" w:type="pct"/>
          </w:tcPr>
          <w:p w14:paraId="6C0F00C4" w14:textId="1AE4D041" w:rsidR="003A556A" w:rsidRPr="00F97E04" w:rsidRDefault="003A556A" w:rsidP="008B7C77">
            <w:pPr>
              <w:spacing w:before="60" w:after="60" w:line="240" w:lineRule="auto"/>
              <w:rPr>
                <w:rFonts w:eastAsia="Verdana" w:cs="Arial"/>
                <w:color w:val="000000" w:themeColor="text1"/>
                <w:lang w:val="en-US"/>
              </w:rPr>
            </w:pPr>
            <w:r>
              <w:rPr>
                <w:rFonts w:eastAsia="Verdana" w:cs="Arial"/>
                <w:color w:val="000000" w:themeColor="text1"/>
                <w:lang w:val="en-US"/>
              </w:rPr>
              <w:t xml:space="preserve">The document will list key meetings and proposed high level cadences </w:t>
            </w:r>
            <w:r>
              <w:rPr>
                <w:rFonts w:eastAsia="Verdana" w:cs="Verdana"/>
                <w:lang w:val="en-US"/>
              </w:rPr>
              <w:t>to provide ongoing coordination, timely incident response, and effective problem management, supporting stability and continuous improvement of the MECM system.</w:t>
            </w:r>
          </w:p>
        </w:tc>
      </w:tr>
      <w:tr w:rsidR="00E44760" w:rsidRPr="00F97E04" w14:paraId="626EF481" w14:textId="02339966" w:rsidTr="00E451A7">
        <w:trPr>
          <w:cantSplit/>
          <w:jc w:val="center"/>
        </w:trPr>
        <w:tc>
          <w:tcPr>
            <w:tcW w:w="1755" w:type="pct"/>
          </w:tcPr>
          <w:p w14:paraId="42180C9C" w14:textId="472215E0" w:rsidR="003A556A" w:rsidRPr="00F97E04" w:rsidRDefault="00AA1246" w:rsidP="008B7C77">
            <w:pPr>
              <w:spacing w:before="60" w:after="60" w:line="280" w:lineRule="atLeast"/>
              <w:rPr>
                <w:rFonts w:eastAsia="Verdana" w:cs="Arial"/>
                <w:lang w:val="en-US"/>
              </w:rPr>
            </w:pPr>
            <w:r>
              <w:rPr>
                <w:rFonts w:cs="Arial"/>
                <w:lang w:val="en-US"/>
              </w:rPr>
              <w:t>GOP-012_Del 33_</w:t>
            </w:r>
            <w:r>
              <w:rPr>
                <w:rFonts w:eastAsia="Verdana" w:cs="Arial"/>
                <w:lang w:val="en-US"/>
              </w:rPr>
              <w:t>MECM Release Communication Process</w:t>
            </w:r>
          </w:p>
        </w:tc>
        <w:tc>
          <w:tcPr>
            <w:tcW w:w="3245" w:type="pct"/>
          </w:tcPr>
          <w:p w14:paraId="7B7B369F" w14:textId="5B615529" w:rsidR="003A556A" w:rsidRPr="00F97E04" w:rsidRDefault="003A556A" w:rsidP="008B7C77">
            <w:pPr>
              <w:spacing w:before="60" w:after="60" w:line="240" w:lineRule="auto"/>
              <w:rPr>
                <w:rFonts w:eastAsia="Verdana" w:cs="Arial"/>
                <w:color w:val="000000" w:themeColor="text1"/>
                <w:lang w:val="en-US"/>
              </w:rPr>
            </w:pPr>
            <w:r>
              <w:rPr>
                <w:rFonts w:eastAsia="Verdana" w:cs="Arial"/>
                <w:color w:val="000000" w:themeColor="text1"/>
                <w:lang w:val="en-US"/>
              </w:rPr>
              <w:t xml:space="preserve">Process highlighting communication responsibilities of a release coordinator who will coordinate with the M&amp;O operations team and enhancements teams to send communications to all impacted stakeholders </w:t>
            </w:r>
            <w:r>
              <w:rPr>
                <w:rFonts w:eastAsia="Verdana" w:cs="Verdana"/>
                <w:lang w:val="en-US"/>
              </w:rPr>
              <w:t>prior to, at the start of and at the completion of each deployment or scheduled maintenance to enable efficient business continuity.</w:t>
            </w:r>
          </w:p>
          <w:p w14:paraId="102D7197" w14:textId="1DDBC0DD" w:rsidR="003A556A" w:rsidRPr="00F97E04" w:rsidRDefault="003A556A" w:rsidP="008B7C77">
            <w:pPr>
              <w:spacing w:before="60" w:after="60" w:line="240" w:lineRule="auto"/>
              <w:rPr>
                <w:lang w:val="en-US"/>
              </w:rPr>
            </w:pPr>
            <w:r>
              <w:rPr>
                <w:rFonts w:eastAsia="Calibri" w:cs="Calibri"/>
                <w:lang w:val="en-US"/>
              </w:rPr>
              <w:t>Refer to the Del.34_Release Management Plan.docx.</w:t>
            </w:r>
          </w:p>
        </w:tc>
      </w:tr>
    </w:tbl>
    <w:p w14:paraId="5D6F8377" w14:textId="327ED36A" w:rsidR="00387B70" w:rsidRPr="00F97E04" w:rsidRDefault="00F7431F" w:rsidP="00310DFA">
      <w:pPr>
        <w:pStyle w:val="Caption"/>
      </w:pPr>
      <w:bookmarkStart w:id="27" w:name="_Toc211268673"/>
      <w:r>
        <w:t xml:space="preserve">Table </w:t>
      </w:r>
      <w:fldSimple w:instr=" STYLEREF 1 \s ">
        <w:r>
          <w:rPr>
            <w:noProof/>
          </w:rPr>
          <w:t>4</w:t>
        </w:r>
      </w:fldSimple>
      <w:r>
        <w:noBreakHyphen/>
      </w:r>
      <w:fldSimple w:instr=" SEQ Table \* ARABIC \s 1 ">
        <w:r>
          <w:rPr>
            <w:noProof/>
          </w:rPr>
          <w:t>2</w:t>
        </w:r>
      </w:fldSimple>
      <w:r>
        <w:t>: Communication and Documentation</w:t>
      </w:r>
      <w:bookmarkStart w:id="28" w:name="_Toc205292927"/>
      <w:bookmarkStart w:id="29" w:name="_Toc205370395"/>
      <w:bookmarkEnd w:id="27"/>
    </w:p>
    <w:p w14:paraId="1FEA425C" w14:textId="47A7EE58" w:rsidR="00F7431F" w:rsidRPr="00F97E04" w:rsidRDefault="00387B70" w:rsidP="00C62C59">
      <w:pPr>
        <w:spacing w:before="0" w:after="160" w:line="259" w:lineRule="auto"/>
        <w:rPr>
          <w:b/>
          <w:bCs/>
        </w:rPr>
      </w:pPr>
      <w:r>
        <w:br w:type="page"/>
      </w:r>
    </w:p>
    <w:p w14:paraId="4B1B1F9D" w14:textId="6A9895DC" w:rsidR="006D54B7" w:rsidRPr="00F97E04" w:rsidRDefault="006D54B7" w:rsidP="006D54B7">
      <w:pPr>
        <w:pStyle w:val="Heading3"/>
      </w:pPr>
      <w:bookmarkStart w:id="30" w:name="_Toc211268642"/>
      <w:r>
        <w:lastRenderedPageBreak/>
        <w:t>System Monitoring and Maintenance</w:t>
      </w:r>
      <w:bookmarkEnd w:id="30"/>
    </w:p>
    <w:p w14:paraId="5B7D778C" w14:textId="1E234BAE" w:rsidR="005B3BA3" w:rsidRPr="00F97E04" w:rsidRDefault="0066435A" w:rsidP="00DF7C2D">
      <w:pPr>
        <w:pStyle w:val="MainBodyText0"/>
      </w:pPr>
      <w:r>
        <w:t>This section outlines the processes for managing database activity, logging and log management, environment and system maintenance, resolving hung threads, handling background exceptions and non-reported errors, and model monitoring. It will also include specific log retention policies and other relevant retention policies.</w:t>
      </w:r>
      <w:bookmarkEnd w:id="28"/>
      <w:bookmarkEnd w:id="29"/>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5935"/>
      </w:tblGrid>
      <w:tr w:rsidR="00B7799E" w:rsidRPr="00F97E04" w14:paraId="6ADD0A9F" w14:textId="7C204961" w:rsidTr="006571D2">
        <w:trPr>
          <w:cantSplit/>
          <w:tblHeader/>
          <w:jc w:val="center"/>
        </w:trPr>
        <w:tc>
          <w:tcPr>
            <w:tcW w:w="1826" w:type="pct"/>
            <w:tcBorders>
              <w:right w:val="single" w:sz="4" w:space="0" w:color="FFFFFF" w:themeColor="background1"/>
            </w:tcBorders>
            <w:shd w:val="clear" w:color="auto" w:fill="000000" w:themeFill="text1"/>
            <w:vAlign w:val="center"/>
          </w:tcPr>
          <w:p w14:paraId="350A654D" w14:textId="025507BF" w:rsidR="00B7799E" w:rsidRPr="00F97E04" w:rsidRDefault="00B7799E" w:rsidP="006571D2">
            <w:pPr>
              <w:spacing w:before="60" w:after="60"/>
              <w:rPr>
                <w:b/>
                <w:lang w:val="en-US"/>
              </w:rPr>
            </w:pPr>
            <w:r>
              <w:rPr>
                <w:b/>
                <w:lang w:val="en-US"/>
              </w:rPr>
              <w:t xml:space="preserve">Process Name </w:t>
            </w:r>
          </w:p>
        </w:tc>
        <w:tc>
          <w:tcPr>
            <w:tcW w:w="3174" w:type="pct"/>
            <w:tcBorders>
              <w:left w:val="single" w:sz="4" w:space="0" w:color="FFFFFF" w:themeColor="background1"/>
            </w:tcBorders>
            <w:shd w:val="clear" w:color="auto" w:fill="000000" w:themeFill="text1"/>
            <w:vAlign w:val="center"/>
          </w:tcPr>
          <w:p w14:paraId="7DABFE1A" w14:textId="3ED965E2" w:rsidR="00B7799E" w:rsidRPr="00F97E04" w:rsidRDefault="00B7799E" w:rsidP="006571D2">
            <w:pPr>
              <w:spacing w:before="60" w:after="60"/>
              <w:rPr>
                <w:b/>
                <w:lang w:val="en-US"/>
              </w:rPr>
            </w:pPr>
            <w:r>
              <w:rPr>
                <w:b/>
                <w:lang w:val="en-US"/>
              </w:rPr>
              <w:t>Description</w:t>
            </w:r>
          </w:p>
        </w:tc>
      </w:tr>
      <w:tr w:rsidR="00B7799E" w:rsidRPr="00F97E04" w14:paraId="1D78A4F2" w14:textId="0841C95F" w:rsidTr="006571D2">
        <w:trPr>
          <w:cantSplit/>
          <w:jc w:val="center"/>
        </w:trPr>
        <w:tc>
          <w:tcPr>
            <w:tcW w:w="1826" w:type="pct"/>
          </w:tcPr>
          <w:p w14:paraId="65AC48FB" w14:textId="688B3E16" w:rsidR="00B7799E" w:rsidRPr="00F97E04" w:rsidRDefault="007D0150" w:rsidP="006571D2">
            <w:pPr>
              <w:spacing w:before="60" w:after="60"/>
              <w:rPr>
                <w:rFonts w:cs="Arial"/>
                <w:lang w:val="en-US"/>
              </w:rPr>
            </w:pPr>
            <w:r>
              <w:rPr>
                <w:lang w:val="en-US"/>
              </w:rPr>
              <w:t>GOP-013_</w:t>
            </w:r>
            <w:r>
              <w:rPr>
                <w:rFonts w:cs="Arial"/>
                <w:lang w:val="en-US"/>
              </w:rPr>
              <w:t>Environment and System Maintenance Management</w:t>
            </w:r>
          </w:p>
        </w:tc>
        <w:tc>
          <w:tcPr>
            <w:tcW w:w="3174" w:type="pct"/>
          </w:tcPr>
          <w:p w14:paraId="5ED6E39A" w14:textId="0694A1FB" w:rsidR="00B7799E" w:rsidRPr="00F97E04" w:rsidRDefault="00B7799E" w:rsidP="006571D2">
            <w:pPr>
              <w:spacing w:before="60" w:after="60"/>
              <w:rPr>
                <w:rFonts w:cs="Arial"/>
                <w:b/>
                <w:bCs/>
                <w:lang w:val="en-US"/>
              </w:rPr>
            </w:pPr>
            <w:r>
              <w:rPr>
                <w:rFonts w:cs="Arial"/>
                <w:lang w:val="en-US"/>
              </w:rPr>
              <w:t>Outlines the steps and schedule required during maintenance deployment and addresses any downtime requirements.</w:t>
            </w:r>
          </w:p>
        </w:tc>
      </w:tr>
      <w:tr w:rsidR="00B7799E" w:rsidRPr="00F97E04" w14:paraId="5C2AD4A0" w14:textId="6B23FD93" w:rsidTr="006571D2">
        <w:trPr>
          <w:cantSplit/>
          <w:trHeight w:val="650"/>
          <w:jc w:val="center"/>
        </w:trPr>
        <w:tc>
          <w:tcPr>
            <w:tcW w:w="1826" w:type="pct"/>
          </w:tcPr>
          <w:p w14:paraId="29C09542" w14:textId="4B645DED" w:rsidR="00B7799E" w:rsidRPr="00F97E04" w:rsidRDefault="007D0150" w:rsidP="006571D2">
            <w:pPr>
              <w:spacing w:before="60" w:after="60"/>
              <w:rPr>
                <w:rFonts w:cs="Arial"/>
                <w:lang w:val="en-US"/>
              </w:rPr>
            </w:pPr>
            <w:r>
              <w:rPr>
                <w:lang w:val="en-US"/>
              </w:rPr>
              <w:t>GOP-014_</w:t>
            </w:r>
            <w:r>
              <w:rPr>
                <w:rFonts w:cs="Arial"/>
                <w:lang w:val="en-US"/>
              </w:rPr>
              <w:t>Resolve Hung Threads in Production</w:t>
            </w:r>
          </w:p>
        </w:tc>
        <w:tc>
          <w:tcPr>
            <w:tcW w:w="3174" w:type="pct"/>
          </w:tcPr>
          <w:p w14:paraId="5EC3CE83" w14:textId="08546930" w:rsidR="00B7799E" w:rsidRPr="00F97E04" w:rsidRDefault="00B7799E" w:rsidP="006571D2">
            <w:pPr>
              <w:spacing w:before="60" w:after="60"/>
              <w:rPr>
                <w:rFonts w:cs="Arial"/>
                <w:b/>
                <w:bCs/>
                <w:lang w:val="en-US"/>
              </w:rPr>
            </w:pPr>
            <w:r>
              <w:rPr>
                <w:rFonts w:cs="Arial"/>
                <w:lang w:val="en-US"/>
              </w:rPr>
              <w:t>Outlines the process for addressing hung threads after a ticket has been logged identifying an issue.</w:t>
            </w:r>
          </w:p>
        </w:tc>
      </w:tr>
      <w:tr w:rsidR="00B7799E" w:rsidRPr="00F97E04" w14:paraId="52CF422E" w14:textId="7B187A5E" w:rsidTr="006571D2">
        <w:trPr>
          <w:cantSplit/>
          <w:jc w:val="center"/>
        </w:trPr>
        <w:tc>
          <w:tcPr>
            <w:tcW w:w="1826" w:type="pct"/>
          </w:tcPr>
          <w:p w14:paraId="17848AD8" w14:textId="15C282AB" w:rsidR="00B7799E" w:rsidRPr="00F97E04" w:rsidRDefault="00670189" w:rsidP="006571D2">
            <w:pPr>
              <w:spacing w:before="60" w:after="60"/>
              <w:rPr>
                <w:rFonts w:cs="Arial"/>
                <w:lang w:val="en-US"/>
              </w:rPr>
            </w:pPr>
            <w:r>
              <w:rPr>
                <w:lang w:val="en-US"/>
              </w:rPr>
              <w:t>GOP-015_</w:t>
            </w:r>
            <w:r>
              <w:rPr>
                <w:rFonts w:cs="Arial"/>
                <w:lang w:val="en-US"/>
              </w:rPr>
              <w:t>Manage Database Activity</w:t>
            </w:r>
          </w:p>
        </w:tc>
        <w:tc>
          <w:tcPr>
            <w:tcW w:w="3174" w:type="pct"/>
          </w:tcPr>
          <w:p w14:paraId="751B516B" w14:textId="690F283D" w:rsidR="00B7799E" w:rsidRPr="00F97E04" w:rsidRDefault="00B7799E" w:rsidP="006571D2">
            <w:pPr>
              <w:spacing w:before="60" w:after="60"/>
              <w:rPr>
                <w:rFonts w:cs="Arial"/>
                <w:b/>
                <w:bCs/>
                <w:lang w:val="en-US"/>
              </w:rPr>
            </w:pPr>
            <w:r>
              <w:rPr>
                <w:rFonts w:cs="Arial"/>
                <w:lang w:val="en-US"/>
              </w:rPr>
              <w:t>Outlines the process of monitoring database performance and reviewing of output results.</w:t>
            </w:r>
          </w:p>
        </w:tc>
      </w:tr>
      <w:tr w:rsidR="00B7799E" w:rsidRPr="00F97E04" w14:paraId="6FE7D5ED" w14:textId="407C0113" w:rsidTr="006571D2">
        <w:trPr>
          <w:cantSplit/>
          <w:jc w:val="center"/>
        </w:trPr>
        <w:tc>
          <w:tcPr>
            <w:tcW w:w="1826" w:type="pct"/>
          </w:tcPr>
          <w:p w14:paraId="27AE971C" w14:textId="2D8FBAD3" w:rsidR="00B7799E" w:rsidRPr="00F97E04" w:rsidRDefault="00670189" w:rsidP="006571D2">
            <w:pPr>
              <w:spacing w:before="60" w:after="60"/>
              <w:rPr>
                <w:rFonts w:cs="Arial"/>
                <w:lang w:val="en-US"/>
              </w:rPr>
            </w:pPr>
            <w:r>
              <w:rPr>
                <w:lang w:val="en-US"/>
              </w:rPr>
              <w:t>GOP-016_</w:t>
            </w:r>
            <w:r>
              <w:rPr>
                <w:rFonts w:cs="Arial"/>
                <w:lang w:val="en-US"/>
              </w:rPr>
              <w:t>Manage Logging and Logs in M&amp;O</w:t>
            </w:r>
          </w:p>
        </w:tc>
        <w:tc>
          <w:tcPr>
            <w:tcW w:w="3174" w:type="pct"/>
          </w:tcPr>
          <w:p w14:paraId="7042015A" w14:textId="05879523" w:rsidR="00B7799E" w:rsidRPr="00F97E04" w:rsidRDefault="00B7799E" w:rsidP="006571D2">
            <w:pPr>
              <w:spacing w:before="60" w:after="60"/>
              <w:rPr>
                <w:rFonts w:cs="Arial"/>
                <w:b/>
                <w:bCs/>
                <w:lang w:val="en-US"/>
              </w:rPr>
            </w:pPr>
            <w:r>
              <w:rPr>
                <w:rFonts w:cs="Arial"/>
                <w:lang w:val="en-US"/>
              </w:rPr>
              <w:t>Outlines the process of managing logging and logs.</w:t>
            </w:r>
          </w:p>
        </w:tc>
      </w:tr>
      <w:tr w:rsidR="00B7799E" w:rsidRPr="00F97E04" w14:paraId="1178F232" w14:textId="0C279320" w:rsidTr="006571D2">
        <w:trPr>
          <w:cantSplit/>
          <w:jc w:val="center"/>
        </w:trPr>
        <w:tc>
          <w:tcPr>
            <w:tcW w:w="1826" w:type="pct"/>
          </w:tcPr>
          <w:p w14:paraId="35C9957F" w14:textId="1A5EA474" w:rsidR="00B7799E" w:rsidRPr="00F97E04" w:rsidRDefault="00622E55" w:rsidP="006571D2">
            <w:pPr>
              <w:spacing w:before="60" w:after="60"/>
              <w:rPr>
                <w:rFonts w:cs="Arial"/>
                <w:lang w:val="en-US"/>
              </w:rPr>
            </w:pPr>
            <w:r>
              <w:rPr>
                <w:lang w:val="en-US"/>
              </w:rPr>
              <w:t>GOP-017_</w:t>
            </w:r>
            <w:r>
              <w:rPr>
                <w:rFonts w:cs="Arial"/>
                <w:lang w:val="en-US"/>
              </w:rPr>
              <w:t>Handle Background Exceptions and Non-Reported Errors in MECM</w:t>
            </w:r>
          </w:p>
        </w:tc>
        <w:tc>
          <w:tcPr>
            <w:tcW w:w="3174" w:type="pct"/>
          </w:tcPr>
          <w:p w14:paraId="6543E7E6" w14:textId="3D71258C" w:rsidR="00B7799E" w:rsidRPr="00F97E04" w:rsidRDefault="00B7799E" w:rsidP="006571D2">
            <w:pPr>
              <w:spacing w:before="60" w:after="60"/>
              <w:rPr>
                <w:rFonts w:cs="Arial"/>
                <w:b/>
                <w:bCs/>
                <w:lang w:val="en-US"/>
              </w:rPr>
            </w:pPr>
            <w:r>
              <w:rPr>
                <w:rFonts w:cs="Arial"/>
                <w:lang w:val="en-US"/>
              </w:rPr>
              <w:t>Outlines the process of handling background batch job exceptions and non-reported errors.</w:t>
            </w:r>
          </w:p>
        </w:tc>
      </w:tr>
      <w:tr w:rsidR="00B7799E" w:rsidRPr="00F97E04" w14:paraId="61C530CA" w14:textId="0ADA8F0E" w:rsidTr="006571D2">
        <w:trPr>
          <w:cantSplit/>
          <w:jc w:val="center"/>
        </w:trPr>
        <w:tc>
          <w:tcPr>
            <w:tcW w:w="1826" w:type="pct"/>
          </w:tcPr>
          <w:p w14:paraId="0A1EFC64" w14:textId="09DDD31F" w:rsidR="00B7799E" w:rsidRPr="00F97E04" w:rsidRDefault="00622E55" w:rsidP="006571D2">
            <w:pPr>
              <w:spacing w:before="60" w:after="60"/>
              <w:rPr>
                <w:rFonts w:cs="Arial"/>
                <w:i/>
                <w:iCs/>
                <w:lang w:val="en-US"/>
              </w:rPr>
            </w:pPr>
            <w:r>
              <w:rPr>
                <w:lang w:val="en-US"/>
              </w:rPr>
              <w:t>GO</w:t>
            </w:r>
            <w:r>
              <w:t>P-018_</w:t>
            </w:r>
            <w:r>
              <w:rPr>
                <w:rFonts w:cs="Arial"/>
                <w:lang w:val="en-US"/>
              </w:rPr>
              <w:t>MECM System Monitoring Health Check</w:t>
            </w:r>
          </w:p>
        </w:tc>
        <w:tc>
          <w:tcPr>
            <w:tcW w:w="3174" w:type="pct"/>
          </w:tcPr>
          <w:p w14:paraId="7DAEB0B9" w14:textId="63A91688" w:rsidR="00B7799E" w:rsidRPr="00F97E04" w:rsidRDefault="00D25B58" w:rsidP="006571D2">
            <w:pPr>
              <w:spacing w:before="60" w:after="60"/>
              <w:rPr>
                <w:rFonts w:cs="Arial"/>
                <w:highlight w:val="yellow"/>
                <w:lang w:val="en-US"/>
              </w:rPr>
            </w:pPr>
            <w:r>
              <w:rPr>
                <w:rFonts w:cs="Arial"/>
                <w:lang w:val="en-US"/>
              </w:rPr>
              <w:t>Outlines system performance and availability check processes including monitoring, collection and reporting, review, and improvement initiatives and plans for planned release cycles.</w:t>
            </w:r>
          </w:p>
        </w:tc>
      </w:tr>
    </w:tbl>
    <w:p w14:paraId="085FA0A2" w14:textId="184FC41F" w:rsidR="004041FA" w:rsidRPr="00F97E04" w:rsidRDefault="003B1722" w:rsidP="00310DFA">
      <w:pPr>
        <w:pStyle w:val="Caption"/>
      </w:pPr>
      <w:bookmarkStart w:id="31" w:name="_Toc211268674"/>
      <w:r>
        <w:t xml:space="preserve">Table </w:t>
      </w:r>
      <w:fldSimple w:instr=" STYLEREF 1 \s ">
        <w:r>
          <w:rPr>
            <w:noProof/>
          </w:rPr>
          <w:t>4</w:t>
        </w:r>
      </w:fldSimple>
      <w:r>
        <w:noBreakHyphen/>
      </w:r>
      <w:fldSimple w:instr=" SEQ Table \* ARABIC \s 1 ">
        <w:r>
          <w:rPr>
            <w:noProof/>
          </w:rPr>
          <w:t>3</w:t>
        </w:r>
      </w:fldSimple>
      <w:r>
        <w:t>: System Monitoring and Maintenance</w:t>
      </w:r>
      <w:bookmarkEnd w:id="31"/>
    </w:p>
    <w:p w14:paraId="3E5B1C42" w14:textId="4857F428" w:rsidR="006D54B7" w:rsidRPr="00F97E04" w:rsidRDefault="006D54B7" w:rsidP="006D54B7">
      <w:pPr>
        <w:pStyle w:val="Heading3"/>
      </w:pPr>
      <w:bookmarkStart w:id="32" w:name="_Toc211268643"/>
      <w:bookmarkStart w:id="33" w:name="_Toc205292929"/>
      <w:bookmarkStart w:id="34" w:name="_Toc205370397"/>
      <w:r>
        <w:t>Batch and Process Management</w:t>
      </w:r>
      <w:bookmarkEnd w:id="32"/>
    </w:p>
    <w:p w14:paraId="0A89C4BC" w14:textId="38AB9B58" w:rsidR="003C4215" w:rsidRPr="00F97E04" w:rsidRDefault="00307FAF" w:rsidP="00DF7C2D">
      <w:pPr>
        <w:pStyle w:val="MainBodyText0"/>
      </w:pPr>
      <w:r>
        <w:t>Batch processes are managed using the NY MECM Batch Run Book. Each night, batch jobs run during a scheduled overnight window with MECM in read-only mode. The Batch Lead reviews and updates the schedule, tracks critical jobs and dependencies, and sets milestones and thresholds for monitoring. Operators confirm schedule alignment, inbound file receipt, and handle exceptions or missing files per defined escalation steps, including marking jobs as “Skipped” or “Ended OK” with M&amp;O Manager approval. Special batch runs (quarterly/annual) are manually triggered and closely monitored, with dependencies pre-configured in the batch scheduler based on the NY MECM-Batch Calendar, NY MECM-Batch Run Book, and M&amp;O Batch Operations Guide. All failures or issues are logged into the incident and problem management system with supporting details, and incidents are escalated as needed. Daily NY_MECM_Batch_Run_Status_Report (in the graphic below) and incident summaries are distributed to stakeholders in the Daily Operation Report, and all actions follow the documented procedures for incident management, communication, and escalation.</w:t>
      </w:r>
      <w:bookmarkEnd w:id="33"/>
      <w:bookmarkEnd w:id="34"/>
    </w:p>
    <w:p w14:paraId="0B55DE9F" w14:textId="2356007D" w:rsidR="000825EE" w:rsidRPr="00F97E04" w:rsidRDefault="000825EE" w:rsidP="001002F9">
      <w:pPr>
        <w:pStyle w:val="MainBodyText"/>
        <w:jc w:val="center"/>
      </w:pPr>
      <w:r>
        <w:rPr>
          <w:noProof/>
        </w:rPr>
        <w:lastRenderedPageBreak/>
        <w:drawing>
          <wp:inline distT="0" distB="0" distL="0" distR="0" wp14:anchorId="355D8A50" wp14:editId="3E1DB449">
            <wp:extent cx="5943600" cy="2688336"/>
            <wp:effectExtent l="0" t="0" r="0" b="0"/>
            <wp:docPr id="1817859119"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859119" name="Picture 1" descr="A screenshot of a computer  AI-generated content may be incorrect."/>
                    <pic:cNvPicPr/>
                  </pic:nvPicPr>
                  <pic:blipFill>
                    <a:blip r:embed="rId20"/>
                    <a:stretch>
                      <a:fillRect/>
                    </a:stretch>
                  </pic:blipFill>
                  <pic:spPr>
                    <a:xfrm>
                      <a:off x="0" y="0"/>
                      <a:ext cx="5943600" cy="2688336"/>
                    </a:xfrm>
                    <a:prstGeom prst="rect">
                      <a:avLst/>
                    </a:prstGeom>
                  </pic:spPr>
                </pic:pic>
              </a:graphicData>
            </a:graphic>
          </wp:inline>
        </w:drawing>
      </w:r>
    </w:p>
    <w:p w14:paraId="5A3B4C84" w14:textId="3B78877D" w:rsidR="006047C1" w:rsidRPr="00F97E04" w:rsidRDefault="00C23BD9" w:rsidP="00310DFA">
      <w:pPr>
        <w:pStyle w:val="Caption"/>
      </w:pPr>
      <w:bookmarkStart w:id="35" w:name="_Toc211268699"/>
      <w:bookmarkStart w:id="36" w:name="_Toc205292930"/>
      <w:bookmarkStart w:id="37" w:name="_Toc205370398"/>
      <w:r>
        <w:t xml:space="preserve">Figure </w:t>
      </w:r>
      <w:fldSimple w:instr=" STYLEREF 1 \s ">
        <w:r>
          <w:rPr>
            <w:noProof/>
          </w:rPr>
          <w:t>4</w:t>
        </w:r>
      </w:fldSimple>
      <w:r>
        <w:noBreakHyphen/>
      </w:r>
      <w:fldSimple w:instr=" SEQ Figure \* ARABIC \s 1 ">
        <w:r>
          <w:rPr>
            <w:noProof/>
          </w:rPr>
          <w:t>1</w:t>
        </w:r>
      </w:fldSimple>
      <w:r>
        <w:t>: Daily NY Batch Run Status Report</w:t>
      </w:r>
      <w:bookmarkEnd w:id="35"/>
    </w:p>
    <w:p w14:paraId="1D08ABFE" w14:textId="41DD0201" w:rsidR="005B3BA3" w:rsidRPr="00F97E04" w:rsidRDefault="003C4215" w:rsidP="0001206B">
      <w:r>
        <w:t>For detailed batch processes, refer to</w:t>
      </w:r>
      <w:bookmarkEnd w:id="36"/>
      <w:bookmarkEnd w:id="37"/>
      <w:r>
        <w:t xml:space="preserve"> the table below.</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8"/>
        <w:gridCol w:w="5782"/>
      </w:tblGrid>
      <w:tr w:rsidR="008A3726" w:rsidRPr="00F97E04" w14:paraId="77F4A5F0" w14:textId="284D3E3A" w:rsidTr="002901C9">
        <w:trPr>
          <w:trHeight w:val="288"/>
          <w:tblHeader/>
          <w:jc w:val="center"/>
        </w:trPr>
        <w:tc>
          <w:tcPr>
            <w:tcW w:w="1908" w:type="pct"/>
            <w:tcBorders>
              <w:right w:val="single" w:sz="4" w:space="0" w:color="FFFFFF" w:themeColor="background1"/>
            </w:tcBorders>
            <w:shd w:val="clear" w:color="auto" w:fill="000000" w:themeFill="text1"/>
          </w:tcPr>
          <w:p w14:paraId="70BAF1A8" w14:textId="0BEBA291" w:rsidR="008A3726" w:rsidRPr="00F97E04" w:rsidRDefault="008A3726" w:rsidP="001002F9">
            <w:pPr>
              <w:spacing w:before="60" w:after="60"/>
              <w:rPr>
                <w:b/>
                <w:lang w:val="en-US"/>
              </w:rPr>
            </w:pPr>
            <w:r>
              <w:rPr>
                <w:b/>
                <w:lang w:val="en-US"/>
              </w:rPr>
              <w:t>Process Name</w:t>
            </w:r>
          </w:p>
        </w:tc>
        <w:tc>
          <w:tcPr>
            <w:tcW w:w="3092" w:type="pct"/>
            <w:tcBorders>
              <w:left w:val="single" w:sz="4" w:space="0" w:color="FFFFFF" w:themeColor="background1"/>
            </w:tcBorders>
            <w:shd w:val="clear" w:color="auto" w:fill="000000" w:themeFill="text1"/>
          </w:tcPr>
          <w:p w14:paraId="3658FC28" w14:textId="1C599FF6" w:rsidR="008A3726" w:rsidRPr="00F97E04" w:rsidRDefault="008A3726" w:rsidP="001002F9">
            <w:pPr>
              <w:spacing w:before="60" w:after="60"/>
              <w:ind w:firstLine="256"/>
              <w:rPr>
                <w:b/>
                <w:lang w:val="en-US"/>
              </w:rPr>
            </w:pPr>
            <w:r>
              <w:rPr>
                <w:b/>
                <w:lang w:val="en-US"/>
              </w:rPr>
              <w:t>Description</w:t>
            </w:r>
          </w:p>
        </w:tc>
      </w:tr>
      <w:tr w:rsidR="008A3726" w:rsidRPr="00F97E04" w14:paraId="73C7BD67" w14:textId="4598CFFC" w:rsidTr="002901C9">
        <w:trPr>
          <w:trHeight w:val="357"/>
          <w:jc w:val="center"/>
        </w:trPr>
        <w:tc>
          <w:tcPr>
            <w:tcW w:w="1908" w:type="pct"/>
            <w:shd w:val="clear" w:color="auto" w:fill="FFFFFF" w:themeFill="background1"/>
            <w:vAlign w:val="center"/>
          </w:tcPr>
          <w:p w14:paraId="62191DB6" w14:textId="1EC5DD27" w:rsidR="008A3726" w:rsidRPr="00F97E04" w:rsidRDefault="00CE292C" w:rsidP="001002F9">
            <w:pPr>
              <w:spacing w:before="60" w:after="60"/>
              <w:rPr>
                <w:rFonts w:cs="Arial"/>
                <w:lang w:val="en-US"/>
              </w:rPr>
            </w:pPr>
            <w:r>
              <w:rPr>
                <w:lang w:val="en-US"/>
              </w:rPr>
              <w:t>GOP-019_</w:t>
            </w:r>
            <w:r>
              <w:rPr>
                <w:rFonts w:cs="Arial"/>
                <w:lang w:val="en-US"/>
              </w:rPr>
              <w:t>Establish a Monthly Batch Calendar and Publication Process</w:t>
            </w:r>
          </w:p>
        </w:tc>
        <w:tc>
          <w:tcPr>
            <w:tcW w:w="3092" w:type="pct"/>
          </w:tcPr>
          <w:p w14:paraId="0CEAA738" w14:textId="306E51F8" w:rsidR="008A3726" w:rsidRPr="00F97E04" w:rsidRDefault="008A3726" w:rsidP="001002F9">
            <w:pPr>
              <w:spacing w:before="60" w:after="60"/>
              <w:rPr>
                <w:rFonts w:cs="Arial"/>
                <w:lang w:val="en-US"/>
              </w:rPr>
            </w:pPr>
            <w:r>
              <w:rPr>
                <w:rFonts w:cs="Arial"/>
                <w:lang w:val="en-US"/>
              </w:rPr>
              <w:t>Outline of process for coordination of applicable teams and MECM business and technology stakeholders to develop batch calendar and publish it monthly.</w:t>
            </w:r>
          </w:p>
        </w:tc>
      </w:tr>
      <w:tr w:rsidR="008A3726" w:rsidRPr="00F97E04" w14:paraId="1AEBF2AD" w14:textId="59005BD1" w:rsidTr="002901C9">
        <w:trPr>
          <w:trHeight w:val="357"/>
          <w:jc w:val="center"/>
        </w:trPr>
        <w:tc>
          <w:tcPr>
            <w:tcW w:w="1908" w:type="pct"/>
            <w:shd w:val="clear" w:color="auto" w:fill="FFFFFF" w:themeFill="background1"/>
            <w:vAlign w:val="center"/>
          </w:tcPr>
          <w:p w14:paraId="7DDCCE86" w14:textId="05EEC648" w:rsidR="008A3726" w:rsidRPr="00F97E04" w:rsidRDefault="00D279D3" w:rsidP="001002F9">
            <w:pPr>
              <w:spacing w:before="60" w:after="60"/>
              <w:rPr>
                <w:lang w:val="en-US"/>
              </w:rPr>
            </w:pPr>
            <w:r>
              <w:rPr>
                <w:lang w:val="en-US"/>
              </w:rPr>
              <w:t>GOP-020_</w:t>
            </w:r>
            <w:r>
              <w:rPr>
                <w:rFonts w:cs="Arial"/>
                <w:lang w:val="en-US"/>
              </w:rPr>
              <w:t>Manage the Nightly Batch</w:t>
            </w:r>
          </w:p>
        </w:tc>
        <w:tc>
          <w:tcPr>
            <w:tcW w:w="3092" w:type="pct"/>
          </w:tcPr>
          <w:p w14:paraId="7DCF58F5" w14:textId="134B57D6" w:rsidR="008A3726" w:rsidRPr="00F97E04" w:rsidRDefault="008A3726" w:rsidP="001002F9">
            <w:pPr>
              <w:spacing w:before="60" w:after="60"/>
              <w:rPr>
                <w:rFonts w:cs="Arial"/>
                <w:b/>
                <w:bCs/>
                <w:lang w:val="en-US"/>
              </w:rPr>
            </w:pPr>
            <w:r>
              <w:rPr>
                <w:rFonts w:cs="Arial"/>
                <w:lang w:val="en-US"/>
              </w:rPr>
              <w:t>Outlines the process of running nightly batch jobs to process queued transactions in accordance with approved batch schedule.</w:t>
            </w:r>
          </w:p>
        </w:tc>
      </w:tr>
      <w:tr w:rsidR="007178BE" w:rsidRPr="00F97E04" w14:paraId="61E7EF9F" w14:textId="01D3A305" w:rsidTr="002901C9">
        <w:trPr>
          <w:trHeight w:val="357"/>
          <w:jc w:val="center"/>
        </w:trPr>
        <w:tc>
          <w:tcPr>
            <w:tcW w:w="1908" w:type="pct"/>
            <w:shd w:val="clear" w:color="auto" w:fill="FFFFFF" w:themeFill="background1"/>
            <w:vAlign w:val="center"/>
          </w:tcPr>
          <w:p w14:paraId="3437F612" w14:textId="56175E2E" w:rsidR="007178BE" w:rsidRPr="00F97E04" w:rsidRDefault="006546B5" w:rsidP="001002F9">
            <w:pPr>
              <w:spacing w:before="60" w:after="60"/>
              <w:rPr>
                <w:lang w:val="en-US"/>
              </w:rPr>
            </w:pPr>
            <w:r>
              <w:rPr>
                <w:rFonts w:cs="Arial"/>
                <w:lang w:val="en-US"/>
              </w:rPr>
              <w:t>GOP-021_Manage Special Batch Runs (e.g., ones that take place 3-4 times per year)</w:t>
            </w:r>
            <w:r>
              <w:rPr>
                <w:lang w:val="en-US"/>
              </w:rPr>
              <w:t xml:space="preserve"> </w:t>
            </w:r>
          </w:p>
        </w:tc>
        <w:tc>
          <w:tcPr>
            <w:tcW w:w="3092" w:type="pct"/>
          </w:tcPr>
          <w:p w14:paraId="2F219850" w14:textId="5306266D" w:rsidR="007178BE" w:rsidRPr="00F97E04" w:rsidRDefault="007178BE" w:rsidP="001002F9">
            <w:pPr>
              <w:spacing w:before="60" w:after="60"/>
              <w:rPr>
                <w:rFonts w:cs="Arial"/>
                <w:b/>
                <w:bCs/>
                <w:lang w:val="en-US"/>
              </w:rPr>
            </w:pPr>
            <w:r>
              <w:rPr>
                <w:rFonts w:cs="Arial"/>
                <w:lang w:val="en-US"/>
              </w:rPr>
              <w:t>Outlines the management process for special batch runs.</w:t>
            </w:r>
          </w:p>
        </w:tc>
      </w:tr>
      <w:tr w:rsidR="0031133F" w:rsidRPr="00F97E04" w14:paraId="58FC35EC" w14:textId="77777777" w:rsidTr="002901C9">
        <w:trPr>
          <w:trHeight w:val="357"/>
          <w:jc w:val="center"/>
        </w:trPr>
        <w:tc>
          <w:tcPr>
            <w:tcW w:w="1908" w:type="pct"/>
            <w:shd w:val="clear" w:color="auto" w:fill="FFFFFF" w:themeFill="background1"/>
            <w:vAlign w:val="center"/>
          </w:tcPr>
          <w:p w14:paraId="513F37F5" w14:textId="6D80CB28" w:rsidR="0031133F" w:rsidRPr="00F97E04" w:rsidRDefault="0089423A" w:rsidP="001002F9">
            <w:pPr>
              <w:spacing w:before="60" w:after="60"/>
              <w:rPr>
                <w:rFonts w:cs="Arial"/>
                <w:lang w:val="en-US"/>
              </w:rPr>
            </w:pPr>
            <w:r>
              <w:rPr>
                <w:rFonts w:cs="Arial"/>
                <w:lang w:val="en-US"/>
              </w:rPr>
              <w:t>GOP-022_Managing the Batch Schedule Configuration</w:t>
            </w:r>
          </w:p>
        </w:tc>
        <w:tc>
          <w:tcPr>
            <w:tcW w:w="3092" w:type="pct"/>
          </w:tcPr>
          <w:p w14:paraId="01529A75" w14:textId="4D9D1A27" w:rsidR="0031133F" w:rsidRPr="00F97E04" w:rsidRDefault="0031133F" w:rsidP="001002F9">
            <w:pPr>
              <w:spacing w:before="60" w:after="60"/>
              <w:rPr>
                <w:rFonts w:cs="Arial"/>
                <w:lang w:val="en-US"/>
              </w:rPr>
            </w:pPr>
            <w:r>
              <w:rPr>
                <w:rFonts w:cs="Arial"/>
                <w:lang w:val="en-US"/>
              </w:rPr>
              <w:t>Outlines the batch schedule configuration process as run through change management.</w:t>
            </w:r>
          </w:p>
        </w:tc>
      </w:tr>
      <w:tr w:rsidR="007178BE" w:rsidRPr="00F97E04" w14:paraId="19063A1D" w14:textId="5A986EB2" w:rsidTr="002901C9">
        <w:trPr>
          <w:trHeight w:val="357"/>
          <w:jc w:val="center"/>
        </w:trPr>
        <w:tc>
          <w:tcPr>
            <w:tcW w:w="1908" w:type="pct"/>
            <w:shd w:val="clear" w:color="auto" w:fill="FFFFFF" w:themeFill="background1"/>
            <w:vAlign w:val="center"/>
          </w:tcPr>
          <w:p w14:paraId="2A304650" w14:textId="58B04EF7" w:rsidR="007178BE" w:rsidRPr="00F97E04" w:rsidRDefault="0089423A" w:rsidP="001002F9">
            <w:pPr>
              <w:spacing w:before="60" w:after="60"/>
              <w:rPr>
                <w:i/>
                <w:iCs/>
                <w:lang w:val="en-US"/>
              </w:rPr>
            </w:pPr>
            <w:r>
              <w:rPr>
                <w:rFonts w:cs="Arial"/>
                <w:lang w:val="en-US"/>
              </w:rPr>
              <w:t>GOP-023_Handle Batches that Can’t be Run Due to External Situations</w:t>
            </w:r>
          </w:p>
        </w:tc>
        <w:tc>
          <w:tcPr>
            <w:tcW w:w="3092" w:type="pct"/>
          </w:tcPr>
          <w:p w14:paraId="24DB96CE" w14:textId="698E8A90" w:rsidR="007178BE" w:rsidRPr="00F97E04" w:rsidRDefault="007178BE" w:rsidP="001002F9">
            <w:pPr>
              <w:spacing w:before="60" w:after="60"/>
              <w:rPr>
                <w:rFonts w:cs="Arial"/>
                <w:b/>
                <w:bCs/>
                <w:lang w:val="en-US"/>
              </w:rPr>
            </w:pPr>
            <w:r>
              <w:rPr>
                <w:rFonts w:cs="Arial"/>
                <w:lang w:val="en-US"/>
              </w:rPr>
              <w:t>Outlines the process for situations when batches cannot be run due to external situations, including the process for incident creation for batch failure.</w:t>
            </w:r>
          </w:p>
        </w:tc>
      </w:tr>
      <w:tr w:rsidR="00D26EFA" w:rsidRPr="00F97E04" w14:paraId="3088246D" w14:textId="77777777" w:rsidTr="002901C9">
        <w:trPr>
          <w:trHeight w:val="357"/>
          <w:jc w:val="center"/>
        </w:trPr>
        <w:tc>
          <w:tcPr>
            <w:tcW w:w="1908" w:type="pct"/>
            <w:shd w:val="clear" w:color="auto" w:fill="FFFFFF" w:themeFill="background1"/>
            <w:vAlign w:val="center"/>
          </w:tcPr>
          <w:p w14:paraId="10EB3433" w14:textId="6D4218EA" w:rsidR="00D26EFA" w:rsidRPr="00F97E04" w:rsidRDefault="00237F74" w:rsidP="001002F9">
            <w:pPr>
              <w:spacing w:before="60" w:after="60"/>
              <w:rPr>
                <w:rFonts w:cs="Arial"/>
                <w:highlight w:val="yellow"/>
                <w:lang w:val="en-US"/>
              </w:rPr>
            </w:pPr>
            <w:r>
              <w:rPr>
                <w:rFonts w:cs="Arial"/>
                <w:lang w:val="en-US"/>
              </w:rPr>
              <w:t>GOP-024_NY MECM Batch Calendar-DOH</w:t>
            </w:r>
          </w:p>
        </w:tc>
        <w:tc>
          <w:tcPr>
            <w:tcW w:w="3092" w:type="pct"/>
          </w:tcPr>
          <w:p w14:paraId="2A3E3BC8" w14:textId="4FE4935F" w:rsidR="00D26EFA" w:rsidRPr="005D4F97" w:rsidRDefault="003659DB" w:rsidP="001002F9">
            <w:pPr>
              <w:spacing w:before="60" w:after="60"/>
              <w:rPr>
                <w:rFonts w:cs="Arial"/>
                <w:highlight w:val="yellow"/>
                <w:lang w:val="en-US"/>
              </w:rPr>
            </w:pPr>
            <w:r>
              <w:rPr>
                <w:rFonts w:cs="Arial"/>
                <w:lang w:val="en-US"/>
              </w:rPr>
              <w:t>Defines the cadence of batch job runs.</w:t>
            </w:r>
          </w:p>
        </w:tc>
      </w:tr>
    </w:tbl>
    <w:p w14:paraId="4BD55B8C" w14:textId="32CC742E" w:rsidR="00FC3F08" w:rsidRPr="00F97E04" w:rsidRDefault="004C2D97" w:rsidP="00310DFA">
      <w:pPr>
        <w:pStyle w:val="Caption"/>
      </w:pPr>
      <w:bookmarkStart w:id="38" w:name="_Toc211268675"/>
      <w:r>
        <w:t xml:space="preserve">Table </w:t>
      </w:r>
      <w:fldSimple w:instr=" STYLEREF 1 \s ">
        <w:r>
          <w:rPr>
            <w:noProof/>
          </w:rPr>
          <w:t>4</w:t>
        </w:r>
      </w:fldSimple>
      <w:r>
        <w:noBreakHyphen/>
      </w:r>
      <w:fldSimple w:instr=" SEQ Table \* ARABIC \s 1 ">
        <w:r>
          <w:rPr>
            <w:noProof/>
          </w:rPr>
          <w:t>4</w:t>
        </w:r>
      </w:fldSimple>
      <w:r>
        <w:t>: Batch and Process Management</w:t>
      </w:r>
      <w:bookmarkEnd w:id="38"/>
    </w:p>
    <w:p w14:paraId="57C732AF" w14:textId="20C9AB80" w:rsidR="00403F6A" w:rsidRPr="00F97E04" w:rsidRDefault="00403F6A">
      <w:pPr>
        <w:spacing w:before="0" w:after="160" w:line="259" w:lineRule="auto"/>
      </w:pPr>
      <w:r>
        <w:br w:type="page"/>
      </w:r>
    </w:p>
    <w:p w14:paraId="685F77E9" w14:textId="31881238" w:rsidR="006D54B7" w:rsidRPr="00F97E04" w:rsidRDefault="006D54B7" w:rsidP="006D54B7">
      <w:pPr>
        <w:pStyle w:val="Heading3"/>
      </w:pPr>
      <w:bookmarkStart w:id="39" w:name="_Toc210652072"/>
      <w:bookmarkStart w:id="40" w:name="_Toc211268644"/>
      <w:bookmarkStart w:id="41" w:name="_Toc205292932"/>
      <w:bookmarkStart w:id="42" w:name="_Toc205370400"/>
      <w:bookmarkEnd w:id="39"/>
      <w:r>
        <w:lastRenderedPageBreak/>
        <w:t>Quality Assurance and Improvement</w:t>
      </w:r>
      <w:bookmarkEnd w:id="40"/>
    </w:p>
    <w:p w14:paraId="565D858F" w14:textId="6283F46E" w:rsidR="00702E19" w:rsidRPr="00F97E04" w:rsidRDefault="003E3A7E" w:rsidP="00DF7C2D">
      <w:pPr>
        <w:pStyle w:val="MainBodyText0"/>
      </w:pPr>
      <w:r>
        <w:t>This section will outline the processes for managing code quality, document and manage recurring quality checks, retraining quality assurance and prompt injection models as well as the process of fine-tuning and improving feedback mechanism.</w:t>
      </w:r>
      <w:bookmarkEnd w:id="41"/>
      <w:bookmarkEnd w:id="42"/>
      <w:r>
        <w:t xml:space="preserve"> </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15"/>
      </w:tblGrid>
      <w:tr w:rsidR="003A556A" w:rsidRPr="00F97E04" w14:paraId="0E06BC16" w14:textId="020A47D7" w:rsidTr="001002F9">
        <w:trPr>
          <w:cantSplit/>
          <w:tblHeader/>
          <w:jc w:val="center"/>
        </w:trPr>
        <w:tc>
          <w:tcPr>
            <w:tcW w:w="3235" w:type="dxa"/>
            <w:tcBorders>
              <w:right w:val="single" w:sz="4" w:space="0" w:color="FFFFFF" w:themeColor="background1"/>
            </w:tcBorders>
            <w:shd w:val="clear" w:color="auto" w:fill="000000" w:themeFill="text1"/>
          </w:tcPr>
          <w:p w14:paraId="6BE6BDA8" w14:textId="77777777" w:rsidR="003A556A" w:rsidRPr="00F97E04" w:rsidRDefault="003A556A" w:rsidP="001002F9">
            <w:pPr>
              <w:spacing w:before="60" w:after="60"/>
              <w:rPr>
                <w:b/>
                <w:lang w:val="en-US"/>
              </w:rPr>
            </w:pPr>
            <w:r>
              <w:rPr>
                <w:b/>
                <w:lang w:val="en-US"/>
              </w:rPr>
              <w:t>Process Name</w:t>
            </w:r>
          </w:p>
        </w:tc>
        <w:tc>
          <w:tcPr>
            <w:tcW w:w="6115" w:type="dxa"/>
            <w:tcBorders>
              <w:left w:val="single" w:sz="4" w:space="0" w:color="FFFFFF" w:themeColor="background1"/>
            </w:tcBorders>
            <w:shd w:val="clear" w:color="auto" w:fill="000000" w:themeFill="text1"/>
          </w:tcPr>
          <w:p w14:paraId="5F72AB1E" w14:textId="64B80FDE" w:rsidR="003A556A" w:rsidRPr="00F97E04" w:rsidRDefault="003A556A" w:rsidP="001002F9">
            <w:pPr>
              <w:spacing w:before="60" w:after="60"/>
              <w:rPr>
                <w:b/>
                <w:lang w:val="en-US"/>
              </w:rPr>
            </w:pPr>
            <w:r>
              <w:rPr>
                <w:b/>
                <w:lang w:val="en-US"/>
              </w:rPr>
              <w:t>Description</w:t>
            </w:r>
          </w:p>
        </w:tc>
      </w:tr>
      <w:tr w:rsidR="003A556A" w:rsidRPr="00F97E04" w14:paraId="064B6010" w14:textId="55B4BDC8" w:rsidTr="001002F9">
        <w:trPr>
          <w:cantSplit/>
          <w:jc w:val="center"/>
        </w:trPr>
        <w:tc>
          <w:tcPr>
            <w:tcW w:w="3235" w:type="dxa"/>
          </w:tcPr>
          <w:p w14:paraId="0907AB82" w14:textId="62C7EF4C" w:rsidR="003A556A" w:rsidRPr="00F97E04" w:rsidRDefault="002151C2" w:rsidP="001002F9">
            <w:pPr>
              <w:spacing w:before="60" w:after="60"/>
              <w:rPr>
                <w:rStyle w:val="CommentReference"/>
                <w:lang w:val="en-US"/>
              </w:rPr>
            </w:pPr>
            <w:r>
              <w:rPr>
                <w:rFonts w:cs="Arial"/>
                <w:lang w:val="en-US"/>
              </w:rPr>
              <w:t>GOP-025_Manage the Continuous Improvement Program</w:t>
            </w:r>
          </w:p>
        </w:tc>
        <w:tc>
          <w:tcPr>
            <w:tcW w:w="6115" w:type="dxa"/>
          </w:tcPr>
          <w:p w14:paraId="11E19653" w14:textId="451B8B86" w:rsidR="003A556A" w:rsidRPr="00F97E04" w:rsidRDefault="0073650E" w:rsidP="001002F9">
            <w:pPr>
              <w:spacing w:before="60" w:after="60"/>
              <w:rPr>
                <w:rFonts w:cs="Arial"/>
                <w:b/>
                <w:bCs/>
                <w:lang w:val="en-US"/>
              </w:rPr>
            </w:pPr>
            <w:r>
              <w:rPr>
                <w:rFonts w:cs="Arial"/>
                <w:lang w:val="en-US"/>
              </w:rPr>
              <w:t>For details about the Continuous Improvement Program (CIP) refer to the Del.5_Project Management Plan.docx</w:t>
            </w:r>
            <w:r>
              <w:rPr>
                <w:lang w:val="en-US"/>
              </w:rPr>
              <w:t>.</w:t>
            </w:r>
          </w:p>
        </w:tc>
      </w:tr>
    </w:tbl>
    <w:p w14:paraId="04AA5558" w14:textId="1F77035F" w:rsidR="006D3E35" w:rsidRPr="00F97E04" w:rsidRDefault="00446C6A" w:rsidP="00310DFA">
      <w:pPr>
        <w:pStyle w:val="Caption"/>
      </w:pPr>
      <w:bookmarkStart w:id="43" w:name="_Toc211268676"/>
      <w:r>
        <w:t xml:space="preserve">Table </w:t>
      </w:r>
      <w:fldSimple w:instr=" STYLEREF 1 \s ">
        <w:r>
          <w:rPr>
            <w:noProof/>
          </w:rPr>
          <w:t>4</w:t>
        </w:r>
      </w:fldSimple>
      <w:r>
        <w:noBreakHyphen/>
      </w:r>
      <w:fldSimple w:instr=" SEQ Table \* ARABIC \s 1 ">
        <w:r>
          <w:rPr>
            <w:noProof/>
          </w:rPr>
          <w:t>5</w:t>
        </w:r>
      </w:fldSimple>
      <w:r>
        <w:t>: Quality Assurance and Improvement</w:t>
      </w:r>
      <w:bookmarkEnd w:id="43"/>
    </w:p>
    <w:p w14:paraId="5EA48AFF" w14:textId="6975461B" w:rsidR="006D54B7" w:rsidRPr="00F97E04" w:rsidRDefault="006D54B7" w:rsidP="006D54B7">
      <w:pPr>
        <w:pStyle w:val="Heading3"/>
      </w:pPr>
      <w:bookmarkStart w:id="44" w:name="_Toc211268645"/>
      <w:r>
        <w:t>Release Management</w:t>
      </w:r>
      <w:bookmarkEnd w:id="44"/>
    </w:p>
    <w:p w14:paraId="455F1982" w14:textId="1D95EFD1" w:rsidR="00CB05A0" w:rsidRPr="00F97E04" w:rsidRDefault="00CB05A0" w:rsidP="00DF7C2D">
      <w:pPr>
        <w:pStyle w:val="MainBodyText0"/>
      </w:pPr>
      <w:r>
        <w:t>The M&amp;O team adheres to all processes and procedures defined in Deliverable #34 Release Management Plan (RMP), encompassing the full release lifecycle - from planning and development through deployment and post-release evaluation. The M&amp;O Release Coordinator will verify that all activities are handled as defined in the approved deliverables, such as the RMP and the CMP, and will closely communicate and coordinate with the Release Manager and DOH/Division of Operations and Systems (DOS) counterparts to confirm that the M&amp;O scope is properly covered.</w:t>
      </w:r>
    </w:p>
    <w:p w14:paraId="6C62736E" w14:textId="41C96679" w:rsidR="00CB05A0" w:rsidRPr="00F97E04" w:rsidRDefault="00CB05A0" w:rsidP="00DF7C2D">
      <w:pPr>
        <w:pStyle w:val="MainBodyText0"/>
      </w:pPr>
      <w:r>
        <w:t>The comprehensive Release Inventory is defined in the Release Calendar. The Release Management documentation will contain inventory catalogs of all historical releases, along with their associated release notes, change orders/projects, and other relevant historical information, such as patching details, including M&amp;O releases.</w:t>
      </w:r>
    </w:p>
    <w:p w14:paraId="17F32FAF" w14:textId="598DB2C4" w:rsidR="00CB05A0" w:rsidRPr="00F97E04" w:rsidRDefault="00CB05A0" w:rsidP="00DF7C2D">
      <w:pPr>
        <w:pStyle w:val="MainBodyText0"/>
      </w:pPr>
      <w:r>
        <w:t>The M&amp;O Release Coordinator will coordinate with the Release Manager and support the following key processes as part of Release Management.</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6140"/>
      </w:tblGrid>
      <w:tr w:rsidR="00A302EE" w:rsidRPr="00F97E04" w14:paraId="35B75BC4" w14:textId="77777777" w:rsidTr="001002F9">
        <w:trPr>
          <w:trHeight w:val="288"/>
          <w:tblHeader/>
          <w:jc w:val="center"/>
        </w:trPr>
        <w:tc>
          <w:tcPr>
            <w:tcW w:w="3235" w:type="dxa"/>
            <w:tcBorders>
              <w:right w:val="single" w:sz="4" w:space="0" w:color="FFFFFF" w:themeColor="background1"/>
            </w:tcBorders>
            <w:shd w:val="clear" w:color="auto" w:fill="000000" w:themeFill="text1"/>
            <w:vAlign w:val="center"/>
          </w:tcPr>
          <w:p w14:paraId="3FF9B721" w14:textId="49191DCE" w:rsidR="00A302EE" w:rsidRPr="00F97E04" w:rsidRDefault="00A302EE" w:rsidP="001002F9">
            <w:pPr>
              <w:spacing w:before="60" w:after="60"/>
              <w:rPr>
                <w:b/>
                <w:lang w:val="en-US"/>
              </w:rPr>
            </w:pPr>
            <w:r>
              <w:rPr>
                <w:b/>
                <w:lang w:val="en-US"/>
              </w:rPr>
              <w:t>Process Name</w:t>
            </w:r>
          </w:p>
        </w:tc>
        <w:tc>
          <w:tcPr>
            <w:tcW w:w="6210" w:type="dxa"/>
            <w:tcBorders>
              <w:left w:val="single" w:sz="4" w:space="0" w:color="FFFFFF" w:themeColor="background1"/>
            </w:tcBorders>
            <w:shd w:val="clear" w:color="auto" w:fill="000000" w:themeFill="text1"/>
            <w:vAlign w:val="center"/>
          </w:tcPr>
          <w:p w14:paraId="69F34BFF" w14:textId="0BFC6A2C" w:rsidR="0048233A" w:rsidRPr="00F97E04" w:rsidRDefault="00A302EE" w:rsidP="001002F9">
            <w:pPr>
              <w:spacing w:before="60" w:after="60"/>
              <w:rPr>
                <w:b/>
                <w:lang w:val="en-US"/>
              </w:rPr>
            </w:pPr>
            <w:r>
              <w:rPr>
                <w:b/>
                <w:lang w:val="en-US"/>
              </w:rPr>
              <w:t>Description</w:t>
            </w:r>
          </w:p>
        </w:tc>
      </w:tr>
      <w:tr w:rsidR="0016313B" w:rsidRPr="00F97E04" w14:paraId="7450E9AB" w14:textId="77777777" w:rsidTr="001002F9">
        <w:trPr>
          <w:trHeight w:val="288"/>
          <w:tblHeader/>
          <w:jc w:val="center"/>
        </w:trPr>
        <w:tc>
          <w:tcPr>
            <w:tcW w:w="3235" w:type="dxa"/>
          </w:tcPr>
          <w:p w14:paraId="4AC545D5" w14:textId="0C3DFB2C" w:rsidR="0016313B" w:rsidRPr="00F97E04" w:rsidRDefault="5A6F559F" w:rsidP="001002F9">
            <w:pPr>
              <w:spacing w:before="60" w:after="60"/>
              <w:rPr>
                <w:lang w:val="en-US"/>
              </w:rPr>
            </w:pPr>
            <w:r>
              <w:rPr>
                <w:lang w:val="en-US"/>
              </w:rPr>
              <w:t>MECM Release Notes</w:t>
            </w:r>
          </w:p>
        </w:tc>
        <w:tc>
          <w:tcPr>
            <w:tcW w:w="6210" w:type="dxa"/>
          </w:tcPr>
          <w:p w14:paraId="0D14DC37" w14:textId="4FA53B90" w:rsidR="0016313B" w:rsidRPr="00F97E04" w:rsidRDefault="000E7899" w:rsidP="001002F9">
            <w:pPr>
              <w:spacing w:before="60" w:after="60"/>
              <w:rPr>
                <w:bCs/>
                <w:lang w:val="en-US"/>
              </w:rPr>
            </w:pPr>
            <w:r>
              <w:rPr>
                <w:bCs/>
                <w:lang w:val="en-US"/>
              </w:rPr>
              <w:t xml:space="preserve">To view Release Notes, refer to sections 3.7 and 3.7.1 of the </w:t>
            </w:r>
            <w:r>
              <w:rPr>
                <w:rFonts w:eastAsia="Calibri" w:cs="Calibri"/>
                <w:lang w:val="en-US"/>
              </w:rPr>
              <w:t>Del.34_Release Management Plan.docx</w:t>
            </w:r>
          </w:p>
        </w:tc>
      </w:tr>
      <w:tr w:rsidR="0016313B" w:rsidRPr="00F97E04" w14:paraId="67DACA42" w14:textId="77777777" w:rsidTr="001002F9">
        <w:trPr>
          <w:trHeight w:val="288"/>
          <w:tblHeader/>
          <w:jc w:val="center"/>
        </w:trPr>
        <w:tc>
          <w:tcPr>
            <w:tcW w:w="3235" w:type="dxa"/>
          </w:tcPr>
          <w:p w14:paraId="6E0AFA9D" w14:textId="0FAA4F0B" w:rsidR="0016313B" w:rsidRPr="00F97E04" w:rsidRDefault="0016313B" w:rsidP="001002F9">
            <w:pPr>
              <w:spacing w:before="60" w:after="60"/>
              <w:rPr>
                <w:bCs/>
                <w:lang w:val="en-US"/>
              </w:rPr>
            </w:pPr>
            <w:r>
              <w:rPr>
                <w:bCs/>
                <w:lang w:val="en-US"/>
              </w:rPr>
              <w:t>MECM Release Calendar</w:t>
            </w:r>
          </w:p>
        </w:tc>
        <w:tc>
          <w:tcPr>
            <w:tcW w:w="6210" w:type="dxa"/>
          </w:tcPr>
          <w:p w14:paraId="363D4708" w14:textId="5441CD87" w:rsidR="0016313B" w:rsidRPr="00F97E04" w:rsidRDefault="003755F5" w:rsidP="001002F9">
            <w:pPr>
              <w:spacing w:before="60" w:after="60"/>
              <w:rPr>
                <w:bCs/>
                <w:lang w:val="en-US"/>
              </w:rPr>
            </w:pPr>
            <w:r>
              <w:rPr>
                <w:bCs/>
                <w:lang w:val="en-US"/>
              </w:rPr>
              <w:t xml:space="preserve">To view the Release Calendar, refer to Appendix B within the </w:t>
            </w:r>
            <w:r>
              <w:rPr>
                <w:rFonts w:eastAsia="Calibri" w:cs="Calibri"/>
                <w:lang w:val="en-US"/>
              </w:rPr>
              <w:t>Del.34_Release Management Plan.docx</w:t>
            </w:r>
          </w:p>
        </w:tc>
      </w:tr>
      <w:tr w:rsidR="00A302EE" w:rsidRPr="00F97E04" w14:paraId="59C5D6ED" w14:textId="77777777" w:rsidTr="001002F9">
        <w:trPr>
          <w:trHeight w:val="288"/>
          <w:tblHeader/>
          <w:jc w:val="center"/>
        </w:trPr>
        <w:tc>
          <w:tcPr>
            <w:tcW w:w="3235" w:type="dxa"/>
          </w:tcPr>
          <w:p w14:paraId="1C595B28" w14:textId="0A82308A" w:rsidR="00A302EE" w:rsidRPr="00F97E04" w:rsidRDefault="0016313B" w:rsidP="001002F9">
            <w:pPr>
              <w:spacing w:before="60" w:after="60"/>
              <w:rPr>
                <w:bCs/>
                <w:lang w:val="en-US"/>
              </w:rPr>
            </w:pPr>
            <w:r>
              <w:rPr>
                <w:bCs/>
                <w:lang w:val="en-US"/>
              </w:rPr>
              <w:t>MECM Release Paths</w:t>
            </w:r>
          </w:p>
        </w:tc>
        <w:tc>
          <w:tcPr>
            <w:tcW w:w="6210" w:type="dxa"/>
          </w:tcPr>
          <w:p w14:paraId="2B0AD623" w14:textId="4D293BEA" w:rsidR="00A302EE" w:rsidRPr="00F97E04" w:rsidRDefault="00B8501B" w:rsidP="001002F9">
            <w:pPr>
              <w:spacing w:before="60" w:after="60"/>
              <w:rPr>
                <w:bCs/>
                <w:lang w:val="en-US"/>
              </w:rPr>
            </w:pPr>
            <w:r>
              <w:rPr>
                <w:bCs/>
                <w:lang w:val="en-US"/>
              </w:rPr>
              <w:t xml:space="preserve">For details about release paths, refer to section 7.2 of the CMP, which is part of </w:t>
            </w:r>
            <w:r>
              <w:rPr>
                <w:rFonts w:eastAsia="Calibri" w:cs="Calibri"/>
                <w:lang w:val="en-US"/>
              </w:rPr>
              <w:t>Del.34_Release Management Plan.docx</w:t>
            </w:r>
          </w:p>
        </w:tc>
      </w:tr>
      <w:tr w:rsidR="00A302EE" w:rsidRPr="00F97E04" w14:paraId="5B7A9791" w14:textId="77777777" w:rsidTr="001002F9">
        <w:trPr>
          <w:trHeight w:val="288"/>
          <w:tblHeader/>
          <w:jc w:val="center"/>
        </w:trPr>
        <w:tc>
          <w:tcPr>
            <w:tcW w:w="3235" w:type="dxa"/>
          </w:tcPr>
          <w:p w14:paraId="40C19652" w14:textId="16D3D08C" w:rsidR="00A302EE" w:rsidRPr="00F97E04" w:rsidRDefault="0016313B" w:rsidP="001002F9">
            <w:pPr>
              <w:spacing w:before="60" w:after="60"/>
              <w:rPr>
                <w:bCs/>
                <w:lang w:val="en-US"/>
              </w:rPr>
            </w:pPr>
            <w:r>
              <w:rPr>
                <w:bCs/>
                <w:lang w:val="en-US"/>
              </w:rPr>
              <w:t>Refresh the Pre-Production Environment Data</w:t>
            </w:r>
          </w:p>
        </w:tc>
        <w:tc>
          <w:tcPr>
            <w:tcW w:w="6210" w:type="dxa"/>
          </w:tcPr>
          <w:p w14:paraId="5DB09CC2" w14:textId="4129089C" w:rsidR="00A302EE" w:rsidRPr="00F97E04" w:rsidRDefault="009C3344" w:rsidP="001002F9">
            <w:pPr>
              <w:spacing w:before="60" w:after="60"/>
              <w:rPr>
                <w:bCs/>
                <w:lang w:val="en-US"/>
              </w:rPr>
            </w:pPr>
            <w:r>
              <w:rPr>
                <w:bCs/>
                <w:lang w:val="en-US"/>
              </w:rPr>
              <w:t xml:space="preserve">For details on refreshing the pre-production environment data, refer to section 3.2.3 of the </w:t>
            </w:r>
            <w:r>
              <w:rPr>
                <w:rFonts w:eastAsia="Calibri" w:cs="Calibri"/>
                <w:lang w:val="en-US"/>
              </w:rPr>
              <w:t>Del.34_Release Management Plan.docx</w:t>
            </w:r>
          </w:p>
        </w:tc>
      </w:tr>
      <w:tr w:rsidR="00A302EE" w:rsidRPr="00F97E04" w14:paraId="17403FD1" w14:textId="77777777" w:rsidTr="001002F9">
        <w:trPr>
          <w:trHeight w:val="357"/>
          <w:jc w:val="center"/>
        </w:trPr>
        <w:tc>
          <w:tcPr>
            <w:tcW w:w="3235" w:type="dxa"/>
            <w:vAlign w:val="center"/>
          </w:tcPr>
          <w:p w14:paraId="2B90DBBC" w14:textId="749D88AD" w:rsidR="00A302EE" w:rsidRPr="00F97E04" w:rsidRDefault="0016313B" w:rsidP="001002F9">
            <w:pPr>
              <w:spacing w:before="60" w:after="60"/>
              <w:rPr>
                <w:rFonts w:cs="Arial"/>
                <w:bCs/>
                <w:lang w:val="en-US"/>
              </w:rPr>
            </w:pPr>
            <w:r>
              <w:rPr>
                <w:rFonts w:cs="Arial"/>
                <w:bCs/>
                <w:lang w:val="en-US"/>
              </w:rPr>
              <w:t>Post-Deployment Release Validation Communication</w:t>
            </w:r>
          </w:p>
        </w:tc>
        <w:tc>
          <w:tcPr>
            <w:tcW w:w="6210" w:type="dxa"/>
          </w:tcPr>
          <w:p w14:paraId="6F4A7A3C" w14:textId="4611B07C" w:rsidR="00A302EE" w:rsidRPr="00F97E04" w:rsidRDefault="00746A30" w:rsidP="001002F9">
            <w:pPr>
              <w:spacing w:before="60" w:after="60"/>
              <w:rPr>
                <w:rFonts w:cs="Arial"/>
                <w:bCs/>
                <w:lang w:val="en-US"/>
              </w:rPr>
            </w:pPr>
            <w:r>
              <w:rPr>
                <w:rFonts w:cs="Arial"/>
                <w:bCs/>
                <w:lang w:val="en-US"/>
              </w:rPr>
              <w:t xml:space="preserve">For details on post-deployment release validation communications, refer to section 3.8 </w:t>
            </w:r>
            <w:r>
              <w:rPr>
                <w:bCs/>
                <w:lang w:val="en-US"/>
              </w:rPr>
              <w:t xml:space="preserve">of the </w:t>
            </w:r>
            <w:r>
              <w:rPr>
                <w:rFonts w:eastAsia="Calibri" w:cs="Calibri"/>
                <w:lang w:val="en-US"/>
              </w:rPr>
              <w:t>Del.34_Release Management Plan.docx</w:t>
            </w:r>
          </w:p>
        </w:tc>
      </w:tr>
    </w:tbl>
    <w:p w14:paraId="7292FDB1" w14:textId="2DD141FC" w:rsidR="00DF31C6" w:rsidRPr="00F97E04" w:rsidRDefault="00FE6C84" w:rsidP="00310DFA">
      <w:pPr>
        <w:pStyle w:val="Caption"/>
      </w:pPr>
      <w:bookmarkStart w:id="45" w:name="_Toc211268677"/>
      <w:r>
        <w:t xml:space="preserve">Table </w:t>
      </w:r>
      <w:fldSimple w:instr=" STYLEREF 1 \s ">
        <w:r>
          <w:rPr>
            <w:noProof/>
          </w:rPr>
          <w:t>4</w:t>
        </w:r>
      </w:fldSimple>
      <w:r>
        <w:noBreakHyphen/>
      </w:r>
      <w:fldSimple w:instr=" SEQ Table \* ARABIC \s 1 ">
        <w:r>
          <w:rPr>
            <w:noProof/>
          </w:rPr>
          <w:t>6</w:t>
        </w:r>
      </w:fldSimple>
      <w:r>
        <w:t>: Release Management</w:t>
      </w:r>
      <w:bookmarkEnd w:id="45"/>
    </w:p>
    <w:p w14:paraId="61774BBE" w14:textId="77777777" w:rsidR="00DF31C6" w:rsidRPr="00F97E04" w:rsidRDefault="00DF31C6">
      <w:pPr>
        <w:spacing w:before="0" w:after="160" w:line="259" w:lineRule="auto"/>
      </w:pPr>
      <w:r>
        <w:br w:type="page"/>
      </w:r>
    </w:p>
    <w:p w14:paraId="04895C13" w14:textId="3118E67A" w:rsidR="00FC3F08" w:rsidRPr="00F97E04" w:rsidRDefault="00FC3F08" w:rsidP="002E635F">
      <w:pPr>
        <w:pStyle w:val="Heading2"/>
        <w:rPr>
          <w:noProof w:val="0"/>
        </w:rPr>
      </w:pPr>
      <w:bookmarkStart w:id="46" w:name="_Toc211268646"/>
      <w:r>
        <w:rPr>
          <w:noProof w:val="0"/>
        </w:rPr>
        <w:lastRenderedPageBreak/>
        <w:t>Production Defect and Incident Management Processes</w:t>
      </w:r>
      <w:bookmarkEnd w:id="46"/>
    </w:p>
    <w:p w14:paraId="6DA5334E" w14:textId="449836D6" w:rsidR="004D393E" w:rsidRPr="00F97E04" w:rsidRDefault="006B33BB" w:rsidP="008508B1">
      <w:pPr>
        <w:pStyle w:val="MainBodyText0"/>
      </w:pPr>
      <w:bookmarkStart w:id="47" w:name="_Toc205292935"/>
      <w:bookmarkStart w:id="48" w:name="_Toc205370402"/>
      <w:bookmarkStart w:id="49" w:name="_Toc205534813"/>
      <w:bookmarkStart w:id="50" w:name="_Toc205539007"/>
      <w:bookmarkStart w:id="51" w:name="_Toc205882216"/>
      <w:bookmarkStart w:id="52" w:name="_Toc205884572"/>
      <w:bookmarkStart w:id="53" w:name="_Toc205992313"/>
      <w:bookmarkStart w:id="54" w:name="_Toc205995298"/>
      <w:bookmarkStart w:id="55" w:name="_Toc205995943"/>
      <w:r>
        <w:t>This section will outline the processes for categorizing and managing production defects and incidents, focusing on the core activities involved in enabling timely resolution, the tools used to promote efficiency and effectiveness, and the detailed processes for handling defects and incidents to provide consistency and reliability.</w:t>
      </w:r>
      <w:bookmarkEnd w:id="47"/>
      <w:bookmarkEnd w:id="48"/>
      <w:bookmarkEnd w:id="49"/>
      <w:bookmarkEnd w:id="50"/>
      <w:bookmarkEnd w:id="51"/>
      <w:bookmarkEnd w:id="52"/>
      <w:bookmarkEnd w:id="53"/>
      <w:bookmarkEnd w:id="54"/>
      <w:bookmarkEnd w:id="55"/>
      <w:r>
        <w:t xml:space="preserve"> </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9"/>
        <w:gridCol w:w="5791"/>
      </w:tblGrid>
      <w:tr w:rsidR="008B4D47" w:rsidRPr="00F97E04" w14:paraId="12A8306A" w14:textId="154D8C9E" w:rsidTr="00132576">
        <w:trPr>
          <w:cantSplit/>
          <w:tblHeader/>
          <w:jc w:val="center"/>
        </w:trPr>
        <w:tc>
          <w:tcPr>
            <w:tcW w:w="1903" w:type="pct"/>
            <w:tcBorders>
              <w:right w:val="single" w:sz="4" w:space="0" w:color="FFFFFF" w:themeColor="background1"/>
            </w:tcBorders>
            <w:shd w:val="clear" w:color="auto" w:fill="000000" w:themeFill="text1"/>
          </w:tcPr>
          <w:p w14:paraId="671E5B79" w14:textId="657A8B3F" w:rsidR="008B4D47" w:rsidRPr="00F97E04" w:rsidRDefault="008B4D47" w:rsidP="00132576">
            <w:pPr>
              <w:spacing w:before="60" w:after="60"/>
              <w:rPr>
                <w:b/>
                <w:lang w:val="en-US"/>
              </w:rPr>
            </w:pPr>
            <w:bookmarkStart w:id="56" w:name="_Toc205995299"/>
            <w:bookmarkEnd w:id="56"/>
            <w:r>
              <w:rPr>
                <w:b/>
                <w:lang w:val="en-US"/>
              </w:rPr>
              <w:t xml:space="preserve">Process Name </w:t>
            </w:r>
          </w:p>
        </w:tc>
        <w:tc>
          <w:tcPr>
            <w:tcW w:w="3097" w:type="pct"/>
            <w:tcBorders>
              <w:left w:val="single" w:sz="4" w:space="0" w:color="FFFFFF" w:themeColor="background1"/>
            </w:tcBorders>
            <w:shd w:val="clear" w:color="auto" w:fill="000000" w:themeFill="text1"/>
          </w:tcPr>
          <w:p w14:paraId="5B184471" w14:textId="610B3122" w:rsidR="008B4D47" w:rsidRPr="00F97E04" w:rsidRDefault="008B4D47" w:rsidP="00132576">
            <w:pPr>
              <w:spacing w:before="60" w:after="60"/>
              <w:rPr>
                <w:b/>
                <w:lang w:val="en-US"/>
              </w:rPr>
            </w:pPr>
            <w:r>
              <w:rPr>
                <w:b/>
                <w:lang w:val="en-US"/>
              </w:rPr>
              <w:t>Description</w:t>
            </w:r>
          </w:p>
        </w:tc>
      </w:tr>
      <w:tr w:rsidR="002D2892" w:rsidRPr="00F97E04" w14:paraId="69AE175F" w14:textId="06F11075" w:rsidTr="00132576">
        <w:trPr>
          <w:cantSplit/>
          <w:trHeight w:val="375"/>
          <w:jc w:val="center"/>
        </w:trPr>
        <w:tc>
          <w:tcPr>
            <w:tcW w:w="1903" w:type="pct"/>
          </w:tcPr>
          <w:p w14:paraId="54054828" w14:textId="76F85385" w:rsidR="002D2892" w:rsidRPr="00F97E04" w:rsidRDefault="00025438" w:rsidP="00132576">
            <w:pPr>
              <w:spacing w:before="60" w:after="60"/>
              <w:rPr>
                <w:rFonts w:cs="Arial"/>
                <w:color w:val="000000"/>
                <w:lang w:val="en-US"/>
              </w:rPr>
            </w:pPr>
            <w:r>
              <w:rPr>
                <w:rFonts w:cs="Arial"/>
                <w:lang w:val="en-US"/>
              </w:rPr>
              <w:t>PDIM-001_Incident and Problem Management</w:t>
            </w:r>
          </w:p>
        </w:tc>
        <w:tc>
          <w:tcPr>
            <w:tcW w:w="3097" w:type="pct"/>
          </w:tcPr>
          <w:p w14:paraId="691119D7" w14:textId="4ADD4D3B" w:rsidR="002D2892" w:rsidRPr="00F97E04" w:rsidRDefault="002F53BC" w:rsidP="00132576">
            <w:pPr>
              <w:spacing w:before="60" w:after="60"/>
              <w:rPr>
                <w:rFonts w:cs="Arial"/>
                <w:b/>
                <w:bCs/>
                <w:color w:val="000000"/>
                <w:lang w:val="en-US"/>
              </w:rPr>
            </w:pPr>
            <w:r>
              <w:rPr>
                <w:rFonts w:cs="Arial"/>
                <w:color w:val="000000"/>
                <w:lang w:val="en-US"/>
              </w:rPr>
              <w:t>Outlines the defect management process and how the M&amp;O team responds to an alert that a component of the architecture has reached warning or error levels.</w:t>
            </w:r>
          </w:p>
        </w:tc>
      </w:tr>
      <w:tr w:rsidR="002F53BC" w:rsidRPr="00F97E04" w14:paraId="54070B78" w14:textId="77777777" w:rsidTr="00132576">
        <w:trPr>
          <w:cantSplit/>
          <w:trHeight w:val="375"/>
          <w:jc w:val="center"/>
        </w:trPr>
        <w:tc>
          <w:tcPr>
            <w:tcW w:w="1903" w:type="pct"/>
          </w:tcPr>
          <w:p w14:paraId="640EEA0E" w14:textId="3E73358B" w:rsidR="002F53BC" w:rsidRPr="00F97E04" w:rsidRDefault="002F21A5" w:rsidP="00132576">
            <w:pPr>
              <w:spacing w:before="60" w:after="60"/>
              <w:rPr>
                <w:lang w:val="en-US"/>
              </w:rPr>
            </w:pPr>
            <w:r>
              <w:rPr>
                <w:rFonts w:cs="Arial"/>
                <w:lang w:val="en-US"/>
              </w:rPr>
              <w:t xml:space="preserve">PDIM-002_MECM Severity Determination Matrix – </w:t>
            </w:r>
            <w:r>
              <w:rPr>
                <w:rFonts w:cs="Arial"/>
                <w:i/>
                <w:lang w:val="en-US"/>
              </w:rPr>
              <w:t xml:space="preserve">covered in </w:t>
            </w:r>
            <w:r>
              <w:rPr>
                <w:rFonts w:cs="Arial"/>
                <w:i/>
                <w:iCs/>
                <w:lang w:val="en-US"/>
              </w:rPr>
              <w:t xml:space="preserve">incident and </w:t>
            </w:r>
            <w:r>
              <w:rPr>
                <w:rFonts w:cs="Arial"/>
                <w:i/>
                <w:lang w:val="en-US"/>
              </w:rPr>
              <w:t>problem management</w:t>
            </w:r>
            <w:r>
              <w:rPr>
                <w:rFonts w:cs="Arial"/>
                <w:lang w:val="en-US"/>
              </w:rPr>
              <w:t xml:space="preserve"> </w:t>
            </w:r>
          </w:p>
        </w:tc>
        <w:tc>
          <w:tcPr>
            <w:tcW w:w="3097" w:type="pct"/>
          </w:tcPr>
          <w:p w14:paraId="03DD3668" w14:textId="4DB231E6" w:rsidR="002F53BC" w:rsidRPr="00F97E04" w:rsidRDefault="002F53BC" w:rsidP="00132576">
            <w:pPr>
              <w:spacing w:before="60" w:after="60"/>
              <w:rPr>
                <w:rFonts w:cs="Arial"/>
                <w:color w:val="000000" w:themeColor="text1"/>
                <w:lang w:val="en-US"/>
              </w:rPr>
            </w:pPr>
            <w:r>
              <w:rPr>
                <w:rFonts w:cs="Arial"/>
                <w:color w:val="000000" w:themeColor="text1"/>
                <w:lang w:val="en-US"/>
              </w:rPr>
              <w:t>Severity Determination Matrix diagram explaining how to categorize incident severity for further action.</w:t>
            </w:r>
          </w:p>
          <w:p w14:paraId="2B360FC0" w14:textId="7A305E68" w:rsidR="002F53BC" w:rsidRPr="00F97E04" w:rsidRDefault="00EA438F" w:rsidP="00132576">
            <w:pPr>
              <w:spacing w:before="60" w:after="60"/>
              <w:rPr>
                <w:rFonts w:cs="Arial"/>
                <w:color w:val="000000" w:themeColor="text1"/>
                <w:lang w:val="en-US"/>
              </w:rPr>
            </w:pPr>
            <w:r>
              <w:rPr>
                <w:rFonts w:cs="Arial"/>
                <w:color w:val="000000" w:themeColor="text1"/>
                <w:lang w:val="en-US"/>
              </w:rPr>
              <w:t xml:space="preserve">Refer to </w:t>
            </w:r>
            <w:r>
              <w:rPr>
                <w:rFonts w:cs="Arial"/>
                <w:lang w:val="en-US"/>
              </w:rPr>
              <w:t>PDIM-001_Del 33_Incident and Problem Management.docx</w:t>
            </w:r>
            <w:r>
              <w:t>.</w:t>
            </w:r>
          </w:p>
        </w:tc>
      </w:tr>
      <w:tr w:rsidR="00A2044A" w:rsidRPr="00F97E04" w14:paraId="126B009B" w14:textId="77777777" w:rsidTr="00132576">
        <w:trPr>
          <w:cantSplit/>
          <w:trHeight w:val="375"/>
          <w:jc w:val="center"/>
        </w:trPr>
        <w:tc>
          <w:tcPr>
            <w:tcW w:w="1903" w:type="pct"/>
          </w:tcPr>
          <w:p w14:paraId="2E2F9B35" w14:textId="400602E9" w:rsidR="00A2044A" w:rsidRPr="00F97E04" w:rsidRDefault="00C03300" w:rsidP="00132576">
            <w:pPr>
              <w:spacing w:before="60" w:after="60"/>
              <w:rPr>
                <w:lang w:val="en-US"/>
              </w:rPr>
            </w:pPr>
            <w:r>
              <w:rPr>
                <w:lang w:val="en-US"/>
              </w:rPr>
              <w:t>PDIM-003_End User Incident Support Process</w:t>
            </w:r>
          </w:p>
        </w:tc>
        <w:tc>
          <w:tcPr>
            <w:tcW w:w="3097" w:type="pct"/>
          </w:tcPr>
          <w:p w14:paraId="7362051C" w14:textId="025A64F1" w:rsidR="00A2044A" w:rsidRPr="00F97E04" w:rsidRDefault="008F7199" w:rsidP="00132576">
            <w:pPr>
              <w:spacing w:before="60" w:after="60"/>
              <w:rPr>
                <w:rFonts w:cs="Arial"/>
                <w:color w:val="000000" w:themeColor="text1"/>
                <w:lang w:val="en-US"/>
              </w:rPr>
            </w:pPr>
            <w:r>
              <w:rPr>
                <w:rFonts w:cs="Arial"/>
                <w:color w:val="000000" w:themeColor="text1"/>
                <w:lang w:val="en-US"/>
              </w:rPr>
              <w:t>This process covers responsibilities of Tier 1, Tier 2, and Tier 3 End User Incident Support services across the various groups using MECM as well as the high-level process for reviewing MECM incidents and escalating technical incidents.</w:t>
            </w:r>
          </w:p>
        </w:tc>
      </w:tr>
    </w:tbl>
    <w:p w14:paraId="3D29D16E" w14:textId="079C3B7E" w:rsidR="008D0BF5" w:rsidRPr="00F97E04" w:rsidRDefault="009A0E52" w:rsidP="00310DFA">
      <w:pPr>
        <w:pStyle w:val="Caption"/>
      </w:pPr>
      <w:bookmarkStart w:id="57" w:name="_Toc211268678"/>
      <w:r>
        <w:t xml:space="preserve">Table </w:t>
      </w:r>
      <w:fldSimple w:instr=" STYLEREF 1 \s ">
        <w:r>
          <w:rPr>
            <w:noProof/>
          </w:rPr>
          <w:t>4</w:t>
        </w:r>
      </w:fldSimple>
      <w:r>
        <w:noBreakHyphen/>
      </w:r>
      <w:fldSimple w:instr=" SEQ Table \* ARABIC \s 1 ">
        <w:r>
          <w:rPr>
            <w:noProof/>
          </w:rPr>
          <w:t>7</w:t>
        </w:r>
      </w:fldSimple>
      <w:r>
        <w:t>: Production Defect and Incident Management</w:t>
      </w:r>
      <w:bookmarkEnd w:id="57"/>
    </w:p>
    <w:p w14:paraId="5ABEB960" w14:textId="234EA479" w:rsidR="00FC3F08" w:rsidRPr="00F97E04" w:rsidRDefault="00FC3F08" w:rsidP="002E635F">
      <w:pPr>
        <w:pStyle w:val="Heading2"/>
        <w:rPr>
          <w:noProof w:val="0"/>
        </w:rPr>
      </w:pPr>
      <w:bookmarkStart w:id="58" w:name="_Toc211268647"/>
      <w:r>
        <w:rPr>
          <w:noProof w:val="0"/>
        </w:rPr>
        <w:t>Security Management Processes</w:t>
      </w:r>
      <w:bookmarkEnd w:id="58"/>
    </w:p>
    <w:p w14:paraId="1B8CB7C3" w14:textId="01C48613" w:rsidR="001B262A" w:rsidRPr="00F97E04" w:rsidRDefault="001B262A" w:rsidP="00DF7C2D">
      <w:pPr>
        <w:pStyle w:val="MainBodyText0"/>
        <w:rPr>
          <w:b/>
        </w:rPr>
      </w:pPr>
      <w:r>
        <w:t>The security management processes for the MECM system are designed to provide a structured and comprehensive approach to safeguarding sensitive information and ensuring compliance with required regulatory requirements. This section presents the key procedures and controls that support the ongoing security and operational integrity of the MECM environment.</w:t>
      </w:r>
      <w:r>
        <w:rPr>
          <w:b/>
        </w:rPr>
        <w:t xml:space="preserve"> </w:t>
      </w:r>
    </w:p>
    <w:p w14:paraId="165A335C" w14:textId="47CB8AF0" w:rsidR="00FC3F08" w:rsidRPr="00F97E04" w:rsidRDefault="00FC3F08" w:rsidP="009A7247">
      <w:pPr>
        <w:pStyle w:val="Heading3"/>
      </w:pPr>
      <w:bookmarkStart w:id="59" w:name="_Toc210652077"/>
      <w:bookmarkStart w:id="60" w:name="_Toc211268648"/>
      <w:bookmarkEnd w:id="59"/>
      <w:r>
        <w:t>Compliance and Documentation</w:t>
      </w:r>
      <w:bookmarkEnd w:id="60"/>
    </w:p>
    <w:p w14:paraId="1D710C71" w14:textId="33CA0125" w:rsidR="00FC3F08" w:rsidRPr="00F97E04" w:rsidRDefault="00D82913" w:rsidP="00DF7C2D">
      <w:pPr>
        <w:pStyle w:val="MainBodyText0"/>
      </w:pPr>
      <w:r>
        <w:t>This subsection outlines the processes and procedures established to confirm that the MECM system maintains ongoing compliance with applicable security standards and regulatory requirements. The compliance and documentation activities include the following.</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9"/>
        <w:gridCol w:w="6001"/>
      </w:tblGrid>
      <w:tr w:rsidR="00400BDD" w:rsidRPr="00F97E04" w14:paraId="03ABA737" w14:textId="77777777" w:rsidTr="00D6584A">
        <w:trPr>
          <w:cantSplit/>
          <w:tblHeader/>
          <w:jc w:val="center"/>
        </w:trPr>
        <w:tc>
          <w:tcPr>
            <w:tcW w:w="1791" w:type="pct"/>
            <w:tcBorders>
              <w:right w:val="single" w:sz="4" w:space="0" w:color="FFFFFF" w:themeColor="background1"/>
            </w:tcBorders>
            <w:shd w:val="clear" w:color="auto" w:fill="000000" w:themeFill="text1"/>
          </w:tcPr>
          <w:p w14:paraId="73E937AF" w14:textId="53F70BA7" w:rsidR="00400BDD" w:rsidRPr="00F97E04" w:rsidRDefault="00E46F2A" w:rsidP="00D6584A">
            <w:pPr>
              <w:spacing w:before="60" w:after="60"/>
              <w:rPr>
                <w:b/>
                <w:lang w:val="en-US"/>
              </w:rPr>
            </w:pPr>
            <w:r>
              <w:rPr>
                <w:b/>
                <w:lang w:val="en-US"/>
              </w:rPr>
              <w:t>Process Name</w:t>
            </w:r>
          </w:p>
        </w:tc>
        <w:tc>
          <w:tcPr>
            <w:tcW w:w="3209" w:type="pct"/>
            <w:tcBorders>
              <w:left w:val="single" w:sz="4" w:space="0" w:color="FFFFFF" w:themeColor="background1"/>
            </w:tcBorders>
            <w:shd w:val="clear" w:color="auto" w:fill="000000" w:themeFill="text1"/>
          </w:tcPr>
          <w:p w14:paraId="550A354D" w14:textId="79CA212A" w:rsidR="00400BDD" w:rsidRPr="00F97E04" w:rsidRDefault="00E46F2A" w:rsidP="00D6584A">
            <w:pPr>
              <w:spacing w:before="60" w:after="60"/>
              <w:rPr>
                <w:b/>
                <w:lang w:val="en-US"/>
              </w:rPr>
            </w:pPr>
            <w:r>
              <w:rPr>
                <w:b/>
                <w:lang w:val="en-US"/>
              </w:rPr>
              <w:t>Description</w:t>
            </w:r>
          </w:p>
        </w:tc>
      </w:tr>
      <w:tr w:rsidR="00400BDD" w:rsidRPr="00F97E04" w14:paraId="0243FA3B" w14:textId="77777777" w:rsidTr="00D6584A">
        <w:trPr>
          <w:cantSplit/>
          <w:jc w:val="center"/>
        </w:trPr>
        <w:tc>
          <w:tcPr>
            <w:tcW w:w="1791" w:type="pct"/>
          </w:tcPr>
          <w:p w14:paraId="6B3A8D18" w14:textId="6564383D" w:rsidR="00400BDD" w:rsidRPr="00F97E04" w:rsidRDefault="0024799C" w:rsidP="00D6584A">
            <w:pPr>
              <w:spacing w:before="60" w:after="60"/>
              <w:rPr>
                <w:rFonts w:cs="Arial"/>
                <w:u w:val="single"/>
                <w:lang w:val="en-US"/>
              </w:rPr>
            </w:pPr>
            <w:r>
              <w:rPr>
                <w:rFonts w:cs="Arial"/>
                <w:lang w:val="en-US"/>
              </w:rPr>
              <w:t>SMP-001_SSP Related Iterative Update and Annual Review (MECM &amp; Appeals)</w:t>
            </w:r>
            <w:r>
              <w:rPr>
                <w:rFonts w:cs="Arial"/>
                <w:u w:val="single"/>
                <w:lang w:val="en-US"/>
              </w:rPr>
              <w:t xml:space="preserve"> </w:t>
            </w:r>
          </w:p>
        </w:tc>
        <w:tc>
          <w:tcPr>
            <w:tcW w:w="3209" w:type="pct"/>
          </w:tcPr>
          <w:p w14:paraId="4043C0B0" w14:textId="531C5E94" w:rsidR="00400BDD" w:rsidRPr="00F97E04" w:rsidRDefault="00623F0F" w:rsidP="00D6584A">
            <w:pPr>
              <w:spacing w:before="60" w:after="60"/>
              <w:rPr>
                <w:lang w:val="en-US"/>
              </w:rPr>
            </w:pPr>
            <w:r>
              <w:rPr>
                <w:rFonts w:cs="Arial"/>
                <w:color w:val="000000"/>
                <w:lang w:val="en-US"/>
              </w:rPr>
              <w:t xml:space="preserve">The Deloitte Compliance team will conduct maintenance and/or refreshes of existing SSPs for MECM User Acceptance Testing (UAT) / System Integration Testing (SIT) environments, ensuring compliance with MARS-E V2.2 requirements. </w:t>
            </w:r>
          </w:p>
        </w:tc>
      </w:tr>
      <w:tr w:rsidR="00E27232" w:rsidRPr="00F97E04" w14:paraId="216E1765" w14:textId="77777777" w:rsidTr="00D6584A">
        <w:trPr>
          <w:cantSplit/>
          <w:jc w:val="center"/>
        </w:trPr>
        <w:tc>
          <w:tcPr>
            <w:tcW w:w="1791" w:type="pct"/>
          </w:tcPr>
          <w:p w14:paraId="6E3ABB69" w14:textId="4A5B0051" w:rsidR="00E27232" w:rsidRPr="00F97E04" w:rsidRDefault="0024799C" w:rsidP="00D6584A">
            <w:pPr>
              <w:spacing w:before="60" w:after="60"/>
              <w:rPr>
                <w:rFonts w:cs="Arial"/>
                <w:lang w:val="en-US"/>
              </w:rPr>
            </w:pPr>
            <w:r>
              <w:rPr>
                <w:rFonts w:cs="Arial"/>
                <w:lang w:val="en-US"/>
              </w:rPr>
              <w:t>SMP-002_SOP Standardization or Implementing Procedures-Standards Development</w:t>
            </w:r>
          </w:p>
        </w:tc>
        <w:tc>
          <w:tcPr>
            <w:tcW w:w="3209" w:type="pct"/>
          </w:tcPr>
          <w:p w14:paraId="5E348F66" w14:textId="575D930D" w:rsidR="00E27232" w:rsidRPr="00F97E04" w:rsidRDefault="005769EC" w:rsidP="00D6584A">
            <w:pPr>
              <w:spacing w:before="60" w:after="60"/>
              <w:rPr>
                <w:rFonts w:cs="Arial"/>
                <w:lang w:val="en-US"/>
              </w:rPr>
            </w:pPr>
            <w:r>
              <w:rPr>
                <w:lang w:val="en-US"/>
              </w:rPr>
              <w:t>This process identifies implementing standards and related SOPs for the MECM system for the upcoming M&amp;O activities planned for DOH.</w:t>
            </w:r>
          </w:p>
        </w:tc>
      </w:tr>
      <w:tr w:rsidR="00400BDD" w:rsidRPr="00F97E04" w14:paraId="0C09E0EB" w14:textId="77777777" w:rsidTr="00D6584A">
        <w:trPr>
          <w:cantSplit/>
          <w:jc w:val="center"/>
        </w:trPr>
        <w:tc>
          <w:tcPr>
            <w:tcW w:w="1791" w:type="pct"/>
          </w:tcPr>
          <w:p w14:paraId="48F8DBBF" w14:textId="77492BC3" w:rsidR="00400BDD" w:rsidRPr="00F97E04" w:rsidRDefault="0024799C" w:rsidP="00D6584A">
            <w:pPr>
              <w:spacing w:before="60" w:after="60"/>
              <w:rPr>
                <w:lang w:val="en-US"/>
              </w:rPr>
            </w:pPr>
            <w:r>
              <w:rPr>
                <w:lang w:val="en-US"/>
              </w:rPr>
              <w:t>SMP-003_Required Security Documentation-Deliverables</w:t>
            </w:r>
          </w:p>
        </w:tc>
        <w:tc>
          <w:tcPr>
            <w:tcW w:w="3209" w:type="pct"/>
          </w:tcPr>
          <w:p w14:paraId="0E130DEC" w14:textId="4082245A" w:rsidR="00400BDD" w:rsidRPr="00F97E04" w:rsidRDefault="00814EE3" w:rsidP="00D6584A">
            <w:pPr>
              <w:spacing w:before="60" w:after="60"/>
              <w:rPr>
                <w:rFonts w:cs="Arial"/>
                <w:lang w:val="en-US"/>
              </w:rPr>
            </w:pPr>
            <w:r>
              <w:rPr>
                <w:rFonts w:cs="Arial"/>
                <w:lang w:val="en-US"/>
              </w:rPr>
              <w:t>This outlines the key processes for maintaining, updating, and enhancing key security and compliance-related deliverables for MECM.</w:t>
            </w:r>
          </w:p>
        </w:tc>
      </w:tr>
    </w:tbl>
    <w:p w14:paraId="14F7117D" w14:textId="12C0A512" w:rsidR="00FC3F08" w:rsidRDefault="00880BC9" w:rsidP="00310DFA">
      <w:pPr>
        <w:pStyle w:val="Caption"/>
      </w:pPr>
      <w:bookmarkStart w:id="61" w:name="_Toc211268679"/>
      <w:r>
        <w:t xml:space="preserve">Table </w:t>
      </w:r>
      <w:fldSimple w:instr=" STYLEREF 1 \s ">
        <w:r>
          <w:rPr>
            <w:noProof/>
          </w:rPr>
          <w:t>4</w:t>
        </w:r>
      </w:fldSimple>
      <w:r>
        <w:noBreakHyphen/>
      </w:r>
      <w:fldSimple w:instr=" SEQ Table \* ARABIC \s 1 ">
        <w:r>
          <w:rPr>
            <w:noProof/>
          </w:rPr>
          <w:t>8</w:t>
        </w:r>
      </w:fldSimple>
      <w:r>
        <w:t>: Security Compliance and Documentation</w:t>
      </w:r>
      <w:bookmarkEnd w:id="61"/>
    </w:p>
    <w:p w14:paraId="19792BAB" w14:textId="05579E43" w:rsidR="00716B91" w:rsidRPr="00F97E04" w:rsidRDefault="00716B91" w:rsidP="00B72412">
      <w:pPr>
        <w:pStyle w:val="Heading3"/>
        <w:rPr>
          <w:b w:val="0"/>
          <w:bCs/>
        </w:rPr>
      </w:pPr>
      <w:bookmarkStart w:id="62" w:name="_Toc211268649"/>
      <w:r>
        <w:rPr>
          <w:rStyle w:val="Heading3Char"/>
          <w:b/>
          <w:bCs/>
        </w:rPr>
        <w:t>Security Scanning</w:t>
      </w:r>
      <w:bookmarkEnd w:id="62"/>
    </w:p>
    <w:p w14:paraId="656691FE" w14:textId="378C3926" w:rsidR="00FC3F08" w:rsidRPr="00F97E04" w:rsidRDefault="001D6108" w:rsidP="00DF7C2D">
      <w:pPr>
        <w:pStyle w:val="MainBodyText0"/>
      </w:pPr>
      <w:r>
        <w:t xml:space="preserve">This section will outline the </w:t>
      </w:r>
      <w:r>
        <w:rPr>
          <w:rFonts w:eastAsia="Verdana" w:cs="Verdana"/>
          <w:szCs w:val="20"/>
        </w:rPr>
        <w:t>details of conducting static and dynamic application security scanning, as well as security penetration testing procedures</w:t>
      </w:r>
      <w:r>
        <w:t>.</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6"/>
        <w:gridCol w:w="5574"/>
      </w:tblGrid>
      <w:tr w:rsidR="0067168F" w:rsidRPr="00F97E04" w14:paraId="6206806B" w14:textId="40E121AE" w:rsidTr="004201AC">
        <w:trPr>
          <w:cantSplit/>
          <w:trHeight w:val="288"/>
          <w:tblHeader/>
          <w:jc w:val="center"/>
        </w:trPr>
        <w:tc>
          <w:tcPr>
            <w:tcW w:w="2019" w:type="pct"/>
            <w:tcBorders>
              <w:right w:val="single" w:sz="4" w:space="0" w:color="FFFFFF" w:themeColor="background1"/>
            </w:tcBorders>
            <w:shd w:val="clear" w:color="auto" w:fill="000000" w:themeFill="text1"/>
          </w:tcPr>
          <w:p w14:paraId="64E5E170" w14:textId="77777777" w:rsidR="0067168F" w:rsidRPr="00F97E04" w:rsidRDefault="0067168F" w:rsidP="00D6584A">
            <w:pPr>
              <w:spacing w:before="60" w:after="60"/>
              <w:rPr>
                <w:b/>
                <w:lang w:val="en-US"/>
              </w:rPr>
            </w:pPr>
            <w:r>
              <w:rPr>
                <w:b/>
                <w:lang w:val="en-US"/>
              </w:rPr>
              <w:lastRenderedPageBreak/>
              <w:t>Process Name</w:t>
            </w:r>
          </w:p>
        </w:tc>
        <w:tc>
          <w:tcPr>
            <w:tcW w:w="2981" w:type="pct"/>
            <w:tcBorders>
              <w:left w:val="single" w:sz="4" w:space="0" w:color="FFFFFF" w:themeColor="background1"/>
            </w:tcBorders>
            <w:shd w:val="clear" w:color="auto" w:fill="000000" w:themeFill="text1"/>
          </w:tcPr>
          <w:p w14:paraId="17D5EDE0" w14:textId="6EF749AE" w:rsidR="0067168F" w:rsidRPr="00F97E04" w:rsidRDefault="0067168F" w:rsidP="00D6584A">
            <w:pPr>
              <w:spacing w:before="60" w:after="60"/>
              <w:rPr>
                <w:b/>
                <w:lang w:val="en-US"/>
              </w:rPr>
            </w:pPr>
            <w:r>
              <w:rPr>
                <w:b/>
                <w:lang w:val="en-US"/>
              </w:rPr>
              <w:t>Description</w:t>
            </w:r>
          </w:p>
        </w:tc>
      </w:tr>
      <w:tr w:rsidR="0067168F" w:rsidRPr="00F97E04" w14:paraId="11DAA97E" w14:textId="191FF033" w:rsidTr="00E27807">
        <w:trPr>
          <w:cantSplit/>
          <w:trHeight w:val="357"/>
          <w:jc w:val="center"/>
        </w:trPr>
        <w:tc>
          <w:tcPr>
            <w:tcW w:w="2019" w:type="pct"/>
          </w:tcPr>
          <w:p w14:paraId="71096E55" w14:textId="1686CF2C" w:rsidR="0067168F" w:rsidRPr="00F97E04" w:rsidRDefault="003D104C" w:rsidP="00D6584A">
            <w:pPr>
              <w:spacing w:before="60" w:after="60"/>
              <w:rPr>
                <w:lang w:val="en-US"/>
              </w:rPr>
            </w:pPr>
            <w:r>
              <w:rPr>
                <w:rFonts w:cs="Arial"/>
                <w:lang w:val="en-US"/>
              </w:rPr>
              <w:t>SMP-004_Continued Infrastructure Vulnerability Assessments Post Go-Live</w:t>
            </w:r>
          </w:p>
        </w:tc>
        <w:tc>
          <w:tcPr>
            <w:tcW w:w="2981" w:type="pct"/>
          </w:tcPr>
          <w:p w14:paraId="794E8620" w14:textId="68B0421F" w:rsidR="0067168F" w:rsidRPr="00F97E04" w:rsidRDefault="003209AB" w:rsidP="00D6584A">
            <w:pPr>
              <w:spacing w:before="60" w:after="60"/>
              <w:rPr>
                <w:rFonts w:cs="Arial"/>
                <w:lang w:val="en-US"/>
              </w:rPr>
            </w:pPr>
            <w:r>
              <w:rPr>
                <w:rFonts w:cs="Arial"/>
                <w:lang w:val="en-US"/>
              </w:rPr>
              <w:t>This process identifies critical, high, medium, and low severity vulnerability categories in the MECM infrastructure over a 72-hour basis to be considered for remediation activities.</w:t>
            </w:r>
          </w:p>
        </w:tc>
      </w:tr>
      <w:tr w:rsidR="00421EDC" w:rsidRPr="00F97E04" w14:paraId="4F00648C" w14:textId="77777777" w:rsidTr="00E27807">
        <w:trPr>
          <w:cantSplit/>
          <w:trHeight w:val="357"/>
          <w:jc w:val="center"/>
        </w:trPr>
        <w:tc>
          <w:tcPr>
            <w:tcW w:w="2019" w:type="pct"/>
          </w:tcPr>
          <w:p w14:paraId="282DE440" w14:textId="0756679F" w:rsidR="00421EDC" w:rsidRPr="00F97E04" w:rsidRDefault="00AF0E07" w:rsidP="00D6584A">
            <w:pPr>
              <w:spacing w:before="60" w:after="60"/>
              <w:rPr>
                <w:rFonts w:cs="Arial"/>
                <w:lang w:val="en-US"/>
              </w:rPr>
            </w:pPr>
            <w:r>
              <w:rPr>
                <w:rFonts w:cs="Arial"/>
                <w:lang w:val="en-US"/>
              </w:rPr>
              <w:t>SMP-005_Continued CIS L1 and IRS Compliance Scan Review and Resolution</w:t>
            </w:r>
          </w:p>
        </w:tc>
        <w:tc>
          <w:tcPr>
            <w:tcW w:w="2981" w:type="pct"/>
          </w:tcPr>
          <w:p w14:paraId="039A3C1A" w14:textId="63B64729" w:rsidR="00421EDC" w:rsidRPr="00F97E04" w:rsidRDefault="00421EDC" w:rsidP="00D6584A">
            <w:pPr>
              <w:spacing w:before="60" w:after="60"/>
              <w:rPr>
                <w:rFonts w:cs="Arial"/>
                <w:lang w:val="en-US"/>
              </w:rPr>
            </w:pPr>
            <w:r>
              <w:rPr>
                <w:lang w:val="en-US"/>
              </w:rPr>
              <w:t>This process identifies server misconfigurations and compliance violations in accordance with CIS Level 1 and IRS Pub 1075 benchmarks within all hosts of the MECM infrastructure on a weekly basis to be considered for remediation activities.</w:t>
            </w:r>
          </w:p>
        </w:tc>
      </w:tr>
      <w:tr w:rsidR="0067168F" w:rsidRPr="00F97E04" w14:paraId="1F9EC46F" w14:textId="6158B66B" w:rsidTr="00E27807">
        <w:trPr>
          <w:cantSplit/>
          <w:trHeight w:val="357"/>
          <w:jc w:val="center"/>
        </w:trPr>
        <w:tc>
          <w:tcPr>
            <w:tcW w:w="2019" w:type="pct"/>
          </w:tcPr>
          <w:p w14:paraId="611C8ECA" w14:textId="1C61A7B6" w:rsidR="0067168F" w:rsidRPr="00F97E04" w:rsidRDefault="00AF0E07" w:rsidP="00D6584A">
            <w:pPr>
              <w:spacing w:before="60" w:after="60"/>
              <w:rPr>
                <w:lang w:val="en-US"/>
              </w:rPr>
            </w:pPr>
            <w:r>
              <w:rPr>
                <w:rFonts w:cs="Arial"/>
                <w:lang w:val="en-US"/>
              </w:rPr>
              <w:t>SMP-006_SAST and DAST on Member Portal and Worker Portal</w:t>
            </w:r>
          </w:p>
        </w:tc>
        <w:tc>
          <w:tcPr>
            <w:tcW w:w="2981" w:type="pct"/>
          </w:tcPr>
          <w:p w14:paraId="235B202F" w14:textId="53288333" w:rsidR="0067168F" w:rsidRPr="00F97E04" w:rsidRDefault="00876559" w:rsidP="00D6584A">
            <w:pPr>
              <w:spacing w:before="60" w:after="60"/>
              <w:rPr>
                <w:lang w:val="en-US"/>
              </w:rPr>
            </w:pPr>
            <w:r>
              <w:rPr>
                <w:lang w:val="en-US"/>
              </w:rPr>
              <w:t>This process identifies critical, high, medium, and low severity vulnerability categories in the source code monthly to be considered for remediation activities.</w:t>
            </w:r>
          </w:p>
        </w:tc>
      </w:tr>
    </w:tbl>
    <w:p w14:paraId="5246C8B0" w14:textId="747C5D7C" w:rsidR="007A592E" w:rsidRPr="00F97E04" w:rsidRDefault="007A592E" w:rsidP="00310DFA">
      <w:pPr>
        <w:pStyle w:val="Caption"/>
      </w:pPr>
      <w:bookmarkStart w:id="63" w:name="_Toc211268680"/>
      <w:r>
        <w:t xml:space="preserve">Table </w:t>
      </w:r>
      <w:fldSimple w:instr=" STYLEREF 1 \s ">
        <w:r>
          <w:rPr>
            <w:noProof/>
          </w:rPr>
          <w:t>4</w:t>
        </w:r>
      </w:fldSimple>
      <w:r>
        <w:noBreakHyphen/>
      </w:r>
      <w:fldSimple w:instr=" SEQ Table \* ARABIC \s 1 ">
        <w:r>
          <w:rPr>
            <w:noProof/>
          </w:rPr>
          <w:t>9</w:t>
        </w:r>
      </w:fldSimple>
      <w:r>
        <w:t>: Security Scanning</w:t>
      </w:r>
      <w:bookmarkEnd w:id="63"/>
    </w:p>
    <w:p w14:paraId="2AFBB636" w14:textId="154AF010" w:rsidR="00645B92" w:rsidRPr="00F97E04" w:rsidRDefault="00FC3F08" w:rsidP="00B72412">
      <w:pPr>
        <w:pStyle w:val="Heading3"/>
      </w:pPr>
      <w:bookmarkStart w:id="64" w:name="_Toc211268650"/>
      <w:r>
        <w:t>Access Management</w:t>
      </w:r>
      <w:bookmarkEnd w:id="64"/>
    </w:p>
    <w:p w14:paraId="1589EF8A" w14:textId="2BD0B55B" w:rsidR="00FC3F08" w:rsidRPr="00F97E04" w:rsidRDefault="00796B25" w:rsidP="00DF7C2D">
      <w:pPr>
        <w:pStyle w:val="MainBodyText0"/>
      </w:pPr>
      <w:r>
        <w:rPr>
          <w:rStyle w:val="MainBodyTextChar"/>
          <w:lang w:val="en-US"/>
        </w:rPr>
        <w:t xml:space="preserve">This section will </w:t>
      </w:r>
      <w:r>
        <w:rPr>
          <w:rFonts w:eastAsia="Verdana" w:cs="Verdana"/>
          <w:szCs w:val="20"/>
        </w:rPr>
        <w:t>outline the processes for maintaining access control, including the management of identity providers and roles, as well as how privileged access is managed</w:t>
      </w:r>
      <w:r>
        <w:t>.</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6"/>
        <w:gridCol w:w="5574"/>
      </w:tblGrid>
      <w:tr w:rsidR="00723C22" w:rsidRPr="00F97E04" w14:paraId="2FDD8B41" w14:textId="60406136" w:rsidTr="004201AC">
        <w:trPr>
          <w:cantSplit/>
          <w:trHeight w:val="288"/>
          <w:tblHeader/>
          <w:jc w:val="center"/>
        </w:trPr>
        <w:tc>
          <w:tcPr>
            <w:tcW w:w="2019" w:type="pct"/>
            <w:tcBorders>
              <w:right w:val="single" w:sz="4" w:space="0" w:color="FFFFFF" w:themeColor="background1"/>
            </w:tcBorders>
            <w:shd w:val="clear" w:color="auto" w:fill="000000" w:themeFill="text1"/>
          </w:tcPr>
          <w:p w14:paraId="7A732EF6" w14:textId="77777777" w:rsidR="00723C22" w:rsidRPr="00F97E04" w:rsidRDefault="00723C22" w:rsidP="001A2C69">
            <w:pPr>
              <w:spacing w:before="60" w:after="60"/>
              <w:rPr>
                <w:b/>
                <w:lang w:val="en-US"/>
              </w:rPr>
            </w:pPr>
            <w:r>
              <w:rPr>
                <w:b/>
                <w:lang w:val="en-US"/>
              </w:rPr>
              <w:t>Process Name</w:t>
            </w:r>
          </w:p>
        </w:tc>
        <w:tc>
          <w:tcPr>
            <w:tcW w:w="2981" w:type="pct"/>
            <w:tcBorders>
              <w:left w:val="single" w:sz="4" w:space="0" w:color="FFFFFF" w:themeColor="background1"/>
            </w:tcBorders>
            <w:shd w:val="clear" w:color="auto" w:fill="000000" w:themeFill="text1"/>
          </w:tcPr>
          <w:p w14:paraId="20DE30B5" w14:textId="1640220B" w:rsidR="00723C22" w:rsidRPr="00F97E04" w:rsidRDefault="00723C22" w:rsidP="001A2C69">
            <w:pPr>
              <w:spacing w:before="60" w:after="60"/>
              <w:rPr>
                <w:b/>
                <w:lang w:val="en-US"/>
              </w:rPr>
            </w:pPr>
            <w:r>
              <w:rPr>
                <w:b/>
                <w:lang w:val="en-US"/>
              </w:rPr>
              <w:t>Description</w:t>
            </w:r>
          </w:p>
        </w:tc>
      </w:tr>
      <w:tr w:rsidR="00723C22" w:rsidRPr="00F97E04" w14:paraId="0537C05D" w14:textId="382FF1F8" w:rsidTr="00E27807">
        <w:trPr>
          <w:cantSplit/>
          <w:trHeight w:val="357"/>
          <w:jc w:val="center"/>
        </w:trPr>
        <w:tc>
          <w:tcPr>
            <w:tcW w:w="2019" w:type="pct"/>
          </w:tcPr>
          <w:p w14:paraId="60C1C88D" w14:textId="48DA05E9" w:rsidR="00723C22" w:rsidRPr="00F97E04" w:rsidRDefault="00F26129" w:rsidP="001A2C69">
            <w:pPr>
              <w:spacing w:before="60" w:after="60"/>
              <w:rPr>
                <w:lang w:val="en-US"/>
              </w:rPr>
            </w:pPr>
            <w:r>
              <w:rPr>
                <w:rFonts w:cs="Arial"/>
                <w:lang w:val="en-US"/>
              </w:rPr>
              <w:t>SMP-007_IAM Support and Access Management</w:t>
            </w:r>
          </w:p>
        </w:tc>
        <w:tc>
          <w:tcPr>
            <w:tcW w:w="2981" w:type="pct"/>
          </w:tcPr>
          <w:p w14:paraId="22628C4A" w14:textId="6DCC83E5" w:rsidR="00723C22" w:rsidRPr="00F97E04" w:rsidRDefault="00723C22" w:rsidP="001A2C69">
            <w:pPr>
              <w:spacing w:before="60" w:after="60"/>
              <w:rPr>
                <w:rFonts w:cs="Arial"/>
                <w:lang w:val="en-US"/>
              </w:rPr>
            </w:pPr>
            <w:r>
              <w:rPr>
                <w:rFonts w:eastAsia="Verdana" w:cs="Verdana"/>
                <w:lang w:val="en-US"/>
              </w:rPr>
              <w:t>This process provides comprehensive 8x5 support and troubleshooting for all Identity and Access Management (IAM) related issues within the NY DOH identity provider environment.</w:t>
            </w:r>
          </w:p>
        </w:tc>
      </w:tr>
      <w:tr w:rsidR="00723C22" w:rsidRPr="00F97E04" w14:paraId="56C07133" w14:textId="5FD65BB2" w:rsidTr="00E27807">
        <w:trPr>
          <w:cantSplit/>
          <w:trHeight w:val="357"/>
          <w:jc w:val="center"/>
        </w:trPr>
        <w:tc>
          <w:tcPr>
            <w:tcW w:w="2019" w:type="pct"/>
          </w:tcPr>
          <w:p w14:paraId="06ADDB3D" w14:textId="4D47676A" w:rsidR="00723C22" w:rsidRPr="00F97E04" w:rsidRDefault="00F26129" w:rsidP="001A2C69">
            <w:pPr>
              <w:spacing w:before="60" w:after="60"/>
              <w:rPr>
                <w:lang w:val="en-US"/>
              </w:rPr>
            </w:pPr>
            <w:r>
              <w:rPr>
                <w:rFonts w:cs="Arial"/>
                <w:lang w:val="en-US"/>
              </w:rPr>
              <w:t>SMP-008_Activity and User Access Monitoring</w:t>
            </w:r>
          </w:p>
        </w:tc>
        <w:tc>
          <w:tcPr>
            <w:tcW w:w="2981" w:type="pct"/>
          </w:tcPr>
          <w:p w14:paraId="3D88A1F1" w14:textId="1F62A428" w:rsidR="00723C22" w:rsidRPr="00F97E04" w:rsidRDefault="00723C22" w:rsidP="001A2C69">
            <w:pPr>
              <w:spacing w:before="60" w:after="60"/>
              <w:rPr>
                <w:rFonts w:cs="Arial"/>
                <w:lang w:val="en-US"/>
              </w:rPr>
            </w:pPr>
            <w:r>
              <w:rPr>
                <w:rFonts w:cs="Arial"/>
                <w:lang w:val="en-US"/>
              </w:rPr>
              <w:t>This process outlines key steps involved in monitoring activity and access within the NY DOH identity provider environment.</w:t>
            </w:r>
          </w:p>
        </w:tc>
      </w:tr>
      <w:tr w:rsidR="00723C22" w:rsidRPr="00F97E04" w14:paraId="6764BDD5" w14:textId="2773F0C8" w:rsidTr="00E27807">
        <w:trPr>
          <w:cantSplit/>
          <w:trHeight w:val="357"/>
          <w:jc w:val="center"/>
        </w:trPr>
        <w:tc>
          <w:tcPr>
            <w:tcW w:w="2019" w:type="pct"/>
          </w:tcPr>
          <w:p w14:paraId="7EFA6795" w14:textId="03566EA7" w:rsidR="00723C22" w:rsidRPr="00F97E04" w:rsidRDefault="00F26129" w:rsidP="001A2C69">
            <w:pPr>
              <w:spacing w:before="60" w:after="60"/>
              <w:rPr>
                <w:lang w:val="en-US"/>
              </w:rPr>
            </w:pPr>
            <w:r>
              <w:rPr>
                <w:lang w:val="en-US"/>
              </w:rPr>
              <w:t>SMP-009_MECM Identity Provider Product Monitoring</w:t>
            </w:r>
          </w:p>
        </w:tc>
        <w:tc>
          <w:tcPr>
            <w:tcW w:w="2981" w:type="pct"/>
          </w:tcPr>
          <w:p w14:paraId="25E8EB45" w14:textId="76EE7ED0" w:rsidR="00723C22" w:rsidRPr="00F97E04" w:rsidRDefault="00723C22" w:rsidP="001A2C69">
            <w:pPr>
              <w:spacing w:before="60" w:after="60"/>
              <w:rPr>
                <w:rFonts w:cs="Arial"/>
                <w:lang w:val="en-US"/>
              </w:rPr>
            </w:pPr>
            <w:r>
              <w:rPr>
                <w:rFonts w:cs="Arial"/>
                <w:lang w:val="en-US"/>
              </w:rPr>
              <w:t>This monitoring process focuses on updates and incidents that may impact integrated applications and environments.</w:t>
            </w:r>
          </w:p>
        </w:tc>
      </w:tr>
      <w:tr w:rsidR="00723C22" w:rsidRPr="00F97E04" w14:paraId="52127FB1" w14:textId="21F1614D" w:rsidTr="00E27807">
        <w:trPr>
          <w:cantSplit/>
          <w:trHeight w:val="357"/>
          <w:jc w:val="center"/>
        </w:trPr>
        <w:tc>
          <w:tcPr>
            <w:tcW w:w="2019" w:type="pct"/>
          </w:tcPr>
          <w:p w14:paraId="16EE612B" w14:textId="583549E1" w:rsidR="00723C22" w:rsidRPr="00F97E04" w:rsidRDefault="00F26129" w:rsidP="001A2C69">
            <w:pPr>
              <w:spacing w:before="60" w:after="60"/>
              <w:rPr>
                <w:lang w:val="en-US"/>
              </w:rPr>
            </w:pPr>
            <w:r>
              <w:rPr>
                <w:rFonts w:cs="Arial"/>
                <w:lang w:val="en-US"/>
              </w:rPr>
              <w:t>SMP-010_API Key and Client Secret Rotation</w:t>
            </w:r>
          </w:p>
        </w:tc>
        <w:tc>
          <w:tcPr>
            <w:tcW w:w="2981" w:type="pct"/>
          </w:tcPr>
          <w:p w14:paraId="442E84F0" w14:textId="428D5359" w:rsidR="00723C22" w:rsidRPr="00F97E04" w:rsidRDefault="00723C22" w:rsidP="001A2C69">
            <w:pPr>
              <w:spacing w:before="60" w:after="60"/>
              <w:rPr>
                <w:rFonts w:cs="Arial"/>
                <w:lang w:val="en-US"/>
              </w:rPr>
            </w:pPr>
            <w:r>
              <w:rPr>
                <w:rFonts w:cs="Arial"/>
                <w:lang w:val="en-US"/>
              </w:rPr>
              <w:t>This outlines the rotation schedule for Application Programming Interface (API) keys and client secrets.</w:t>
            </w:r>
          </w:p>
        </w:tc>
      </w:tr>
      <w:tr w:rsidR="00723C22" w:rsidRPr="00F97E04" w14:paraId="6A876E2E" w14:textId="1944543C" w:rsidTr="00E27807">
        <w:trPr>
          <w:cantSplit/>
          <w:trHeight w:val="357"/>
          <w:jc w:val="center"/>
        </w:trPr>
        <w:tc>
          <w:tcPr>
            <w:tcW w:w="2019" w:type="pct"/>
          </w:tcPr>
          <w:p w14:paraId="2CFC6A51" w14:textId="08E9F107" w:rsidR="00723C22" w:rsidRPr="00F97E04" w:rsidRDefault="00F26129" w:rsidP="001A2C69">
            <w:pPr>
              <w:spacing w:before="60" w:after="60"/>
              <w:rPr>
                <w:lang w:val="en-US"/>
              </w:rPr>
            </w:pPr>
            <w:r>
              <w:rPr>
                <w:rFonts w:cs="Arial"/>
                <w:lang w:val="en-US"/>
              </w:rPr>
              <w:t>SMP-011_Monthly Review of User Licensing</w:t>
            </w:r>
          </w:p>
        </w:tc>
        <w:tc>
          <w:tcPr>
            <w:tcW w:w="2981" w:type="pct"/>
          </w:tcPr>
          <w:p w14:paraId="6D60533E" w14:textId="33C3330D" w:rsidR="00723C22" w:rsidRPr="00F97E04" w:rsidRDefault="00603EF9" w:rsidP="001A2C69">
            <w:pPr>
              <w:spacing w:before="60" w:after="60"/>
              <w:rPr>
                <w:rFonts w:cs="Arial"/>
                <w:lang w:val="en-US"/>
              </w:rPr>
            </w:pPr>
            <w:r>
              <w:rPr>
                <w:rFonts w:cs="Arial"/>
                <w:lang w:val="en-US"/>
              </w:rPr>
              <w:t>This outlines the monthly reviews of license consumption across all NY DOH identity provider tenants.</w:t>
            </w:r>
          </w:p>
        </w:tc>
      </w:tr>
    </w:tbl>
    <w:p w14:paraId="1B2B6EE6" w14:textId="18440D26" w:rsidR="007A592E" w:rsidRPr="00F97E04" w:rsidRDefault="007A592E" w:rsidP="00310DFA">
      <w:pPr>
        <w:pStyle w:val="Caption"/>
      </w:pPr>
      <w:bookmarkStart w:id="65" w:name="_Toc211268681"/>
      <w:r>
        <w:t xml:space="preserve">Table </w:t>
      </w:r>
      <w:fldSimple w:instr=" STYLEREF 1 \s ">
        <w:r>
          <w:rPr>
            <w:noProof/>
          </w:rPr>
          <w:t>4</w:t>
        </w:r>
      </w:fldSimple>
      <w:r>
        <w:noBreakHyphen/>
      </w:r>
      <w:fldSimple w:instr=" SEQ Table \* ARABIC \s 1 ">
        <w:r>
          <w:rPr>
            <w:noProof/>
          </w:rPr>
          <w:t>10</w:t>
        </w:r>
      </w:fldSimple>
      <w:r>
        <w:t>: Security Access Management</w:t>
      </w:r>
      <w:bookmarkEnd w:id="65"/>
    </w:p>
    <w:p w14:paraId="1EEBB6F6" w14:textId="78211D55" w:rsidR="00F15646" w:rsidRPr="00F97E04" w:rsidRDefault="005624FE" w:rsidP="009A7247">
      <w:pPr>
        <w:pStyle w:val="Heading3"/>
      </w:pPr>
      <w:bookmarkStart w:id="66" w:name="_Toc211268651"/>
      <w:r>
        <w:t>Security Incident Management</w:t>
      </w:r>
      <w:bookmarkEnd w:id="66"/>
    </w:p>
    <w:p w14:paraId="43E96EE9" w14:textId="05EF2C8B" w:rsidR="00F15646" w:rsidRPr="00F97E04" w:rsidRDefault="00D2564D" w:rsidP="00DF7C2D">
      <w:pPr>
        <w:pStyle w:val="MainBodyText0"/>
      </w:pPr>
      <w:r>
        <w:t>This section will outline the processes for the reporting and management of security incidents as well as the process of creating detection rules to help identify suspicious or malicious activity in the environment.</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4"/>
        <w:gridCol w:w="5436"/>
      </w:tblGrid>
      <w:tr w:rsidR="00A00A4E" w:rsidRPr="00F97E04" w14:paraId="195DFF1C" w14:textId="241A1280" w:rsidTr="00C832C4">
        <w:trPr>
          <w:cantSplit/>
          <w:trHeight w:val="20"/>
          <w:tblHeader/>
          <w:jc w:val="center"/>
        </w:trPr>
        <w:tc>
          <w:tcPr>
            <w:tcW w:w="2093" w:type="pct"/>
            <w:tcBorders>
              <w:right w:val="single" w:sz="4" w:space="0" w:color="FFFFFF" w:themeColor="background1"/>
            </w:tcBorders>
            <w:shd w:val="clear" w:color="auto" w:fill="000000" w:themeFill="text1"/>
          </w:tcPr>
          <w:p w14:paraId="4B265A2B" w14:textId="2AFFE25A" w:rsidR="00A00A4E" w:rsidRPr="00F97E04" w:rsidRDefault="00A00A4E" w:rsidP="001A2C69">
            <w:pPr>
              <w:spacing w:before="60" w:after="60"/>
              <w:rPr>
                <w:b/>
                <w:lang w:val="en-US"/>
              </w:rPr>
            </w:pPr>
            <w:r>
              <w:rPr>
                <w:b/>
                <w:lang w:val="en-US"/>
              </w:rPr>
              <w:t xml:space="preserve">Process Name </w:t>
            </w:r>
          </w:p>
        </w:tc>
        <w:tc>
          <w:tcPr>
            <w:tcW w:w="2907" w:type="pct"/>
            <w:tcBorders>
              <w:left w:val="single" w:sz="4" w:space="0" w:color="FFFFFF" w:themeColor="background1"/>
            </w:tcBorders>
            <w:shd w:val="clear" w:color="auto" w:fill="000000" w:themeFill="text1"/>
          </w:tcPr>
          <w:p w14:paraId="17448EE5" w14:textId="3E34FFBF" w:rsidR="00A00A4E" w:rsidRPr="00F97E04" w:rsidRDefault="00A00A4E" w:rsidP="001A2C69">
            <w:pPr>
              <w:spacing w:before="60" w:after="60"/>
              <w:rPr>
                <w:b/>
                <w:lang w:val="en-US"/>
              </w:rPr>
            </w:pPr>
            <w:r>
              <w:rPr>
                <w:b/>
                <w:lang w:val="en-US"/>
              </w:rPr>
              <w:t>Description</w:t>
            </w:r>
          </w:p>
        </w:tc>
      </w:tr>
      <w:tr w:rsidR="00A00A4E" w:rsidRPr="00F97E04" w14:paraId="4D0F4946" w14:textId="76D6A5F8" w:rsidTr="00C832C4">
        <w:trPr>
          <w:cantSplit/>
          <w:trHeight w:val="20"/>
          <w:jc w:val="center"/>
        </w:trPr>
        <w:tc>
          <w:tcPr>
            <w:tcW w:w="2093" w:type="pct"/>
          </w:tcPr>
          <w:p w14:paraId="652B66B0" w14:textId="216BEBD1" w:rsidR="00A00A4E" w:rsidRPr="00F97E04" w:rsidRDefault="00BE19AD" w:rsidP="001A2C69">
            <w:pPr>
              <w:spacing w:before="60" w:after="60"/>
              <w:rPr>
                <w:rFonts w:cs="Arial"/>
                <w:lang w:val="en-US"/>
              </w:rPr>
            </w:pPr>
            <w:r>
              <w:rPr>
                <w:rFonts w:cs="Arial"/>
                <w:lang w:val="en-US"/>
              </w:rPr>
              <w:t>SMP-012_24x7 Monitoring</w:t>
            </w:r>
          </w:p>
        </w:tc>
        <w:tc>
          <w:tcPr>
            <w:tcW w:w="2907" w:type="pct"/>
          </w:tcPr>
          <w:p w14:paraId="23AA15C1" w14:textId="181A8861" w:rsidR="00A00A4E" w:rsidRPr="00F97E04" w:rsidRDefault="00A00A4E" w:rsidP="001A2C69">
            <w:pPr>
              <w:spacing w:before="60" w:after="60"/>
              <w:rPr>
                <w:rFonts w:cs="Arial"/>
                <w:lang w:val="en-US"/>
              </w:rPr>
            </w:pPr>
            <w:r>
              <w:rPr>
                <w:rFonts w:cs="Arial"/>
                <w:lang w:val="en-US"/>
              </w:rPr>
              <w:t xml:space="preserve">This process involves the real-time or near real-time collection, analysis, and evaluation of security-related information to detect, assess, and respond to potential threats or vulnerabilities within MECM </w:t>
            </w:r>
            <w:r>
              <w:rPr>
                <w:rFonts w:eastAsia="Times New Roman" w:cs="Times New Roman"/>
                <w:color w:val="000000" w:themeColor="text1"/>
              </w:rPr>
              <w:t>Information Technology (</w:t>
            </w:r>
            <w:r>
              <w:rPr>
                <w:rFonts w:cs="Arial"/>
                <w:lang w:val="en-US"/>
              </w:rPr>
              <w:t>IT) environment.</w:t>
            </w:r>
          </w:p>
        </w:tc>
      </w:tr>
      <w:tr w:rsidR="00A00A4E" w:rsidRPr="00F97E04" w14:paraId="382B98F5" w14:textId="77AE5EF8" w:rsidTr="00C832C4">
        <w:trPr>
          <w:cantSplit/>
          <w:trHeight w:val="20"/>
          <w:jc w:val="center"/>
        </w:trPr>
        <w:tc>
          <w:tcPr>
            <w:tcW w:w="2093" w:type="pct"/>
          </w:tcPr>
          <w:p w14:paraId="5DAFB124" w14:textId="6DACAA4E" w:rsidR="00A00A4E" w:rsidRPr="00F97E04" w:rsidRDefault="002E02F1" w:rsidP="001A2C69">
            <w:pPr>
              <w:spacing w:before="60" w:after="60"/>
              <w:rPr>
                <w:rFonts w:cs="Arial"/>
                <w:lang w:val="en-US"/>
              </w:rPr>
            </w:pPr>
            <w:r>
              <w:rPr>
                <w:rFonts w:cs="Arial"/>
                <w:lang w:val="en-US"/>
              </w:rPr>
              <w:lastRenderedPageBreak/>
              <w:t>SMP-013_Log Analysis Capturing</w:t>
            </w:r>
          </w:p>
        </w:tc>
        <w:tc>
          <w:tcPr>
            <w:tcW w:w="2907" w:type="pct"/>
          </w:tcPr>
          <w:p w14:paraId="777E3AA4" w14:textId="4CEEAF0E" w:rsidR="00A00A4E" w:rsidRPr="00F97E04" w:rsidRDefault="00A00A4E" w:rsidP="001A2C69">
            <w:pPr>
              <w:spacing w:before="60" w:after="60"/>
              <w:rPr>
                <w:rFonts w:cs="Arial"/>
                <w:lang w:val="en-US"/>
              </w:rPr>
            </w:pPr>
            <w:r>
              <w:rPr>
                <w:rFonts w:cs="Arial"/>
                <w:lang w:val="en-US"/>
              </w:rPr>
              <w:t>In the event that use cases encounter errors or experience feed failures, this process will be used for re-enablement. This process is initiated if issues arise with existing log feeds or if additional log ingestion becomes necessary.</w:t>
            </w:r>
          </w:p>
        </w:tc>
      </w:tr>
      <w:tr w:rsidR="00A00A4E" w:rsidRPr="00F97E04" w14:paraId="40EEF52D" w14:textId="3C6D5623" w:rsidTr="00C832C4">
        <w:trPr>
          <w:cantSplit/>
          <w:trHeight w:val="20"/>
          <w:jc w:val="center"/>
        </w:trPr>
        <w:tc>
          <w:tcPr>
            <w:tcW w:w="2093" w:type="pct"/>
          </w:tcPr>
          <w:p w14:paraId="7D6258A0" w14:textId="2A67D14C" w:rsidR="00A00A4E" w:rsidRPr="00F97E04" w:rsidRDefault="002E02F1" w:rsidP="001A2C69">
            <w:pPr>
              <w:spacing w:before="60" w:after="60"/>
              <w:rPr>
                <w:rFonts w:cs="Arial"/>
                <w:lang w:val="en-US"/>
              </w:rPr>
            </w:pPr>
            <w:r>
              <w:rPr>
                <w:rFonts w:cs="Arial"/>
                <w:lang w:val="en-US"/>
              </w:rPr>
              <w:t>SMP-014_Incident Use Cases</w:t>
            </w:r>
          </w:p>
        </w:tc>
        <w:tc>
          <w:tcPr>
            <w:tcW w:w="2907" w:type="pct"/>
          </w:tcPr>
          <w:p w14:paraId="498E5967" w14:textId="5DAB9D91" w:rsidR="00A00A4E" w:rsidRPr="00F97E04" w:rsidRDefault="00A00A4E" w:rsidP="001A2C69">
            <w:pPr>
              <w:spacing w:before="60" w:after="60"/>
              <w:rPr>
                <w:rFonts w:cs="Arial"/>
                <w:lang w:val="en-US"/>
              </w:rPr>
            </w:pPr>
            <w:r>
              <w:rPr>
                <w:rFonts w:cs="Arial"/>
                <w:lang w:val="en-US"/>
              </w:rPr>
              <w:t>Outlines the process of creating detection rules that help identify suspicious or malicious activity in the environment based on ingested security log data.</w:t>
            </w:r>
          </w:p>
        </w:tc>
      </w:tr>
      <w:tr w:rsidR="00A47E9A" w:rsidRPr="00F97E04" w14:paraId="2D4FD33B" w14:textId="77777777" w:rsidTr="00690B45">
        <w:trPr>
          <w:cantSplit/>
          <w:trHeight w:val="20"/>
          <w:jc w:val="center"/>
        </w:trPr>
        <w:tc>
          <w:tcPr>
            <w:tcW w:w="2093" w:type="pct"/>
          </w:tcPr>
          <w:p w14:paraId="5EDEB4B8" w14:textId="1D02E93B" w:rsidR="00A47E9A" w:rsidRPr="00F97E04" w:rsidRDefault="00FF53B6" w:rsidP="001A2C69">
            <w:pPr>
              <w:spacing w:before="60" w:after="60"/>
              <w:rPr>
                <w:rFonts w:cs="Arial"/>
                <w:highlight w:val="yellow"/>
                <w:lang w:val="en-US"/>
              </w:rPr>
            </w:pPr>
            <w:r>
              <w:rPr>
                <w:rFonts w:cs="Arial"/>
                <w:lang w:val="en-US"/>
              </w:rPr>
              <w:t>SMP-015_MECM_Incident_Response_Plan</w:t>
            </w:r>
          </w:p>
        </w:tc>
        <w:tc>
          <w:tcPr>
            <w:tcW w:w="2907" w:type="pct"/>
          </w:tcPr>
          <w:p w14:paraId="50A14A72" w14:textId="77777777" w:rsidR="00A47E9A" w:rsidRDefault="0006044B" w:rsidP="001A2C69">
            <w:pPr>
              <w:spacing w:before="60" w:after="60"/>
              <w:rPr>
                <w:rFonts w:cs="Arial"/>
                <w:lang w:val="en-US"/>
              </w:rPr>
            </w:pPr>
            <w:r>
              <w:rPr>
                <w:rFonts w:cs="Arial"/>
                <w:lang w:val="en-US"/>
              </w:rPr>
              <w:t>The Incident Response Plan (IRP) is intended to define and facilitate the Incident Response (IR) process for MECM and is developed in alignment with required standards and regulatory frameworks.</w:t>
            </w:r>
          </w:p>
          <w:p w14:paraId="20C7D555" w14:textId="77B4572A" w:rsidR="0063583C" w:rsidRPr="00F97E04" w:rsidRDefault="0063583C" w:rsidP="001A2C69">
            <w:pPr>
              <w:spacing w:before="60" w:after="60"/>
              <w:rPr>
                <w:rFonts w:cs="Arial"/>
                <w:lang w:val="en-US"/>
              </w:rPr>
            </w:pPr>
            <w:r>
              <w:rPr>
                <w:rFonts w:cs="Arial"/>
                <w:lang w:val="en-US"/>
              </w:rPr>
              <w:t>Refer to the DOH OHIP_MECM_Incident Response Plan.docx</w:t>
            </w:r>
          </w:p>
        </w:tc>
      </w:tr>
    </w:tbl>
    <w:p w14:paraId="1774E098" w14:textId="5CAB46B1" w:rsidR="00C82BF9" w:rsidRPr="00F97E04" w:rsidRDefault="00C82BF9" w:rsidP="00310DFA">
      <w:pPr>
        <w:pStyle w:val="Caption"/>
      </w:pPr>
      <w:bookmarkStart w:id="67" w:name="_Toc211268682"/>
      <w:r>
        <w:t xml:space="preserve">Table </w:t>
      </w:r>
      <w:fldSimple w:instr=" STYLEREF 1 \s ">
        <w:r>
          <w:rPr>
            <w:noProof/>
          </w:rPr>
          <w:t>4</w:t>
        </w:r>
      </w:fldSimple>
      <w:r>
        <w:noBreakHyphen/>
      </w:r>
      <w:fldSimple w:instr=" SEQ Table \* ARABIC \s 1 ">
        <w:r>
          <w:rPr>
            <w:noProof/>
          </w:rPr>
          <w:t>11</w:t>
        </w:r>
      </w:fldSimple>
      <w:r>
        <w:t>: Security Incident Management</w:t>
      </w:r>
      <w:bookmarkEnd w:id="67"/>
    </w:p>
    <w:p w14:paraId="7A4A8A8A" w14:textId="2843BC58" w:rsidR="007764E8" w:rsidRPr="00F97E04" w:rsidRDefault="00157C89" w:rsidP="009A7247">
      <w:pPr>
        <w:pStyle w:val="Heading3"/>
      </w:pPr>
      <w:bookmarkStart w:id="68" w:name="_Toc211268652"/>
      <w:r>
        <w:t>Security Operations</w:t>
      </w:r>
      <w:bookmarkEnd w:id="68"/>
      <w:r>
        <w:t xml:space="preserve"> </w:t>
      </w:r>
    </w:p>
    <w:p w14:paraId="2E2B5DEF" w14:textId="37C5F9DA" w:rsidR="00077330" w:rsidRPr="00F97E04" w:rsidRDefault="0093590F" w:rsidP="00077330">
      <w:pPr>
        <w:pStyle w:val="NormalNEW"/>
      </w:pPr>
      <w:r>
        <w:rPr>
          <w:rStyle w:val="MainBodyTextChar0"/>
        </w:rPr>
        <w:t>This section will outline the process of implementing and maintaining Security Operations Center (SOC) protocols as well as monitoring security alerts including insider threat management</w:t>
      </w:r>
      <w:r>
        <w:t>.</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5"/>
        <w:gridCol w:w="5395"/>
      </w:tblGrid>
      <w:tr w:rsidR="00514D0B" w:rsidRPr="00F97E04" w14:paraId="5894BB61" w14:textId="30483815" w:rsidTr="00DE3CA4">
        <w:trPr>
          <w:cantSplit/>
          <w:trHeight w:val="20"/>
          <w:tblHeader/>
          <w:jc w:val="center"/>
        </w:trPr>
        <w:tc>
          <w:tcPr>
            <w:tcW w:w="2115" w:type="pct"/>
            <w:tcBorders>
              <w:right w:val="single" w:sz="4" w:space="0" w:color="FFFFFF" w:themeColor="background1"/>
            </w:tcBorders>
            <w:shd w:val="clear" w:color="auto" w:fill="000000" w:themeFill="text1"/>
          </w:tcPr>
          <w:p w14:paraId="570AE8E0" w14:textId="2330FA63" w:rsidR="00514D0B" w:rsidRPr="00F97E04" w:rsidRDefault="00514D0B" w:rsidP="001A2C69">
            <w:pPr>
              <w:spacing w:before="60" w:after="60"/>
              <w:rPr>
                <w:b/>
                <w:lang w:val="en-US"/>
              </w:rPr>
            </w:pPr>
            <w:r>
              <w:rPr>
                <w:b/>
                <w:lang w:val="en-US"/>
              </w:rPr>
              <w:t xml:space="preserve">Process Name </w:t>
            </w:r>
          </w:p>
        </w:tc>
        <w:tc>
          <w:tcPr>
            <w:tcW w:w="2885" w:type="pct"/>
            <w:tcBorders>
              <w:left w:val="single" w:sz="4" w:space="0" w:color="FFFFFF" w:themeColor="background1"/>
            </w:tcBorders>
            <w:shd w:val="clear" w:color="auto" w:fill="000000" w:themeFill="text1"/>
          </w:tcPr>
          <w:p w14:paraId="5D9C54B2" w14:textId="7AF57BC9" w:rsidR="00514D0B" w:rsidRPr="00F97E04" w:rsidRDefault="00514D0B" w:rsidP="001A2C69">
            <w:pPr>
              <w:spacing w:before="60" w:after="60"/>
              <w:rPr>
                <w:b/>
                <w:lang w:val="en-US"/>
              </w:rPr>
            </w:pPr>
            <w:r>
              <w:rPr>
                <w:b/>
                <w:lang w:val="en-US"/>
              </w:rPr>
              <w:t>Description</w:t>
            </w:r>
          </w:p>
        </w:tc>
      </w:tr>
      <w:tr w:rsidR="00514D0B" w:rsidRPr="00F97E04" w14:paraId="7B5E0973" w14:textId="64C9B44C" w:rsidTr="00DE3CA4">
        <w:trPr>
          <w:cantSplit/>
          <w:trHeight w:val="20"/>
          <w:jc w:val="center"/>
        </w:trPr>
        <w:tc>
          <w:tcPr>
            <w:tcW w:w="2115" w:type="pct"/>
          </w:tcPr>
          <w:p w14:paraId="2C8EBFBA" w14:textId="38827D02" w:rsidR="00514D0B" w:rsidRPr="00F97E04" w:rsidRDefault="002C08DE" w:rsidP="001A2C69">
            <w:pPr>
              <w:spacing w:before="60" w:after="60"/>
              <w:rPr>
                <w:lang w:val="en-US"/>
              </w:rPr>
            </w:pPr>
            <w:r>
              <w:rPr>
                <w:rFonts w:cs="Arial"/>
                <w:lang w:val="en-US"/>
              </w:rPr>
              <w:t>SMP-016_PRI Maintenance</w:t>
            </w:r>
          </w:p>
        </w:tc>
        <w:tc>
          <w:tcPr>
            <w:tcW w:w="2885" w:type="pct"/>
          </w:tcPr>
          <w:p w14:paraId="2916A7BE" w14:textId="1AC82069" w:rsidR="00514D0B" w:rsidRPr="00F97E04" w:rsidRDefault="00514D0B" w:rsidP="001A2C69">
            <w:pPr>
              <w:spacing w:before="60" w:after="60"/>
              <w:rPr>
                <w:rFonts w:cs="Arial"/>
                <w:lang w:val="en-US"/>
              </w:rPr>
            </w:pPr>
            <w:r>
              <w:rPr>
                <w:rFonts w:cs="Verdana"/>
                <w:lang w:val="en-US"/>
              </w:rPr>
              <w:t>Process focuses on maintaining the functionality of the Insider Threat Dashboard. Key activities include performing daily health checks, following a health check checklist, and resolving errors in coordination with the MECM Lead and Deloitte team.</w:t>
            </w:r>
          </w:p>
        </w:tc>
      </w:tr>
      <w:tr w:rsidR="00514D0B" w:rsidRPr="00F97E04" w14:paraId="5F361EFD" w14:textId="5C938BE1" w:rsidTr="00DE3CA4">
        <w:trPr>
          <w:cantSplit/>
          <w:trHeight w:val="20"/>
          <w:jc w:val="center"/>
        </w:trPr>
        <w:tc>
          <w:tcPr>
            <w:tcW w:w="2115" w:type="pct"/>
          </w:tcPr>
          <w:p w14:paraId="4B5D8EA5" w14:textId="3D1563CC" w:rsidR="00514D0B" w:rsidRPr="00F97E04" w:rsidDel="002D6260" w:rsidRDefault="002C08DE" w:rsidP="001A2C69">
            <w:pPr>
              <w:spacing w:before="60" w:after="60"/>
              <w:rPr>
                <w:rFonts w:cs="Arial"/>
                <w:lang w:val="en-US"/>
              </w:rPr>
            </w:pPr>
            <w:r>
              <w:rPr>
                <w:rFonts w:cs="Arial"/>
                <w:lang w:val="en-US"/>
              </w:rPr>
              <w:t>SMP-017_PRI Development</w:t>
            </w:r>
          </w:p>
        </w:tc>
        <w:tc>
          <w:tcPr>
            <w:tcW w:w="2885" w:type="pct"/>
          </w:tcPr>
          <w:p w14:paraId="236A0D95" w14:textId="3A776FA5" w:rsidR="00514D0B" w:rsidRPr="00F97E04" w:rsidRDefault="00C6481B" w:rsidP="001A2C69">
            <w:pPr>
              <w:spacing w:before="60" w:after="60"/>
              <w:rPr>
                <w:rFonts w:cs="Arial"/>
                <w:lang w:val="en-US"/>
              </w:rPr>
            </w:pPr>
            <w:r>
              <w:rPr>
                <w:rFonts w:cs="Arial"/>
                <w:lang w:val="en-US"/>
              </w:rPr>
              <w:t>The Potential Risk Indicators (PRI) development process covers activities that lead to identifying, confirming, and ingesting new PRIs into the Insider Threat Dashboard.</w:t>
            </w:r>
          </w:p>
        </w:tc>
      </w:tr>
    </w:tbl>
    <w:p w14:paraId="19F7F060" w14:textId="66670F1F" w:rsidR="00C82BF9" w:rsidRPr="00F97E04" w:rsidRDefault="00C82BF9" w:rsidP="00310DFA">
      <w:pPr>
        <w:pStyle w:val="Caption"/>
      </w:pPr>
      <w:bookmarkStart w:id="69" w:name="_Toc211268683"/>
      <w:r>
        <w:t xml:space="preserve">Table </w:t>
      </w:r>
      <w:fldSimple w:instr=" STYLEREF 1 \s ">
        <w:r>
          <w:rPr>
            <w:noProof/>
          </w:rPr>
          <w:t>4</w:t>
        </w:r>
      </w:fldSimple>
      <w:r>
        <w:noBreakHyphen/>
      </w:r>
      <w:fldSimple w:instr=" SEQ Table \* ARABIC \s 1 ">
        <w:r>
          <w:rPr>
            <w:noProof/>
          </w:rPr>
          <w:t>12</w:t>
        </w:r>
      </w:fldSimple>
      <w:r>
        <w:t>: Security Operations</w:t>
      </w:r>
      <w:bookmarkEnd w:id="69"/>
    </w:p>
    <w:p w14:paraId="67B74444" w14:textId="7CDB778D" w:rsidR="00FC3F08" w:rsidRPr="00F97E04" w:rsidRDefault="00B445FB" w:rsidP="009A7247">
      <w:pPr>
        <w:pStyle w:val="Heading3"/>
      </w:pPr>
      <w:bookmarkStart w:id="70" w:name="_Toc211268653"/>
      <w:r>
        <w:t>Business Continuity and Disaster Recovery</w:t>
      </w:r>
      <w:bookmarkEnd w:id="70"/>
      <w:r>
        <w:t xml:space="preserve"> </w:t>
      </w:r>
    </w:p>
    <w:p w14:paraId="7CC2DB50" w14:textId="027D1D6D" w:rsidR="00FC3F08" w:rsidRPr="00F97E04" w:rsidRDefault="0069799F" w:rsidP="00DF7C2D">
      <w:pPr>
        <w:pStyle w:val="MainBodyText0"/>
      </w:pPr>
      <w:r>
        <w:t xml:space="preserve">This section will outline the post Go-Live activities to be conducted in accordance with the annual </w:t>
      </w:r>
      <w:r>
        <w:rPr>
          <w:rFonts w:eastAsia="Verdana" w:cs="Verdana"/>
          <w:szCs w:val="20"/>
        </w:rPr>
        <w:t>Business Continuity (BC) and Disaster Recovery (DR) process</w:t>
      </w:r>
      <w:r>
        <w:t xml:space="preserve"> for the MECM system.</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5"/>
        <w:gridCol w:w="5395"/>
      </w:tblGrid>
      <w:tr w:rsidR="000E1DE6" w:rsidRPr="00F97E04" w14:paraId="35A20868" w14:textId="280FA237" w:rsidTr="002A323D">
        <w:trPr>
          <w:cantSplit/>
          <w:trHeight w:val="20"/>
          <w:tblHeader/>
          <w:jc w:val="center"/>
        </w:trPr>
        <w:tc>
          <w:tcPr>
            <w:tcW w:w="2115" w:type="pct"/>
            <w:tcBorders>
              <w:right w:val="single" w:sz="4" w:space="0" w:color="FFFFFF" w:themeColor="background1"/>
            </w:tcBorders>
            <w:shd w:val="clear" w:color="auto" w:fill="000000" w:themeFill="text1"/>
          </w:tcPr>
          <w:p w14:paraId="48105537" w14:textId="626DBE45" w:rsidR="000E1DE6" w:rsidRPr="00F97E04" w:rsidRDefault="000E1DE6" w:rsidP="001A2C69">
            <w:pPr>
              <w:spacing w:before="60" w:after="60"/>
              <w:rPr>
                <w:b/>
                <w:lang w:val="en-US"/>
              </w:rPr>
            </w:pPr>
            <w:r>
              <w:rPr>
                <w:b/>
                <w:lang w:val="en-US"/>
              </w:rPr>
              <w:t xml:space="preserve">Process Name </w:t>
            </w:r>
          </w:p>
        </w:tc>
        <w:tc>
          <w:tcPr>
            <w:tcW w:w="2885" w:type="pct"/>
            <w:tcBorders>
              <w:left w:val="single" w:sz="4" w:space="0" w:color="FFFFFF" w:themeColor="background1"/>
            </w:tcBorders>
            <w:shd w:val="clear" w:color="auto" w:fill="000000" w:themeFill="text1"/>
          </w:tcPr>
          <w:p w14:paraId="7ACEE501" w14:textId="012C4DF0" w:rsidR="000E1DE6" w:rsidRPr="00F97E04" w:rsidRDefault="000E1DE6" w:rsidP="001A2C69">
            <w:pPr>
              <w:spacing w:before="60" w:after="60"/>
              <w:rPr>
                <w:b/>
                <w:lang w:val="en-US"/>
              </w:rPr>
            </w:pPr>
            <w:r>
              <w:rPr>
                <w:b/>
                <w:lang w:val="en-US"/>
              </w:rPr>
              <w:t>Description</w:t>
            </w:r>
          </w:p>
        </w:tc>
      </w:tr>
      <w:tr w:rsidR="000E1DE6" w:rsidRPr="00F97E04" w14:paraId="07D251E2" w14:textId="5D4351F9" w:rsidTr="002A323D">
        <w:trPr>
          <w:cantSplit/>
          <w:trHeight w:val="20"/>
          <w:jc w:val="center"/>
        </w:trPr>
        <w:tc>
          <w:tcPr>
            <w:tcW w:w="2115" w:type="pct"/>
          </w:tcPr>
          <w:p w14:paraId="5E97FD03" w14:textId="556CCFEF" w:rsidR="000E1DE6" w:rsidRPr="00F97E04" w:rsidRDefault="00ED7260" w:rsidP="001A2C69">
            <w:pPr>
              <w:spacing w:before="60" w:after="60"/>
              <w:rPr>
                <w:lang w:val="en-US"/>
              </w:rPr>
            </w:pPr>
            <w:r>
              <w:rPr>
                <w:rFonts w:cs="Arial"/>
                <w:lang w:val="en-US"/>
              </w:rPr>
              <w:t>SMP-018_Planning</w:t>
            </w:r>
          </w:p>
        </w:tc>
        <w:tc>
          <w:tcPr>
            <w:tcW w:w="2885" w:type="pct"/>
          </w:tcPr>
          <w:p w14:paraId="7AACA6CE" w14:textId="53D6EAFD" w:rsidR="000E1DE6" w:rsidRPr="00F97E04" w:rsidRDefault="000E1DE6" w:rsidP="001A2C69">
            <w:pPr>
              <w:spacing w:before="60" w:after="60"/>
              <w:rPr>
                <w:rFonts w:cs="Arial"/>
                <w:b/>
                <w:bCs/>
                <w:color w:val="000000"/>
                <w:lang w:val="en-US"/>
              </w:rPr>
            </w:pPr>
            <w:r>
              <w:rPr>
                <w:rFonts w:cs="Arial"/>
                <w:color w:val="000000"/>
                <w:lang w:val="en-US"/>
              </w:rPr>
              <w:t>Outlines the post Go-Live activities focused on test planning, executing, and continuous improvement of the DR Plan</w:t>
            </w:r>
          </w:p>
        </w:tc>
      </w:tr>
      <w:tr w:rsidR="000E1DE6" w:rsidRPr="00F97E04" w14:paraId="20C514E2" w14:textId="001B49EF" w:rsidTr="002A323D">
        <w:trPr>
          <w:cantSplit/>
          <w:trHeight w:val="20"/>
          <w:jc w:val="center"/>
        </w:trPr>
        <w:tc>
          <w:tcPr>
            <w:tcW w:w="2115" w:type="pct"/>
          </w:tcPr>
          <w:p w14:paraId="3ADBE3F6" w14:textId="2875B3B8" w:rsidR="000E1DE6" w:rsidRPr="00F97E04" w:rsidRDefault="00FE175C" w:rsidP="001A2C69">
            <w:pPr>
              <w:spacing w:before="60" w:after="60"/>
              <w:rPr>
                <w:lang w:val="en-US"/>
              </w:rPr>
            </w:pPr>
            <w:r>
              <w:rPr>
                <w:rFonts w:cs="Arial"/>
                <w:lang w:val="en-US"/>
              </w:rPr>
              <w:t>SMP-019_Execution</w:t>
            </w:r>
          </w:p>
        </w:tc>
        <w:tc>
          <w:tcPr>
            <w:tcW w:w="2885" w:type="pct"/>
          </w:tcPr>
          <w:p w14:paraId="31EFF705" w14:textId="1559279D" w:rsidR="000E1DE6" w:rsidRPr="00F97E04" w:rsidRDefault="000E1DE6" w:rsidP="001A2C69">
            <w:pPr>
              <w:spacing w:before="60" w:after="60"/>
              <w:rPr>
                <w:rFonts w:cs="Arial"/>
                <w:b/>
                <w:bCs/>
                <w:lang w:val="en-US"/>
              </w:rPr>
            </w:pPr>
            <w:r>
              <w:rPr>
                <w:rFonts w:cs="Arial"/>
                <w:color w:val="000000"/>
                <w:lang w:val="en-US"/>
              </w:rPr>
              <w:t>Outlines the post Go-Live execution activities specifically focusing on</w:t>
            </w:r>
            <w:r>
              <w:rPr>
                <w:lang w:val="en-US"/>
              </w:rPr>
              <w:t xml:space="preserve"> </w:t>
            </w:r>
            <w:r>
              <w:rPr>
                <w:rFonts w:cs="Arial"/>
                <w:color w:val="000000"/>
                <w:lang w:val="en-US"/>
              </w:rPr>
              <w:t>the design and facilitation of disaster recovery exercises and the conduct of annual DR tests to validate recovery capabilities</w:t>
            </w:r>
          </w:p>
        </w:tc>
      </w:tr>
      <w:tr w:rsidR="000E1DE6" w:rsidRPr="00F97E04" w14:paraId="170E0A54" w14:textId="7B0407CC" w:rsidTr="002A323D">
        <w:trPr>
          <w:cantSplit/>
          <w:trHeight w:val="20"/>
          <w:jc w:val="center"/>
        </w:trPr>
        <w:tc>
          <w:tcPr>
            <w:tcW w:w="2115" w:type="pct"/>
          </w:tcPr>
          <w:p w14:paraId="7DBEAD5F" w14:textId="67B23067" w:rsidR="000E1DE6" w:rsidRPr="00F97E04" w:rsidRDefault="00FE175C" w:rsidP="001A2C69">
            <w:pPr>
              <w:keepNext/>
              <w:spacing w:before="60" w:after="60"/>
              <w:rPr>
                <w:rFonts w:cs="Arial"/>
                <w:lang w:val="en-US"/>
              </w:rPr>
            </w:pPr>
            <w:r>
              <w:rPr>
                <w:rFonts w:cs="Arial"/>
                <w:lang w:val="en-US"/>
              </w:rPr>
              <w:lastRenderedPageBreak/>
              <w:t>SMP-020_Evaluation</w:t>
            </w:r>
          </w:p>
        </w:tc>
        <w:tc>
          <w:tcPr>
            <w:tcW w:w="2885" w:type="pct"/>
          </w:tcPr>
          <w:p w14:paraId="64AC0688" w14:textId="4AA27EA1" w:rsidR="000E1DE6" w:rsidRPr="00F97E04" w:rsidRDefault="000E1DE6" w:rsidP="001A2C69">
            <w:pPr>
              <w:keepNext/>
              <w:spacing w:before="60" w:after="60"/>
              <w:rPr>
                <w:rFonts w:cs="Arial"/>
                <w:b/>
                <w:bCs/>
                <w:lang w:val="en-US"/>
              </w:rPr>
            </w:pPr>
            <w:r>
              <w:rPr>
                <w:rFonts w:cs="Arial"/>
                <w:color w:val="000000"/>
                <w:lang w:val="en-US"/>
              </w:rPr>
              <w:t>Outlines the post Go-Live execution activities specifically focusing on</w:t>
            </w:r>
            <w:r>
              <w:rPr>
                <w:lang w:val="en-US"/>
              </w:rPr>
              <w:t xml:space="preserve"> </w:t>
            </w:r>
            <w:r>
              <w:rPr>
                <w:rFonts w:cs="Arial"/>
                <w:color w:val="000000"/>
                <w:lang w:val="en-US"/>
              </w:rPr>
              <w:t>gathering feedback, documenting outcomes, and preparing After Action Reports to drive continuous improvements of the DR process.</w:t>
            </w:r>
          </w:p>
        </w:tc>
      </w:tr>
    </w:tbl>
    <w:p w14:paraId="50A06D32" w14:textId="0BE71A09" w:rsidR="00EF297B" w:rsidRPr="00F97E04" w:rsidRDefault="00EF297B" w:rsidP="00310DFA">
      <w:pPr>
        <w:pStyle w:val="Caption"/>
        <w:rPr>
          <w:highlight w:val="yellow"/>
        </w:rPr>
      </w:pPr>
      <w:bookmarkStart w:id="71" w:name="_Toc211268684"/>
      <w:r>
        <w:t xml:space="preserve">Table </w:t>
      </w:r>
      <w:fldSimple w:instr=" STYLEREF 1 \s ">
        <w:r>
          <w:rPr>
            <w:noProof/>
          </w:rPr>
          <w:t>4</w:t>
        </w:r>
      </w:fldSimple>
      <w:r>
        <w:noBreakHyphen/>
      </w:r>
      <w:fldSimple w:instr=" SEQ Table \* ARABIC \s 1 ">
        <w:r>
          <w:rPr>
            <w:noProof/>
          </w:rPr>
          <w:t>13</w:t>
        </w:r>
      </w:fldSimple>
      <w:r>
        <w:t>: Security Business Continuity and Disaster Recovery</w:t>
      </w:r>
      <w:bookmarkEnd w:id="71"/>
    </w:p>
    <w:p w14:paraId="6F74897F" w14:textId="3A827E3B" w:rsidR="00CA0823" w:rsidRPr="00F97E04" w:rsidRDefault="00AB51DB" w:rsidP="009A7247">
      <w:pPr>
        <w:pStyle w:val="Heading3"/>
      </w:pPr>
      <w:bookmarkStart w:id="72" w:name="_Toc211268654"/>
      <w:r>
        <w:t>Incident Response Plan</w:t>
      </w:r>
      <w:bookmarkEnd w:id="72"/>
    </w:p>
    <w:p w14:paraId="3942E774" w14:textId="26ECCBE5" w:rsidR="009A42E3" w:rsidRPr="00F97E04" w:rsidRDefault="009A42E3" w:rsidP="00C2152C">
      <w:pPr>
        <w:pStyle w:val="MainBodyText0"/>
      </w:pPr>
      <w:r>
        <w:t xml:space="preserve">The Incident Response Plan (IRP) is intended to define and facilitate the Incident Response (IR) process. The IRP is developed in alignment with standards and regulatory frameworks, including the CMS MARS-E version 2.2, the National Institute of Standards and Technology (NIST) Special Publication (SP) 800-53, Revision 4, Federal Risk and Authorization Management Program (FedRAMP) High authorization and NIST SP 800-61 Revision 2 Computer Security Incident Handling Guide. Additionally, the IRP adheres to the following federal and state laws and regulations: </w:t>
      </w:r>
    </w:p>
    <w:p w14:paraId="56B619DE" w14:textId="06E968F3" w:rsidR="009A42E3" w:rsidRPr="00F97E04" w:rsidRDefault="009A42E3" w:rsidP="00675753">
      <w:pPr>
        <w:pStyle w:val="BulletNEW"/>
        <w:rPr>
          <w:lang w:val="en-US"/>
        </w:rPr>
      </w:pPr>
      <w:r>
        <w:rPr>
          <w:lang w:val="en-US"/>
        </w:rPr>
        <w:t xml:space="preserve">IRS 1075 (Rev 11-2021) </w:t>
      </w:r>
    </w:p>
    <w:p w14:paraId="7FC31414" w14:textId="77777777" w:rsidR="009A42E3" w:rsidRPr="00F97E04" w:rsidRDefault="009A42E3" w:rsidP="00675753">
      <w:pPr>
        <w:pStyle w:val="BulletNEW"/>
        <w:rPr>
          <w:lang w:val="en-US"/>
        </w:rPr>
      </w:pPr>
      <w:r>
        <w:rPr>
          <w:lang w:val="en-US"/>
        </w:rPr>
        <w:t xml:space="preserve">The Health Insurance Portability and Accountability Act (HIPAA) Omnibus Final Rule </w:t>
      </w:r>
    </w:p>
    <w:p w14:paraId="11A5E51F" w14:textId="77777777" w:rsidR="009A42E3" w:rsidRPr="00F97E04" w:rsidRDefault="009A42E3" w:rsidP="00675753">
      <w:pPr>
        <w:pStyle w:val="BulletNEW"/>
        <w:rPr>
          <w:lang w:val="en-US"/>
        </w:rPr>
      </w:pPr>
      <w:r>
        <w:rPr>
          <w:lang w:val="en-US"/>
        </w:rPr>
        <w:t xml:space="preserve">45 CFR Parts 160 and 164 (Privacy-related sections for HIPAA) </w:t>
      </w:r>
    </w:p>
    <w:p w14:paraId="32C9B57D" w14:textId="77777777" w:rsidR="009A42E3" w:rsidRPr="00F97E04" w:rsidRDefault="009A42E3" w:rsidP="00675753">
      <w:pPr>
        <w:pStyle w:val="BulletNEW"/>
        <w:rPr>
          <w:lang w:val="en-US"/>
        </w:rPr>
      </w:pPr>
      <w:r>
        <w:rPr>
          <w:lang w:val="en-US"/>
        </w:rPr>
        <w:t xml:space="preserve">Health Information Technology for Economic and Clinical Health (HITECH) Act (Expansion of HIPAA) </w:t>
      </w:r>
    </w:p>
    <w:p w14:paraId="7C2C213A" w14:textId="77777777" w:rsidR="009A42E3" w:rsidRPr="00F97E04" w:rsidRDefault="009A42E3" w:rsidP="00675753">
      <w:pPr>
        <w:pStyle w:val="BulletNEW"/>
        <w:rPr>
          <w:lang w:val="en-US"/>
        </w:rPr>
      </w:pPr>
      <w:r>
        <w:rPr>
          <w:lang w:val="en-US"/>
        </w:rPr>
        <w:t xml:space="preserve">Social Security Act, 42 USC 1396 a(a)(7) </w:t>
      </w:r>
    </w:p>
    <w:p w14:paraId="5DC87396" w14:textId="77777777" w:rsidR="009A42E3" w:rsidRPr="00F97E04" w:rsidRDefault="009A42E3" w:rsidP="00675753">
      <w:pPr>
        <w:pStyle w:val="BulletNEW"/>
        <w:rPr>
          <w:lang w:val="en-US"/>
        </w:rPr>
      </w:pPr>
      <w:r>
        <w:rPr>
          <w:lang w:val="en-US"/>
        </w:rPr>
        <w:t xml:space="preserve">Federal Regulations at 42 CFR 431.302 and 42 CFR Part 2 (substance use disorder) </w:t>
      </w:r>
    </w:p>
    <w:p w14:paraId="24E95870" w14:textId="13F28790" w:rsidR="009A42E3" w:rsidRPr="00F97E04" w:rsidRDefault="00717861" w:rsidP="00675753">
      <w:pPr>
        <w:pStyle w:val="BulletNEW"/>
        <w:rPr>
          <w:lang w:val="en-US"/>
        </w:rPr>
      </w:pPr>
      <w:r>
        <w:rPr>
          <w:lang w:val="en-US"/>
        </w:rPr>
        <w:t xml:space="preserve">NYS ITS Policies and Standards including the following: </w:t>
      </w:r>
    </w:p>
    <w:p w14:paraId="3F4AF653" w14:textId="77777777" w:rsidR="009A42E3" w:rsidRPr="00F97E04" w:rsidRDefault="009A42E3" w:rsidP="008F5345">
      <w:pPr>
        <w:pStyle w:val="MainBodyText0"/>
        <w:numPr>
          <w:ilvl w:val="1"/>
          <w:numId w:val="36"/>
        </w:numPr>
      </w:pPr>
      <w:r>
        <w:t xml:space="preserve">NYS Information Security Breach and Notification Act (ISBNA) </w:t>
      </w:r>
    </w:p>
    <w:p w14:paraId="06DD601B" w14:textId="48BA010C" w:rsidR="001D3C56" w:rsidRPr="00F97E04" w:rsidRDefault="009A42E3" w:rsidP="008F5345">
      <w:pPr>
        <w:pStyle w:val="MainBodyText0"/>
        <w:numPr>
          <w:ilvl w:val="1"/>
          <w:numId w:val="36"/>
        </w:numPr>
      </w:pPr>
      <w:r>
        <w:t>NYS Cyber Incident Reporting Security Policies</w:t>
      </w:r>
    </w:p>
    <w:p w14:paraId="5A647A81" w14:textId="077755ED" w:rsidR="00FC3F08" w:rsidRPr="00F97E04" w:rsidRDefault="00FC3F08" w:rsidP="002E635F">
      <w:pPr>
        <w:pStyle w:val="Heading2"/>
        <w:rPr>
          <w:noProof w:val="0"/>
        </w:rPr>
      </w:pPr>
      <w:bookmarkStart w:id="73" w:name="_Toc211268655"/>
      <w:r>
        <w:rPr>
          <w:noProof w:val="0"/>
        </w:rPr>
        <w:t>Approach to Performing Technical Maintenance</w:t>
      </w:r>
      <w:bookmarkEnd w:id="73"/>
    </w:p>
    <w:p w14:paraId="5267C938" w14:textId="590198CB" w:rsidR="00D335E9" w:rsidRPr="00F97E04" w:rsidRDefault="00D335E9" w:rsidP="00C2152C">
      <w:pPr>
        <w:pStyle w:val="MainBodyText0"/>
      </w:pPr>
      <w:r>
        <w:t>This section outlines the comprehensive processes and structured practices employed by the MECM M&amp;O team to support the ongoing reliability and scalability of the MECM system. Covering architecture and design maintenance, capacity planning, system and infrastructure upgrades, system patching, and asset management, the documentation details how governance, change management, specialized tools, and practical aids are leveraged to support operational excellence. Through coordinated scheduling, systematic reviews, and proactive planning, the M&amp;O team maintains high standards for security, and performance across all MECM environments and assets.</w:t>
      </w:r>
    </w:p>
    <w:p w14:paraId="6DE699EB" w14:textId="082825B1" w:rsidR="00FC3F08" w:rsidRPr="00F97E04" w:rsidRDefault="00FC3F08" w:rsidP="009A7247">
      <w:pPr>
        <w:pStyle w:val="Heading3"/>
      </w:pPr>
      <w:bookmarkStart w:id="74" w:name="_Toc210652086"/>
      <w:bookmarkStart w:id="75" w:name="_Toc211268656"/>
      <w:bookmarkEnd w:id="74"/>
      <w:r>
        <w:t>Architecture and Design Maintenance</w:t>
      </w:r>
      <w:bookmarkEnd w:id="75"/>
    </w:p>
    <w:p w14:paraId="7AAB0634" w14:textId="6F69EA69" w:rsidR="008E1D8D" w:rsidRPr="00F97E04" w:rsidRDefault="00993A59" w:rsidP="00C2152C">
      <w:pPr>
        <w:pStyle w:val="MainBodyText0"/>
      </w:pPr>
      <w:r>
        <w:t>The M&amp;O team will follow structured processes for governance and change management, utilize practical aids that standardize and streamline design activities, and leverage specialized tools as defined in the SADD. The MECM-Technical Operations (TechOps)-Patching-Calendar outlines the patching schedule to be followed, while the Overview of Development and Architecture Code Review Process defines the procedures the MECM Technology team will use to perform architecture and design maintenance. Together, these practices form the foundation for sustainable architecture and design maintenance, supporting ongoing operational excellence and future scalability.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5755"/>
      </w:tblGrid>
      <w:tr w:rsidR="00723C22" w:rsidRPr="00F97E04" w14:paraId="423EE95D" w14:textId="77777777" w:rsidTr="007E0A2E">
        <w:trPr>
          <w:trHeight w:val="405"/>
          <w:tblHeader/>
          <w:jc w:val="center"/>
        </w:trPr>
        <w:tc>
          <w:tcPr>
            <w:tcW w:w="3595" w:type="dxa"/>
            <w:tcBorders>
              <w:right w:val="single" w:sz="4" w:space="0" w:color="FFFFFF" w:themeColor="background1"/>
            </w:tcBorders>
            <w:shd w:val="clear" w:color="auto" w:fill="000000" w:themeFill="text1"/>
            <w:hideMark/>
          </w:tcPr>
          <w:p w14:paraId="4E740EE7" w14:textId="4B13C852" w:rsidR="00723C22" w:rsidRPr="00F97E04" w:rsidRDefault="00723C22" w:rsidP="00376E58">
            <w:pPr>
              <w:spacing w:before="60" w:after="60"/>
              <w:rPr>
                <w:rFonts w:eastAsia="Times New Roman" w:cs="Times New Roman"/>
                <w:color w:val="FFFFFF" w:themeColor="background1"/>
              </w:rPr>
            </w:pPr>
            <w:r>
              <w:rPr>
                <w:b/>
              </w:rPr>
              <w:t xml:space="preserve">Process Name </w:t>
            </w:r>
          </w:p>
        </w:tc>
        <w:tc>
          <w:tcPr>
            <w:tcW w:w="5755" w:type="dxa"/>
            <w:tcBorders>
              <w:left w:val="single" w:sz="4" w:space="0" w:color="FFFFFF" w:themeColor="background1"/>
            </w:tcBorders>
            <w:shd w:val="clear" w:color="auto" w:fill="000000" w:themeFill="text1"/>
            <w:hideMark/>
          </w:tcPr>
          <w:p w14:paraId="556C9938" w14:textId="768B6FEC" w:rsidR="00723C22" w:rsidRPr="00F97E04" w:rsidRDefault="00723C22" w:rsidP="00376E58">
            <w:pPr>
              <w:spacing w:before="60" w:after="60"/>
              <w:rPr>
                <w:rFonts w:eastAsia="Times New Roman" w:cs="Times New Roman"/>
                <w:color w:val="FFFFFF" w:themeColor="background1"/>
              </w:rPr>
            </w:pPr>
            <w:r>
              <w:rPr>
                <w:b/>
              </w:rPr>
              <w:t>Description</w:t>
            </w:r>
          </w:p>
        </w:tc>
      </w:tr>
      <w:tr w:rsidR="0076734B" w:rsidRPr="00F97E04" w14:paraId="50FBF898" w14:textId="77777777" w:rsidTr="007E0A2E">
        <w:trPr>
          <w:trHeight w:val="290"/>
          <w:jc w:val="center"/>
        </w:trPr>
        <w:tc>
          <w:tcPr>
            <w:tcW w:w="3595" w:type="dxa"/>
            <w:hideMark/>
          </w:tcPr>
          <w:p w14:paraId="121138C0" w14:textId="6FDFB328" w:rsidR="0076734B" w:rsidRPr="00F97E04" w:rsidRDefault="6D865668" w:rsidP="00376E58">
            <w:pPr>
              <w:spacing w:before="60" w:after="60"/>
            </w:pPr>
            <w:r>
              <w:t>Overview of MECM Architecture</w:t>
            </w:r>
          </w:p>
        </w:tc>
        <w:tc>
          <w:tcPr>
            <w:tcW w:w="5755" w:type="dxa"/>
            <w:hideMark/>
          </w:tcPr>
          <w:p w14:paraId="39BADEA3" w14:textId="2FC75DD5" w:rsidR="0076734B" w:rsidRPr="00F97E04" w:rsidRDefault="00FA6460" w:rsidP="00376E58">
            <w:pPr>
              <w:spacing w:before="60" w:after="60"/>
              <w:rPr>
                <w:rFonts w:eastAsia="Times New Roman" w:cs="Times New Roman"/>
                <w:color w:val="000000"/>
              </w:rPr>
            </w:pPr>
            <w:r>
              <w:rPr>
                <w:rFonts w:eastAsia="Times New Roman" w:cs="Times New Roman"/>
                <w:color w:val="000000"/>
              </w:rPr>
              <w:t xml:space="preserve">The </w:t>
            </w:r>
            <w:r>
              <w:rPr>
                <w:rFonts w:eastAsia="Times New Roman" w:cs="Times New Roman"/>
              </w:rPr>
              <w:t>Del.16_System Architecture Design Document.docx</w:t>
            </w:r>
            <w:r>
              <w:rPr>
                <w:rFonts w:eastAsia="Times New Roman" w:cs="Times New Roman"/>
                <w:color w:val="000000"/>
              </w:rPr>
              <w:t xml:space="preserve"> provides a comprehensive overview of the MECM system’s architecture, covering infrastructure, application and database design, business rules, integration, security, </w:t>
            </w:r>
            <w:r>
              <w:rPr>
                <w:rFonts w:eastAsia="Times New Roman" w:cs="Times New Roman"/>
                <w:color w:val="000000"/>
              </w:rPr>
              <w:lastRenderedPageBreak/>
              <w:t>monitoring, DevOps, and non-functional requirements to provide robust, scalable, and compliant operations.</w:t>
            </w:r>
          </w:p>
        </w:tc>
      </w:tr>
      <w:tr w:rsidR="00E357D8" w:rsidRPr="00F97E04" w14:paraId="01FA9015" w14:textId="77777777" w:rsidTr="007E0A2E">
        <w:trPr>
          <w:trHeight w:val="290"/>
          <w:jc w:val="center"/>
        </w:trPr>
        <w:tc>
          <w:tcPr>
            <w:tcW w:w="3595" w:type="dxa"/>
            <w:hideMark/>
          </w:tcPr>
          <w:p w14:paraId="6696782C" w14:textId="5AF503B5" w:rsidR="00E357D8" w:rsidRPr="00F97E04" w:rsidRDefault="00D64E02" w:rsidP="00376E58">
            <w:pPr>
              <w:spacing w:before="60" w:after="60"/>
              <w:rPr>
                <w:rFonts w:eastAsia="Times New Roman" w:cs="Times New Roman"/>
                <w:color w:val="000000"/>
              </w:rPr>
            </w:pPr>
            <w:r>
              <w:rPr>
                <w:rFonts w:eastAsia="Times New Roman" w:cs="Times New Roman"/>
              </w:rPr>
              <w:lastRenderedPageBreak/>
              <w:t>Overview of Development and Architecture Code Review Process</w:t>
            </w:r>
          </w:p>
        </w:tc>
        <w:tc>
          <w:tcPr>
            <w:tcW w:w="5755" w:type="dxa"/>
            <w:hideMark/>
          </w:tcPr>
          <w:p w14:paraId="358D1F67" w14:textId="1BD09C93" w:rsidR="00E357D8" w:rsidRPr="00F97E04" w:rsidRDefault="00B7279F" w:rsidP="00376E58">
            <w:pPr>
              <w:spacing w:before="60" w:after="60"/>
              <w:rPr>
                <w:rFonts w:eastAsia="Times New Roman" w:cs="Times New Roman"/>
                <w:color w:val="000000"/>
              </w:rPr>
            </w:pPr>
            <w:r>
              <w:rPr>
                <w:rFonts w:eastAsia="Times New Roman" w:cs="Times New Roman"/>
                <w:color w:val="000000"/>
              </w:rPr>
              <w:t>Overview of Development and Architecture Code Review Process document details the structured procedures for code and architecture reviews within the MECM system, providing quality, security, and compliance through systematic evaluations and automated tools.</w:t>
            </w:r>
          </w:p>
        </w:tc>
      </w:tr>
      <w:tr w:rsidR="00E357D8" w:rsidRPr="00F97E04" w14:paraId="783F9A39" w14:textId="77777777" w:rsidTr="007E0A2E">
        <w:trPr>
          <w:trHeight w:val="290"/>
          <w:jc w:val="center"/>
        </w:trPr>
        <w:tc>
          <w:tcPr>
            <w:tcW w:w="3595" w:type="dxa"/>
            <w:hideMark/>
          </w:tcPr>
          <w:p w14:paraId="04762B0F" w14:textId="65273D9E" w:rsidR="00E357D8" w:rsidRPr="00F97E04" w:rsidRDefault="009212D6" w:rsidP="00376E58">
            <w:pPr>
              <w:spacing w:before="60" w:after="60"/>
              <w:rPr>
                <w:rFonts w:eastAsia="Times New Roman" w:cs="Times New Roman"/>
                <w:color w:val="000000"/>
              </w:rPr>
            </w:pPr>
            <w:r>
              <w:rPr>
                <w:rFonts w:eastAsia="Times New Roman" w:cs="Times New Roman"/>
              </w:rPr>
              <w:t>MECM-TechOps-Patching-calendar - STG, Preprod, PROD</w:t>
            </w:r>
          </w:p>
        </w:tc>
        <w:tc>
          <w:tcPr>
            <w:tcW w:w="5755" w:type="dxa"/>
            <w:hideMark/>
          </w:tcPr>
          <w:p w14:paraId="445E7F1F" w14:textId="2D138287" w:rsidR="00E357D8" w:rsidRPr="00F97E04" w:rsidRDefault="00E4435F" w:rsidP="00376E58">
            <w:pPr>
              <w:spacing w:before="60" w:after="60"/>
              <w:rPr>
                <w:rFonts w:eastAsia="Times New Roman" w:cs="Times New Roman"/>
                <w:color w:val="000000"/>
              </w:rPr>
            </w:pPr>
            <w:r>
              <w:rPr>
                <w:rFonts w:eastAsia="Times New Roman" w:cs="Times New Roman"/>
                <w:color w:val="000000"/>
              </w:rPr>
              <w:t>The MECM-TechOps-Patching-Calendar outlines the scheduled patching windows, environments, user groups, Amazon Web Services (AWS) regions, and timing for development, testing, pre-production, production, and disaster recovery environments, ensuring coordinated and secure system updates across all MECM platforms.</w:t>
            </w:r>
          </w:p>
        </w:tc>
      </w:tr>
    </w:tbl>
    <w:p w14:paraId="6F193877" w14:textId="13576F01" w:rsidR="00390487" w:rsidRPr="00F97E04" w:rsidRDefault="00390487" w:rsidP="00310DFA">
      <w:pPr>
        <w:pStyle w:val="Caption"/>
      </w:pPr>
      <w:bookmarkStart w:id="76" w:name="_Toc211268685"/>
      <w:r>
        <w:t xml:space="preserve">Table </w:t>
      </w:r>
      <w:fldSimple w:instr=" STYLEREF 1 \s ">
        <w:r>
          <w:rPr>
            <w:noProof/>
          </w:rPr>
          <w:t>4</w:t>
        </w:r>
      </w:fldSimple>
      <w:r>
        <w:noBreakHyphen/>
      </w:r>
      <w:fldSimple w:instr=" SEQ Table \* ARABIC \s 1 ">
        <w:r>
          <w:rPr>
            <w:noProof/>
          </w:rPr>
          <w:t>14</w:t>
        </w:r>
      </w:fldSimple>
      <w:r>
        <w:t>: Architecture and Design Maintenance</w:t>
      </w:r>
      <w:bookmarkEnd w:id="76"/>
    </w:p>
    <w:p w14:paraId="4F0B6C3E" w14:textId="0589A387" w:rsidR="00FC3F08" w:rsidRPr="00F97E04" w:rsidRDefault="00FC3F08" w:rsidP="009A7247">
      <w:pPr>
        <w:pStyle w:val="Heading3"/>
      </w:pPr>
      <w:bookmarkStart w:id="77" w:name="_Toc211268657"/>
      <w:r>
        <w:t>Capacity Planning</w:t>
      </w:r>
      <w:bookmarkEnd w:id="77"/>
    </w:p>
    <w:p w14:paraId="04445DBE" w14:textId="26A0C894" w:rsidR="00FC3F08" w:rsidRPr="00F97E04" w:rsidRDefault="00BD7FA8" w:rsidP="00E526D0">
      <w:pPr>
        <w:pStyle w:val="MainBodyText0"/>
      </w:pPr>
      <w:r>
        <w:t>The Manage Capacity and Sizing During M&amp;O Process involves the Deloitte M&amp;O Manager and Technical Manager, who collaborate to initiate capacity reviews and document the current and future state information. By evaluating the system's current capacity and estimating future demand, the team verifies that the MECM system can adapt to changing requirements. This proactive approach involves updating the MECM sizing using a capacity demand model and planning necessary adjustments to maintain optimal performance and system reliability.</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5665"/>
      </w:tblGrid>
      <w:tr w:rsidR="00705831" w:rsidRPr="00F97E04" w14:paraId="41F09A60" w14:textId="77777777" w:rsidTr="008875C7">
        <w:trPr>
          <w:trHeight w:val="329"/>
          <w:jc w:val="center"/>
        </w:trPr>
        <w:tc>
          <w:tcPr>
            <w:tcW w:w="3685" w:type="dxa"/>
            <w:tcBorders>
              <w:right w:val="single" w:sz="4" w:space="0" w:color="FFFFFF" w:themeColor="background1"/>
            </w:tcBorders>
            <w:shd w:val="clear" w:color="auto" w:fill="000000" w:themeFill="text1"/>
          </w:tcPr>
          <w:p w14:paraId="62A58092" w14:textId="453FCF84" w:rsidR="00723C22" w:rsidRPr="00F97E04" w:rsidRDefault="00723C22" w:rsidP="00376E58">
            <w:pPr>
              <w:pStyle w:val="NormalNEW"/>
              <w:spacing w:before="60" w:after="60"/>
              <w:rPr>
                <w:lang w:val="en-US"/>
              </w:rPr>
            </w:pPr>
            <w:bookmarkStart w:id="78" w:name="_Hlk198199525"/>
            <w:r>
              <w:rPr>
                <w:b/>
                <w:lang w:val="en-US"/>
              </w:rPr>
              <w:t xml:space="preserve">Process Name </w:t>
            </w:r>
          </w:p>
        </w:tc>
        <w:tc>
          <w:tcPr>
            <w:tcW w:w="5665" w:type="dxa"/>
            <w:tcBorders>
              <w:left w:val="single" w:sz="4" w:space="0" w:color="FFFFFF" w:themeColor="background1"/>
            </w:tcBorders>
            <w:shd w:val="clear" w:color="auto" w:fill="000000" w:themeFill="text1"/>
          </w:tcPr>
          <w:p w14:paraId="02423B7B" w14:textId="3B175310" w:rsidR="00723C22" w:rsidRPr="00F97E04" w:rsidRDefault="00723C22" w:rsidP="00376E58">
            <w:pPr>
              <w:pStyle w:val="NormalNEW"/>
              <w:spacing w:before="60" w:after="60"/>
              <w:rPr>
                <w:lang w:val="en-US"/>
              </w:rPr>
            </w:pPr>
            <w:r>
              <w:rPr>
                <w:b/>
                <w:lang w:val="en-US"/>
              </w:rPr>
              <w:t>Description</w:t>
            </w:r>
          </w:p>
        </w:tc>
      </w:tr>
      <w:bookmarkEnd w:id="78"/>
      <w:tr w:rsidR="00705831" w:rsidRPr="00F97E04" w14:paraId="52D578A2" w14:textId="77777777" w:rsidTr="008875C7">
        <w:trPr>
          <w:trHeight w:val="329"/>
          <w:jc w:val="center"/>
        </w:trPr>
        <w:tc>
          <w:tcPr>
            <w:tcW w:w="3685" w:type="dxa"/>
            <w:hideMark/>
          </w:tcPr>
          <w:p w14:paraId="1F23D682" w14:textId="05E2B4C8" w:rsidR="006B11B0" w:rsidRPr="00F97E04" w:rsidRDefault="00127EBA" w:rsidP="00376E58">
            <w:pPr>
              <w:pStyle w:val="NormalNEW"/>
              <w:spacing w:before="60" w:after="60"/>
              <w:rPr>
                <w:lang w:val="en-US"/>
              </w:rPr>
            </w:pPr>
            <w:r>
              <w:rPr>
                <w:rFonts w:cs="Arial"/>
                <w:lang w:val="en-US"/>
              </w:rPr>
              <w:t>PTM-001_Manage Capacity and Sizing During M&amp;O</w:t>
            </w:r>
          </w:p>
        </w:tc>
        <w:tc>
          <w:tcPr>
            <w:tcW w:w="5665" w:type="dxa"/>
            <w:hideMark/>
          </w:tcPr>
          <w:p w14:paraId="3CE9079A" w14:textId="382BA2B8" w:rsidR="006B11B0" w:rsidRPr="00F97E04" w:rsidRDefault="00971933" w:rsidP="00376E58">
            <w:pPr>
              <w:pStyle w:val="NormalNEW"/>
              <w:spacing w:before="60" w:after="60"/>
              <w:rPr>
                <w:lang w:val="en-US"/>
              </w:rPr>
            </w:pPr>
            <w:r>
              <w:rPr>
                <w:lang w:val="en-US"/>
              </w:rPr>
              <w:t>Capacity and size are managed throughout maintenance and operations to confirm that MECM continues to meet the needs of stakeholders.</w:t>
            </w:r>
          </w:p>
        </w:tc>
      </w:tr>
      <w:tr w:rsidR="00705831" w:rsidRPr="00F97E04" w14:paraId="785D2A6F" w14:textId="77777777" w:rsidTr="008875C7">
        <w:trPr>
          <w:trHeight w:val="329"/>
          <w:jc w:val="center"/>
        </w:trPr>
        <w:tc>
          <w:tcPr>
            <w:tcW w:w="3685" w:type="dxa"/>
          </w:tcPr>
          <w:p w14:paraId="3A8175C1" w14:textId="376AD8E7" w:rsidR="00AB70F7" w:rsidRPr="00F97E04" w:rsidRDefault="00127EBA" w:rsidP="00376E58">
            <w:pPr>
              <w:pStyle w:val="NormalNEW"/>
              <w:spacing w:before="60" w:after="60"/>
              <w:rPr>
                <w:lang w:val="en-US"/>
              </w:rPr>
            </w:pPr>
            <w:r>
              <w:rPr>
                <w:rFonts w:cs="Arial"/>
                <w:lang w:val="en-US"/>
              </w:rPr>
              <w:t>PTM-002_MECM Capacity Review Template</w:t>
            </w:r>
          </w:p>
        </w:tc>
        <w:tc>
          <w:tcPr>
            <w:tcW w:w="5665" w:type="dxa"/>
          </w:tcPr>
          <w:p w14:paraId="138F37D2" w14:textId="37544D70" w:rsidR="00AB70F7" w:rsidRPr="00F97E04" w:rsidRDefault="00810AAD" w:rsidP="00376E58">
            <w:pPr>
              <w:pStyle w:val="NormalNEW"/>
              <w:spacing w:before="60" w:after="60"/>
              <w:rPr>
                <w:lang w:val="en-US"/>
              </w:rPr>
            </w:pPr>
            <w:r>
              <w:rPr>
                <w:lang w:val="en-US"/>
              </w:rPr>
              <w:t>This is the template for the Capacity Review process.</w:t>
            </w:r>
          </w:p>
        </w:tc>
      </w:tr>
      <w:tr w:rsidR="00705831" w:rsidRPr="00F97E04" w14:paraId="7B692B99" w14:textId="77777777" w:rsidTr="008875C7">
        <w:trPr>
          <w:trHeight w:val="329"/>
          <w:jc w:val="center"/>
        </w:trPr>
        <w:tc>
          <w:tcPr>
            <w:tcW w:w="3685" w:type="dxa"/>
          </w:tcPr>
          <w:p w14:paraId="18BDAD5F" w14:textId="671FF496" w:rsidR="00176C68" w:rsidRPr="00F97E04" w:rsidRDefault="007042CE" w:rsidP="00376E58">
            <w:pPr>
              <w:pStyle w:val="NormalNEW"/>
              <w:spacing w:before="60" w:after="60"/>
              <w:rPr>
                <w:lang w:val="en-US"/>
              </w:rPr>
            </w:pPr>
            <w:r>
              <w:t>NY_MECM_Wave0 and Wave1_Initial_Software_BOM</w:t>
            </w:r>
          </w:p>
        </w:tc>
        <w:tc>
          <w:tcPr>
            <w:tcW w:w="5665" w:type="dxa"/>
          </w:tcPr>
          <w:p w14:paraId="3FB0C458" w14:textId="6D87E909" w:rsidR="00176C68" w:rsidRPr="00F97E04" w:rsidRDefault="00DA6B21" w:rsidP="00376E58">
            <w:pPr>
              <w:pStyle w:val="NormalNEW"/>
              <w:spacing w:before="60" w:after="60"/>
              <w:rPr>
                <w:lang w:val="en-US"/>
              </w:rPr>
            </w:pPr>
            <w:r>
              <w:rPr>
                <w:lang w:val="en-US"/>
              </w:rPr>
              <w:t xml:space="preserve">Bill of Materials (BOM) outlines the collaborative process between Deloitte, AWS, and DOH for ongoing analysis, optimization, and management of Cloud and software costs, including regular environment reviews, formula-based sizing, and cost control activities, as governed by Del.27_Cloud Operations and Finance Management Plan. </w:t>
            </w:r>
          </w:p>
        </w:tc>
      </w:tr>
    </w:tbl>
    <w:p w14:paraId="3354BF82" w14:textId="1EC09A47" w:rsidR="00B23CB8" w:rsidRPr="00F97E04" w:rsidRDefault="00B23CB8" w:rsidP="00310DFA">
      <w:pPr>
        <w:pStyle w:val="Caption"/>
      </w:pPr>
      <w:bookmarkStart w:id="79" w:name="_Toc211268686"/>
      <w:r>
        <w:t xml:space="preserve">Table </w:t>
      </w:r>
      <w:fldSimple w:instr=" STYLEREF 1 \s ">
        <w:r>
          <w:rPr>
            <w:noProof/>
          </w:rPr>
          <w:t>4</w:t>
        </w:r>
      </w:fldSimple>
      <w:r>
        <w:noBreakHyphen/>
      </w:r>
      <w:fldSimple w:instr=" SEQ Table \* ARABIC \s 1 ">
        <w:r>
          <w:rPr>
            <w:noProof/>
          </w:rPr>
          <w:t>15</w:t>
        </w:r>
      </w:fldSimple>
      <w:r>
        <w:t>: Capacity Planning</w:t>
      </w:r>
      <w:bookmarkEnd w:id="79"/>
    </w:p>
    <w:p w14:paraId="404D2C41" w14:textId="0C531437" w:rsidR="006F00F7" w:rsidRPr="00F97E04" w:rsidRDefault="00FC3F08" w:rsidP="009A7247">
      <w:pPr>
        <w:pStyle w:val="Heading3"/>
      </w:pPr>
      <w:bookmarkStart w:id="80" w:name="_Toc211268658"/>
      <w:r>
        <w:t>System and Infrastructure Upgrade</w:t>
      </w:r>
      <w:bookmarkEnd w:id="80"/>
    </w:p>
    <w:p w14:paraId="2EAF6A9A" w14:textId="7B761ABE" w:rsidR="00277651" w:rsidRPr="00F97E04" w:rsidRDefault="006455AF" w:rsidP="00C2152C">
      <w:pPr>
        <w:pStyle w:val="MainBodyText0"/>
      </w:pPr>
      <w:r>
        <w:t>The M&amp;O team will follow structured processes for planning and executing both software and hardware system and infrastructure upgrades. Leveraging practical aids and specialized tools defined in the SADD, the team will track and manage all technical architecture updates to deliver upgrades that are systematically planned, executed, and documented. The MECM-TechOps-Patching-Calendar will be used to schedule and coordinate upgrade activities across all environments, while the Overview of Development and Architecture Code Review Process will guide the evaluation and validation of upgrade tasks to maintain quality, security, and compliance.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5665"/>
      </w:tblGrid>
      <w:tr w:rsidR="00F32658" w:rsidRPr="00F97E04" w14:paraId="374DE16D" w14:textId="77777777" w:rsidTr="000148BA">
        <w:trPr>
          <w:cantSplit/>
          <w:tblHeader/>
          <w:jc w:val="center"/>
        </w:trPr>
        <w:tc>
          <w:tcPr>
            <w:tcW w:w="3685" w:type="dxa"/>
            <w:tcBorders>
              <w:right w:val="single" w:sz="4" w:space="0" w:color="FFFFFF" w:themeColor="background1"/>
            </w:tcBorders>
            <w:shd w:val="clear" w:color="auto" w:fill="000000" w:themeFill="text1"/>
            <w:hideMark/>
          </w:tcPr>
          <w:p w14:paraId="46ABC5E3" w14:textId="77777777" w:rsidR="00F32658" w:rsidRPr="00F97E04" w:rsidRDefault="00F32658" w:rsidP="00376E58">
            <w:pPr>
              <w:spacing w:before="60" w:after="60"/>
              <w:rPr>
                <w:rFonts w:eastAsia="Times New Roman" w:cs="Times New Roman"/>
                <w:color w:val="FFFFFF" w:themeColor="background1"/>
              </w:rPr>
            </w:pPr>
            <w:r>
              <w:rPr>
                <w:b/>
              </w:rPr>
              <w:lastRenderedPageBreak/>
              <w:t xml:space="preserve">Process Name </w:t>
            </w:r>
          </w:p>
        </w:tc>
        <w:tc>
          <w:tcPr>
            <w:tcW w:w="5665" w:type="dxa"/>
            <w:tcBorders>
              <w:left w:val="single" w:sz="4" w:space="0" w:color="FFFFFF" w:themeColor="background1"/>
            </w:tcBorders>
            <w:shd w:val="clear" w:color="auto" w:fill="000000" w:themeFill="text1"/>
            <w:hideMark/>
          </w:tcPr>
          <w:p w14:paraId="46D3681C" w14:textId="77777777" w:rsidR="00F32658" w:rsidRPr="00F97E04" w:rsidRDefault="00F32658" w:rsidP="00376E58">
            <w:pPr>
              <w:spacing w:before="60" w:after="60"/>
              <w:rPr>
                <w:rFonts w:eastAsia="Times New Roman" w:cs="Times New Roman"/>
                <w:color w:val="FFFFFF" w:themeColor="background1"/>
              </w:rPr>
            </w:pPr>
            <w:r>
              <w:rPr>
                <w:b/>
              </w:rPr>
              <w:t>Description</w:t>
            </w:r>
          </w:p>
        </w:tc>
      </w:tr>
      <w:tr w:rsidR="00F32658" w:rsidRPr="00F97E04" w14:paraId="41119B3D" w14:textId="77777777" w:rsidTr="000148BA">
        <w:trPr>
          <w:trHeight w:val="443"/>
          <w:jc w:val="center"/>
        </w:trPr>
        <w:tc>
          <w:tcPr>
            <w:tcW w:w="3685" w:type="dxa"/>
            <w:tcBorders>
              <w:top w:val="single" w:sz="4" w:space="0" w:color="auto"/>
              <w:left w:val="single" w:sz="4" w:space="0" w:color="auto"/>
              <w:bottom w:val="single" w:sz="4" w:space="0" w:color="auto"/>
              <w:right w:val="single" w:sz="4" w:space="0" w:color="auto"/>
            </w:tcBorders>
            <w:hideMark/>
          </w:tcPr>
          <w:p w14:paraId="603567E3" w14:textId="5ED0F50B" w:rsidR="00F32658" w:rsidRPr="00F97E04" w:rsidRDefault="001031BE" w:rsidP="00376E58">
            <w:pPr>
              <w:spacing w:before="60" w:after="60"/>
              <w:rPr>
                <w:rFonts w:eastAsia="Times New Roman" w:cs="Times New Roman"/>
                <w:color w:val="000000"/>
              </w:rPr>
            </w:pPr>
            <w:r>
              <w:rPr>
                <w:rFonts w:cs="Arial"/>
              </w:rPr>
              <w:t>PTM-003_Manage the configuration of servers</w:t>
            </w:r>
          </w:p>
        </w:tc>
        <w:tc>
          <w:tcPr>
            <w:tcW w:w="5665" w:type="dxa"/>
            <w:tcBorders>
              <w:top w:val="single" w:sz="4" w:space="0" w:color="auto"/>
              <w:left w:val="single" w:sz="4" w:space="0" w:color="auto"/>
              <w:bottom w:val="single" w:sz="4" w:space="0" w:color="auto"/>
              <w:right w:val="single" w:sz="4" w:space="0" w:color="auto"/>
            </w:tcBorders>
            <w:hideMark/>
          </w:tcPr>
          <w:p w14:paraId="7BDF501E" w14:textId="108711B7" w:rsidR="00F32658" w:rsidRPr="00F97E04" w:rsidRDefault="00F32658" w:rsidP="00376E58">
            <w:pPr>
              <w:spacing w:before="60" w:after="60"/>
              <w:rPr>
                <w:rFonts w:eastAsia="Times New Roman" w:cs="Times New Roman"/>
                <w:color w:val="000000"/>
              </w:rPr>
            </w:pPr>
            <w:r>
              <w:rPr>
                <w:color w:val="000000"/>
              </w:rPr>
              <w:t>Server configuration changes are managed through service requests in the incident and problem management system, with oversight by the Deloitte Technical Manager, ensuring all updates to application and server settings are tracked and documented in version control and change logs.</w:t>
            </w:r>
          </w:p>
        </w:tc>
      </w:tr>
    </w:tbl>
    <w:p w14:paraId="71618EAF" w14:textId="5390FD4B" w:rsidR="00F32658" w:rsidRPr="00F97E04" w:rsidRDefault="00B23CB8" w:rsidP="00310DFA">
      <w:pPr>
        <w:pStyle w:val="Caption"/>
      </w:pPr>
      <w:bookmarkStart w:id="81" w:name="_Toc211268687"/>
      <w:r>
        <w:t xml:space="preserve">Table </w:t>
      </w:r>
      <w:fldSimple w:instr=" STYLEREF 1 \s ">
        <w:r>
          <w:rPr>
            <w:noProof/>
          </w:rPr>
          <w:t>4</w:t>
        </w:r>
      </w:fldSimple>
      <w:r>
        <w:noBreakHyphen/>
      </w:r>
      <w:fldSimple w:instr=" SEQ Table \* ARABIC \s 1 ">
        <w:r>
          <w:rPr>
            <w:noProof/>
          </w:rPr>
          <w:t>16</w:t>
        </w:r>
      </w:fldSimple>
      <w:r>
        <w:t>: System and Infrastructure Upgrade</w:t>
      </w:r>
      <w:bookmarkEnd w:id="81"/>
    </w:p>
    <w:p w14:paraId="636BAA25" w14:textId="3CDA5551" w:rsidR="007E4085" w:rsidRPr="00F97E04" w:rsidRDefault="00B139EB" w:rsidP="00333E40">
      <w:pPr>
        <w:pStyle w:val="MainBodyText"/>
        <w:rPr>
          <w:rFonts w:eastAsiaTheme="majorEastAsia" w:cstheme="majorBidi"/>
          <w:szCs w:val="24"/>
        </w:rPr>
      </w:pPr>
      <w:r>
        <w:rPr>
          <w:rFonts w:eastAsiaTheme="majorEastAsia" w:cstheme="majorBidi"/>
          <w:szCs w:val="24"/>
        </w:rPr>
        <w:t xml:space="preserve">Refer to Section 4.4.1 Architecture and Design Maintenance for the reference documents link and descriptions. </w:t>
      </w:r>
    </w:p>
    <w:p w14:paraId="3A5D7D85" w14:textId="4713C872" w:rsidR="00D409C3" w:rsidRPr="00F97E04" w:rsidRDefault="00D409C3" w:rsidP="009A7247">
      <w:pPr>
        <w:pStyle w:val="Heading3"/>
      </w:pPr>
      <w:bookmarkStart w:id="82" w:name="_Toc210652090"/>
      <w:bookmarkStart w:id="83" w:name="_Toc211268659"/>
      <w:bookmarkEnd w:id="82"/>
      <w:r>
        <w:t>System Patching</w:t>
      </w:r>
      <w:bookmarkEnd w:id="83"/>
      <w:r>
        <w:t xml:space="preserve"> </w:t>
      </w:r>
    </w:p>
    <w:p w14:paraId="2FA51EB9" w14:textId="7C9C71E4" w:rsidR="00D409C3" w:rsidRPr="00F97E04" w:rsidRDefault="00A318DC" w:rsidP="008508B1">
      <w:pPr>
        <w:pStyle w:val="MainBodyText0"/>
      </w:pPr>
      <w:bookmarkStart w:id="84" w:name="_Toc205292954"/>
      <w:bookmarkStart w:id="85" w:name="_Toc205370419"/>
      <w:bookmarkStart w:id="86" w:name="_Toc205534829"/>
      <w:bookmarkStart w:id="87" w:name="_Toc205539023"/>
      <w:bookmarkStart w:id="88" w:name="_Toc205882233"/>
      <w:bookmarkStart w:id="89" w:name="_Toc205884589"/>
      <w:bookmarkStart w:id="90" w:name="_Toc205992330"/>
      <w:bookmarkStart w:id="91" w:name="_Toc205995314"/>
      <w:bookmarkStart w:id="92" w:name="_Toc205995958"/>
      <w:r>
        <w:t xml:space="preserve">The M&amp;O team </w:t>
      </w:r>
      <w:r>
        <w:rPr>
          <w:bCs/>
        </w:rPr>
        <w:t>will utilize the resources and tools specified in the SADD, to perform all aspects of patching, including operating systems, containers, and databases, ensuring that updates are planned, implemented, and tracked efficiently. The MECM-TechOps-Patching-Calendar serves as a central tool for organizing and aligning patching schedules across different environments, helping to minimize service interruptions. To uphold standards for quality, security, and compliance, the team relies on the Overview of Development and Architecture Code Review Process to review and validate all patching activities throughout the lifecycle.</w:t>
      </w:r>
      <w:bookmarkEnd w:id="84"/>
      <w:bookmarkEnd w:id="85"/>
      <w:bookmarkEnd w:id="86"/>
      <w:bookmarkEnd w:id="87"/>
      <w:bookmarkEnd w:id="88"/>
      <w:bookmarkEnd w:id="89"/>
      <w:bookmarkEnd w:id="90"/>
      <w:bookmarkEnd w:id="91"/>
      <w:bookmarkEnd w:id="9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5665"/>
      </w:tblGrid>
      <w:tr w:rsidR="00B61016" w:rsidRPr="00F97E04" w14:paraId="0D0B73A0" w14:textId="77777777" w:rsidTr="00376E58">
        <w:trPr>
          <w:tblHeader/>
          <w:jc w:val="center"/>
        </w:trPr>
        <w:tc>
          <w:tcPr>
            <w:tcW w:w="3685" w:type="dxa"/>
            <w:tcBorders>
              <w:right w:val="single" w:sz="4" w:space="0" w:color="FFFFFF" w:themeColor="background1"/>
            </w:tcBorders>
            <w:shd w:val="clear" w:color="auto" w:fill="000000" w:themeFill="text1"/>
            <w:hideMark/>
          </w:tcPr>
          <w:p w14:paraId="15735B94" w14:textId="77777777" w:rsidR="00B61016" w:rsidRPr="00F97E04" w:rsidRDefault="00B61016" w:rsidP="00376E58">
            <w:pPr>
              <w:spacing w:before="60" w:after="60"/>
              <w:rPr>
                <w:rFonts w:eastAsia="Times New Roman" w:cs="Times New Roman"/>
                <w:color w:val="FFFFFF" w:themeColor="background1"/>
              </w:rPr>
            </w:pPr>
            <w:r>
              <w:rPr>
                <w:b/>
              </w:rPr>
              <w:t xml:space="preserve">Process Name </w:t>
            </w:r>
          </w:p>
        </w:tc>
        <w:tc>
          <w:tcPr>
            <w:tcW w:w="5665" w:type="dxa"/>
            <w:tcBorders>
              <w:left w:val="single" w:sz="4" w:space="0" w:color="FFFFFF" w:themeColor="background1"/>
            </w:tcBorders>
            <w:shd w:val="clear" w:color="auto" w:fill="000000" w:themeFill="text1"/>
            <w:hideMark/>
          </w:tcPr>
          <w:p w14:paraId="058CFE7B" w14:textId="77777777" w:rsidR="00B61016" w:rsidRPr="00F97E04" w:rsidRDefault="00B61016" w:rsidP="00376E58">
            <w:pPr>
              <w:spacing w:before="60" w:after="60"/>
              <w:rPr>
                <w:rFonts w:eastAsia="Times New Roman" w:cs="Times New Roman"/>
                <w:color w:val="FFFFFF" w:themeColor="background1"/>
              </w:rPr>
            </w:pPr>
            <w:r>
              <w:rPr>
                <w:b/>
              </w:rPr>
              <w:t>Description</w:t>
            </w:r>
          </w:p>
        </w:tc>
      </w:tr>
      <w:tr w:rsidR="00B61016" w:rsidRPr="00F97E04" w14:paraId="7D8BC5C5" w14:textId="77777777" w:rsidTr="00376E58">
        <w:trPr>
          <w:trHeight w:val="380"/>
          <w:jc w:val="center"/>
        </w:trPr>
        <w:tc>
          <w:tcPr>
            <w:tcW w:w="3685" w:type="dxa"/>
            <w:tcBorders>
              <w:top w:val="single" w:sz="4" w:space="0" w:color="auto"/>
              <w:left w:val="single" w:sz="4" w:space="0" w:color="auto"/>
              <w:bottom w:val="single" w:sz="4" w:space="0" w:color="auto"/>
              <w:right w:val="single" w:sz="4" w:space="0" w:color="auto"/>
            </w:tcBorders>
          </w:tcPr>
          <w:p w14:paraId="454D8EB4" w14:textId="49E366BA" w:rsidR="00B61016" w:rsidRPr="00F97E04" w:rsidRDefault="00A57560" w:rsidP="00376E58">
            <w:pPr>
              <w:keepNext/>
              <w:spacing w:before="60" w:after="60"/>
              <w:rPr>
                <w:rFonts w:eastAsia="Times New Roman" w:cs="Times New Roman"/>
                <w:color w:val="000000"/>
              </w:rPr>
            </w:pPr>
            <w:r>
              <w:rPr>
                <w:rFonts w:cs="Arial"/>
              </w:rPr>
              <w:t>PTM-004_Conduct Major COTS Version Upgrade Planning</w:t>
            </w:r>
          </w:p>
        </w:tc>
        <w:tc>
          <w:tcPr>
            <w:tcW w:w="5665" w:type="dxa"/>
            <w:tcBorders>
              <w:top w:val="single" w:sz="4" w:space="0" w:color="auto"/>
              <w:left w:val="single" w:sz="4" w:space="0" w:color="auto"/>
              <w:bottom w:val="single" w:sz="4" w:space="0" w:color="auto"/>
              <w:right w:val="single" w:sz="4" w:space="0" w:color="auto"/>
            </w:tcBorders>
          </w:tcPr>
          <w:p w14:paraId="4B685B84" w14:textId="3DB3CF9A" w:rsidR="00B61016" w:rsidRPr="00F97E04" w:rsidRDefault="00B61016" w:rsidP="00376E58">
            <w:pPr>
              <w:keepNext/>
              <w:spacing w:before="60" w:after="60"/>
              <w:rPr>
                <w:color w:val="000000"/>
              </w:rPr>
            </w:pPr>
            <w:r>
              <w:rPr>
                <w:color w:val="000000"/>
              </w:rPr>
              <w:t>The planning process for major upgrades of Commercial Off-the-Shelf (COTS) products involves assessing End of Life (EOL) and End of Support (EOS) dates, conducting impact analyses, and compatibility studies.</w:t>
            </w:r>
          </w:p>
        </w:tc>
      </w:tr>
    </w:tbl>
    <w:p w14:paraId="2E51DC0B" w14:textId="3397997D" w:rsidR="00B61016" w:rsidRPr="00F97E04" w:rsidRDefault="009D6787" w:rsidP="00310DFA">
      <w:pPr>
        <w:pStyle w:val="Caption"/>
      </w:pPr>
      <w:bookmarkStart w:id="93" w:name="_Toc211268688"/>
      <w:r>
        <w:t xml:space="preserve">Table </w:t>
      </w:r>
      <w:fldSimple w:instr=" STYLEREF 1 \s ">
        <w:r>
          <w:rPr>
            <w:noProof/>
          </w:rPr>
          <w:t>4</w:t>
        </w:r>
      </w:fldSimple>
      <w:r>
        <w:noBreakHyphen/>
      </w:r>
      <w:fldSimple w:instr=" SEQ Table \* ARABIC \s 1 ">
        <w:r>
          <w:rPr>
            <w:noProof/>
          </w:rPr>
          <w:t>17</w:t>
        </w:r>
      </w:fldSimple>
      <w:r>
        <w:t>: System Patching</w:t>
      </w:r>
      <w:bookmarkEnd w:id="93"/>
    </w:p>
    <w:p w14:paraId="7ED7698B" w14:textId="4DD2F035" w:rsidR="00176FC2" w:rsidRPr="00F97E04" w:rsidRDefault="00B139EB" w:rsidP="00176FC2">
      <w:pPr>
        <w:pStyle w:val="MainBodyText"/>
        <w:rPr>
          <w:rFonts w:eastAsiaTheme="majorEastAsia" w:cstheme="majorBidi"/>
          <w:szCs w:val="24"/>
        </w:rPr>
      </w:pPr>
      <w:r>
        <w:rPr>
          <w:rFonts w:eastAsiaTheme="majorEastAsia" w:cstheme="majorBidi"/>
          <w:szCs w:val="24"/>
        </w:rPr>
        <w:t xml:space="preserve">Refer to section 4.4.1 Architecture and Design Maintenance for the reference documents link and descriptions. </w:t>
      </w:r>
    </w:p>
    <w:p w14:paraId="60BEFF8C" w14:textId="0136DE25" w:rsidR="00F47682" w:rsidRPr="00F97E04" w:rsidRDefault="00941D03" w:rsidP="00E41BAC">
      <w:pPr>
        <w:pStyle w:val="Heading3"/>
      </w:pPr>
      <w:bookmarkStart w:id="94" w:name="_Toc210652092"/>
      <w:bookmarkStart w:id="95" w:name="_Toc211268660"/>
      <w:bookmarkEnd w:id="94"/>
      <w:r>
        <w:t>Asset Management</w:t>
      </w:r>
      <w:bookmarkEnd w:id="95"/>
    </w:p>
    <w:p w14:paraId="1A5E87A9" w14:textId="0E0323FB" w:rsidR="00F47682" w:rsidRPr="00F97E04" w:rsidRDefault="00E916F0" w:rsidP="00C2152C">
      <w:pPr>
        <w:pStyle w:val="MainBodyText0"/>
      </w:pPr>
      <w:r>
        <w:t>The M&amp;O team will follow structured processes for maintaining, upgrading, and retiring MECM system assets. It covers the structured decommissioning of obsolete software and hardware, planning and executing major COTS upgrades, managing server configurations, and overseeing the BOM with software and hardware time sensitive items renewals reminders.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5665"/>
      </w:tblGrid>
      <w:tr w:rsidR="00723C22" w:rsidRPr="00F97E04" w14:paraId="72912548" w14:textId="77777777" w:rsidTr="000148BA">
        <w:trPr>
          <w:tblHeader/>
          <w:jc w:val="center"/>
        </w:trPr>
        <w:tc>
          <w:tcPr>
            <w:tcW w:w="3685" w:type="dxa"/>
            <w:tcBorders>
              <w:right w:val="single" w:sz="4" w:space="0" w:color="FFFFFF" w:themeColor="background1"/>
            </w:tcBorders>
            <w:shd w:val="clear" w:color="auto" w:fill="000000" w:themeFill="text1"/>
            <w:hideMark/>
          </w:tcPr>
          <w:p w14:paraId="37872427" w14:textId="165209C2" w:rsidR="00723C22" w:rsidRPr="00F97E04" w:rsidRDefault="00723C22" w:rsidP="00376E58">
            <w:pPr>
              <w:spacing w:before="60" w:after="60"/>
              <w:rPr>
                <w:rFonts w:eastAsia="Times New Roman" w:cs="Times New Roman"/>
                <w:color w:val="FFFFFF" w:themeColor="background1"/>
              </w:rPr>
            </w:pPr>
            <w:r>
              <w:rPr>
                <w:b/>
              </w:rPr>
              <w:t xml:space="preserve">Process Name </w:t>
            </w:r>
          </w:p>
        </w:tc>
        <w:tc>
          <w:tcPr>
            <w:tcW w:w="5665" w:type="dxa"/>
            <w:tcBorders>
              <w:left w:val="single" w:sz="4" w:space="0" w:color="FFFFFF" w:themeColor="background1"/>
            </w:tcBorders>
            <w:shd w:val="clear" w:color="auto" w:fill="000000" w:themeFill="text1"/>
            <w:hideMark/>
          </w:tcPr>
          <w:p w14:paraId="5682CA21" w14:textId="7DE2FF31" w:rsidR="00723C22" w:rsidRPr="00F97E04" w:rsidRDefault="00723C22" w:rsidP="00376E58">
            <w:pPr>
              <w:spacing w:before="60" w:after="60"/>
              <w:rPr>
                <w:rFonts w:eastAsia="Times New Roman" w:cs="Times New Roman"/>
                <w:color w:val="FFFFFF" w:themeColor="background1"/>
              </w:rPr>
            </w:pPr>
            <w:r>
              <w:rPr>
                <w:b/>
              </w:rPr>
              <w:t>Description</w:t>
            </w:r>
          </w:p>
        </w:tc>
      </w:tr>
      <w:tr w:rsidR="00874498" w:rsidRPr="00F97E04" w14:paraId="0B397D13" w14:textId="77777777" w:rsidTr="000148BA">
        <w:trPr>
          <w:trHeight w:val="290"/>
          <w:jc w:val="center"/>
        </w:trPr>
        <w:tc>
          <w:tcPr>
            <w:tcW w:w="3685" w:type="dxa"/>
            <w:tcBorders>
              <w:top w:val="single" w:sz="4" w:space="0" w:color="auto"/>
              <w:left w:val="single" w:sz="4" w:space="0" w:color="auto"/>
              <w:bottom w:val="single" w:sz="4" w:space="0" w:color="auto"/>
              <w:right w:val="single" w:sz="4" w:space="0" w:color="auto"/>
            </w:tcBorders>
          </w:tcPr>
          <w:p w14:paraId="03C4D171" w14:textId="6A6DAB6F" w:rsidR="00874498" w:rsidRPr="00F97E04" w:rsidRDefault="000C3132" w:rsidP="00376E58">
            <w:pPr>
              <w:spacing w:before="60" w:after="60"/>
              <w:rPr>
                <w:rFonts w:eastAsia="Times New Roman" w:cs="Times New Roman"/>
                <w:color w:val="000000"/>
              </w:rPr>
            </w:pPr>
            <w:r>
              <w:rPr>
                <w:rFonts w:cs="Arial"/>
              </w:rPr>
              <w:t>PTM-005_Manage the decommissioning of software and hardware assets</w:t>
            </w:r>
          </w:p>
        </w:tc>
        <w:tc>
          <w:tcPr>
            <w:tcW w:w="5665" w:type="dxa"/>
            <w:tcBorders>
              <w:top w:val="single" w:sz="4" w:space="0" w:color="auto"/>
              <w:left w:val="single" w:sz="4" w:space="0" w:color="auto"/>
              <w:bottom w:val="single" w:sz="4" w:space="0" w:color="auto"/>
              <w:right w:val="single" w:sz="4" w:space="0" w:color="auto"/>
            </w:tcBorders>
          </w:tcPr>
          <w:p w14:paraId="30A37E85" w14:textId="242C54E3" w:rsidR="00874498" w:rsidRPr="00F97E04" w:rsidRDefault="00820E7B" w:rsidP="00376E58">
            <w:pPr>
              <w:spacing w:before="60" w:after="60"/>
              <w:rPr>
                <w:rFonts w:eastAsia="Times New Roman" w:cs="Times New Roman"/>
                <w:color w:val="000000"/>
              </w:rPr>
            </w:pPr>
            <w:r>
              <w:rPr>
                <w:rFonts w:eastAsia="Verdana" w:cs="Verdana"/>
                <w:color w:val="000000"/>
              </w:rPr>
              <w:t>End-of-life software and hardware assets are identified and reviewed by the Deloitte Technical team, with decommissioning managed through change requests, BOM and configuration updates, a 30-day hardware observation period, and non-renewal of expired software licenses.</w:t>
            </w:r>
          </w:p>
        </w:tc>
      </w:tr>
      <w:tr w:rsidR="00874498" w:rsidRPr="00F97E04" w14:paraId="41233057" w14:textId="77777777" w:rsidTr="000148BA">
        <w:trPr>
          <w:trHeight w:val="290"/>
          <w:jc w:val="center"/>
        </w:trPr>
        <w:tc>
          <w:tcPr>
            <w:tcW w:w="3685" w:type="dxa"/>
            <w:tcBorders>
              <w:top w:val="single" w:sz="4" w:space="0" w:color="auto"/>
              <w:left w:val="single" w:sz="4" w:space="0" w:color="auto"/>
              <w:bottom w:val="single" w:sz="4" w:space="0" w:color="auto"/>
              <w:right w:val="single" w:sz="4" w:space="0" w:color="auto"/>
            </w:tcBorders>
            <w:hideMark/>
          </w:tcPr>
          <w:p w14:paraId="232B1CB6" w14:textId="5509C0E7" w:rsidR="00874498" w:rsidRPr="00F97E04" w:rsidRDefault="000C3132" w:rsidP="00376E58">
            <w:pPr>
              <w:spacing w:before="60" w:after="60"/>
              <w:rPr>
                <w:rFonts w:eastAsia="Times New Roman" w:cs="Times New Roman"/>
                <w:color w:val="000000"/>
              </w:rPr>
            </w:pPr>
            <w:r>
              <w:rPr>
                <w:rFonts w:cs="Arial"/>
              </w:rPr>
              <w:t>PTM_006_Manage the Bill of Materials with Software Passwords and Certificates Renewals Reminders</w:t>
            </w:r>
          </w:p>
        </w:tc>
        <w:tc>
          <w:tcPr>
            <w:tcW w:w="5665" w:type="dxa"/>
            <w:tcBorders>
              <w:top w:val="single" w:sz="4" w:space="0" w:color="auto"/>
              <w:left w:val="single" w:sz="4" w:space="0" w:color="auto"/>
              <w:bottom w:val="single" w:sz="4" w:space="0" w:color="auto"/>
              <w:right w:val="single" w:sz="4" w:space="0" w:color="auto"/>
            </w:tcBorders>
            <w:hideMark/>
          </w:tcPr>
          <w:p w14:paraId="47F946F0" w14:textId="2063BE24" w:rsidR="00874498" w:rsidRPr="00F97E04" w:rsidRDefault="00660915" w:rsidP="00376E58">
            <w:pPr>
              <w:spacing w:before="60" w:after="60"/>
              <w:rPr>
                <w:rFonts w:eastAsia="Times New Roman" w:cs="Times New Roman"/>
                <w:color w:val="000000"/>
              </w:rPr>
            </w:pPr>
            <w:r>
              <w:rPr>
                <w:color w:val="000000"/>
              </w:rPr>
              <w:t>Time-sensitive details for the MECM BOM are managed through action items in the incident and problem management system, where tickets are used to track license, certificates and passwords expirations and automatically notify technical staff of upcoming renewals.</w:t>
            </w:r>
          </w:p>
        </w:tc>
      </w:tr>
      <w:tr w:rsidR="00361F29" w:rsidRPr="00F97E04" w14:paraId="72F32C57" w14:textId="77777777" w:rsidTr="000148BA">
        <w:trPr>
          <w:trHeight w:val="290"/>
          <w:jc w:val="center"/>
        </w:trPr>
        <w:tc>
          <w:tcPr>
            <w:tcW w:w="3685" w:type="dxa"/>
            <w:tcBorders>
              <w:top w:val="single" w:sz="4" w:space="0" w:color="auto"/>
              <w:left w:val="single" w:sz="4" w:space="0" w:color="auto"/>
              <w:bottom w:val="single" w:sz="4" w:space="0" w:color="auto"/>
              <w:right w:val="single" w:sz="4" w:space="0" w:color="auto"/>
            </w:tcBorders>
          </w:tcPr>
          <w:p w14:paraId="0B01507E" w14:textId="42AA64B3" w:rsidR="00361F29" w:rsidRPr="00F97E04" w:rsidRDefault="00A74370" w:rsidP="00376E58">
            <w:pPr>
              <w:spacing w:before="60" w:after="60"/>
            </w:pPr>
            <w:r>
              <w:t>Del.27_Cloud Finance and Operations Management Plan.docx</w:t>
            </w:r>
          </w:p>
        </w:tc>
        <w:tc>
          <w:tcPr>
            <w:tcW w:w="5665" w:type="dxa"/>
            <w:tcBorders>
              <w:top w:val="single" w:sz="4" w:space="0" w:color="auto"/>
              <w:left w:val="single" w:sz="4" w:space="0" w:color="auto"/>
              <w:bottom w:val="single" w:sz="4" w:space="0" w:color="auto"/>
              <w:right w:val="single" w:sz="4" w:space="0" w:color="auto"/>
            </w:tcBorders>
          </w:tcPr>
          <w:p w14:paraId="4C79AD1E" w14:textId="73ACA21F" w:rsidR="00361F29" w:rsidRPr="00F97E04" w:rsidRDefault="00330D81" w:rsidP="00376E58">
            <w:pPr>
              <w:spacing w:before="60" w:after="60"/>
              <w:rPr>
                <w:color w:val="000000"/>
              </w:rPr>
            </w:pPr>
            <w:r>
              <w:rPr>
                <w:color w:val="000000"/>
              </w:rPr>
              <w:t xml:space="preserve">This document outlines the procedures and guidelines for the team that operates and maintains the MECM Cloud environment, which is primarily hosted on the AWS </w:t>
            </w:r>
            <w:r>
              <w:rPr>
                <w:color w:val="000000"/>
              </w:rPr>
              <w:lastRenderedPageBreak/>
              <w:t>GovCloud platform, with a chatbot component hosted on the Google Cloud Platform (GCP).</w:t>
            </w:r>
          </w:p>
        </w:tc>
      </w:tr>
    </w:tbl>
    <w:p w14:paraId="319B795F" w14:textId="68AA7825" w:rsidR="00723C22" w:rsidRPr="00F97E04" w:rsidRDefault="009D6787" w:rsidP="00310DFA">
      <w:pPr>
        <w:pStyle w:val="Caption"/>
      </w:pPr>
      <w:bookmarkStart w:id="96" w:name="_Toc211268689"/>
      <w:r>
        <w:lastRenderedPageBreak/>
        <w:t xml:space="preserve">Table </w:t>
      </w:r>
      <w:fldSimple w:instr=" STYLEREF 1 \s ">
        <w:r>
          <w:rPr>
            <w:noProof/>
          </w:rPr>
          <w:t>4</w:t>
        </w:r>
      </w:fldSimple>
      <w:r>
        <w:noBreakHyphen/>
      </w:r>
      <w:fldSimple w:instr=" SEQ Table \* ARABIC \s 1 ">
        <w:r>
          <w:rPr>
            <w:noProof/>
          </w:rPr>
          <w:t>18</w:t>
        </w:r>
      </w:fldSimple>
      <w:r>
        <w:t>: Asset Management</w:t>
      </w:r>
      <w:bookmarkEnd w:id="96"/>
    </w:p>
    <w:p w14:paraId="2C03CE52" w14:textId="2682AE55" w:rsidR="00FC3F08" w:rsidRPr="00F97E04" w:rsidRDefault="00FC3F08" w:rsidP="00E41BAC">
      <w:pPr>
        <w:pStyle w:val="Heading2"/>
        <w:rPr>
          <w:noProof w:val="0"/>
        </w:rPr>
      </w:pPr>
      <w:bookmarkStart w:id="97" w:name="_Toc211268661"/>
      <w:r>
        <w:rPr>
          <w:noProof w:val="0"/>
        </w:rPr>
        <w:t>Approach to Monitoring Daily Operational Performance</w:t>
      </w:r>
      <w:bookmarkEnd w:id="97"/>
    </w:p>
    <w:p w14:paraId="290EF3B6" w14:textId="0EA454AE" w:rsidR="00FC3F08" w:rsidRPr="00F97E04" w:rsidRDefault="00FC3F08" w:rsidP="00C2152C">
      <w:pPr>
        <w:pStyle w:val="MainBodyText0"/>
      </w:pPr>
      <w:r>
        <w:t>The following sections outline the processes for effectively monitoring daily operational performance within the MECM system.</w:t>
      </w:r>
    </w:p>
    <w:p w14:paraId="3DA85161" w14:textId="6330BD09" w:rsidR="00FC3F08" w:rsidRPr="00F97E04" w:rsidRDefault="00FC3F08" w:rsidP="00E41BAC">
      <w:pPr>
        <w:pStyle w:val="Heading3"/>
      </w:pPr>
      <w:bookmarkStart w:id="98" w:name="_Toc210652095"/>
      <w:bookmarkStart w:id="99" w:name="_Toc211268662"/>
      <w:bookmarkEnd w:id="98"/>
      <w:r>
        <w:t>System Monitoring</w:t>
      </w:r>
      <w:bookmarkEnd w:id="99"/>
    </w:p>
    <w:p w14:paraId="7D46BBEB" w14:textId="1341437F" w:rsidR="00FC3F08" w:rsidRPr="00F97E04" w:rsidRDefault="00D9790D" w:rsidP="00C2152C">
      <w:pPr>
        <w:pStyle w:val="MainBodyText0"/>
      </w:pPr>
      <w:bookmarkStart w:id="100" w:name="_Toc205292958"/>
      <w:bookmarkStart w:id="101" w:name="_Toc205370423"/>
      <w:bookmarkStart w:id="102" w:name="_Toc205534833"/>
      <w:bookmarkStart w:id="103" w:name="_Toc205539027"/>
      <w:bookmarkStart w:id="104" w:name="_Toc205882237"/>
      <w:bookmarkStart w:id="105" w:name="_Toc205884593"/>
      <w:bookmarkStart w:id="106" w:name="_Toc205992334"/>
      <w:bookmarkStart w:id="107" w:name="_Toc205995318"/>
      <w:bookmarkStart w:id="108" w:name="_Toc205995962"/>
      <w:r>
        <w:t>This section will describe the overarching framework and processes for monitoring system performance and health to enable operational efficiency.</w:t>
      </w:r>
      <w:bookmarkEnd w:id="100"/>
      <w:bookmarkEnd w:id="101"/>
      <w:bookmarkEnd w:id="102"/>
      <w:bookmarkEnd w:id="103"/>
      <w:bookmarkEnd w:id="104"/>
      <w:bookmarkEnd w:id="105"/>
      <w:bookmarkEnd w:id="106"/>
      <w:bookmarkEnd w:id="107"/>
      <w:bookmarkEnd w:id="108"/>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664"/>
      </w:tblGrid>
      <w:tr w:rsidR="00723C22" w:rsidRPr="00F97E04" w14:paraId="6D6670C7" w14:textId="77777777" w:rsidTr="00E773E6">
        <w:trPr>
          <w:cantSplit/>
          <w:tblHeader/>
          <w:jc w:val="center"/>
        </w:trPr>
        <w:tc>
          <w:tcPr>
            <w:tcW w:w="1971" w:type="pct"/>
            <w:tcBorders>
              <w:right w:val="single" w:sz="4" w:space="0" w:color="FFFFFF" w:themeColor="background1"/>
            </w:tcBorders>
            <w:shd w:val="clear" w:color="auto" w:fill="000000" w:themeFill="text1"/>
          </w:tcPr>
          <w:p w14:paraId="3D9092B6" w14:textId="4F4A3CD8" w:rsidR="00723C22" w:rsidRPr="00F97E04" w:rsidRDefault="00723C22" w:rsidP="00376E58">
            <w:pPr>
              <w:spacing w:before="60" w:after="60"/>
              <w:rPr>
                <w:b/>
                <w:lang w:val="en-US"/>
              </w:rPr>
            </w:pPr>
            <w:r>
              <w:rPr>
                <w:b/>
                <w:lang w:val="en-US"/>
              </w:rPr>
              <w:t xml:space="preserve">Process Name </w:t>
            </w:r>
          </w:p>
        </w:tc>
        <w:tc>
          <w:tcPr>
            <w:tcW w:w="3029" w:type="pct"/>
            <w:tcBorders>
              <w:left w:val="single" w:sz="4" w:space="0" w:color="FFFFFF" w:themeColor="background1"/>
            </w:tcBorders>
            <w:shd w:val="clear" w:color="auto" w:fill="000000" w:themeFill="text1"/>
          </w:tcPr>
          <w:p w14:paraId="6E592828" w14:textId="0290D1B7" w:rsidR="00723C22" w:rsidRPr="00F97E04" w:rsidRDefault="00723C22" w:rsidP="00376E58">
            <w:pPr>
              <w:spacing w:before="60" w:after="60"/>
              <w:rPr>
                <w:b/>
                <w:lang w:val="en-US"/>
              </w:rPr>
            </w:pPr>
            <w:r>
              <w:rPr>
                <w:b/>
                <w:lang w:val="en-US"/>
              </w:rPr>
              <w:t>Description</w:t>
            </w:r>
          </w:p>
        </w:tc>
      </w:tr>
      <w:tr w:rsidR="00A73BA4" w:rsidRPr="00F97E04" w14:paraId="01B8E6E6" w14:textId="77777777" w:rsidTr="00E773E6">
        <w:trPr>
          <w:cantSplit/>
          <w:jc w:val="center"/>
        </w:trPr>
        <w:tc>
          <w:tcPr>
            <w:tcW w:w="1971" w:type="pct"/>
          </w:tcPr>
          <w:p w14:paraId="76D0F218" w14:textId="184E6F29" w:rsidR="00A73BA4" w:rsidRPr="00F97E04" w:rsidRDefault="0016326D" w:rsidP="00376E58">
            <w:pPr>
              <w:spacing w:before="60" w:after="60"/>
              <w:rPr>
                <w:rFonts w:cs="Arial"/>
                <w:lang w:val="en-US"/>
              </w:rPr>
            </w:pPr>
            <w:r>
              <w:rPr>
                <w:rFonts w:cs="Arial"/>
                <w:lang w:val="en-US"/>
              </w:rPr>
              <w:t>MDOP-001_MECM System Monitoring</w:t>
            </w:r>
          </w:p>
        </w:tc>
        <w:tc>
          <w:tcPr>
            <w:tcW w:w="3029" w:type="pct"/>
          </w:tcPr>
          <w:p w14:paraId="48E4846B" w14:textId="4E1D485D" w:rsidR="00A73BA4" w:rsidRPr="00F97E04" w:rsidRDefault="00E82AB9" w:rsidP="00376E58">
            <w:pPr>
              <w:spacing w:before="60" w:after="60"/>
              <w:rPr>
                <w:rFonts w:cs="Arial"/>
                <w:color w:val="000000" w:themeColor="text1"/>
                <w:lang w:val="en-US"/>
              </w:rPr>
            </w:pPr>
            <w:r>
              <w:rPr>
                <w:rFonts w:cs="Arial"/>
                <w:color w:val="000000" w:themeColor="text1"/>
                <w:lang w:val="en-US"/>
              </w:rPr>
              <w:t>This process outlines how the M&amp;O team responds when security information and event management (SIEM) or application performance monitoring (APM) alerts indicate that a component of the architecture has reached a warning or error level.</w:t>
            </w:r>
          </w:p>
        </w:tc>
      </w:tr>
    </w:tbl>
    <w:p w14:paraId="7E1F642A" w14:textId="3DD29897" w:rsidR="0020741C" w:rsidRPr="00F97E04" w:rsidRDefault="00E970D5" w:rsidP="00310DFA">
      <w:pPr>
        <w:pStyle w:val="Caption"/>
      </w:pPr>
      <w:bookmarkStart w:id="109" w:name="_Toc211268690"/>
      <w:r>
        <w:t xml:space="preserve">Table </w:t>
      </w:r>
      <w:fldSimple w:instr=" STYLEREF 1 \s ">
        <w:r>
          <w:rPr>
            <w:noProof/>
          </w:rPr>
          <w:t>4</w:t>
        </w:r>
      </w:fldSimple>
      <w:r>
        <w:noBreakHyphen/>
      </w:r>
      <w:fldSimple w:instr=" SEQ Table \* ARABIC \s 1 ">
        <w:r>
          <w:rPr>
            <w:noProof/>
          </w:rPr>
          <w:t>19</w:t>
        </w:r>
      </w:fldSimple>
      <w:r>
        <w:t>: System Monitoring</w:t>
      </w:r>
      <w:bookmarkEnd w:id="109"/>
    </w:p>
    <w:p w14:paraId="1DA423BB" w14:textId="43C3D73A" w:rsidR="00FC3F08" w:rsidRPr="00F97E04" w:rsidRDefault="00FC3F08" w:rsidP="00E41BAC">
      <w:pPr>
        <w:pStyle w:val="Heading3"/>
      </w:pPr>
      <w:bookmarkStart w:id="110" w:name="_Toc210652097"/>
      <w:bookmarkStart w:id="111" w:name="_Toc211268663"/>
      <w:bookmarkEnd w:id="110"/>
      <w:r>
        <w:t>Infrastructure Monitoring</w:t>
      </w:r>
      <w:bookmarkEnd w:id="111"/>
    </w:p>
    <w:p w14:paraId="3CFB6C10" w14:textId="77777777" w:rsidR="00FC3F08" w:rsidRPr="00F97E04" w:rsidRDefault="00FC3F08" w:rsidP="00054E4F">
      <w:pPr>
        <w:pStyle w:val="MainBodyText0"/>
      </w:pPr>
      <w:r>
        <w:t>This section will detail the processes for monitoring infrastructure components to maintain optimal performance and reliability.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5665"/>
      </w:tblGrid>
      <w:tr w:rsidR="00723C22" w:rsidRPr="00F97E04" w14:paraId="3F26983D" w14:textId="77777777" w:rsidTr="00E773E6">
        <w:trPr>
          <w:cantSplit/>
          <w:trHeight w:val="350"/>
          <w:tblHeader/>
          <w:jc w:val="center"/>
        </w:trPr>
        <w:tc>
          <w:tcPr>
            <w:tcW w:w="3685" w:type="dxa"/>
            <w:tcBorders>
              <w:right w:val="single" w:sz="4" w:space="0" w:color="FFFFFF" w:themeColor="background1"/>
            </w:tcBorders>
            <w:shd w:val="clear" w:color="auto" w:fill="000000" w:themeFill="text1"/>
          </w:tcPr>
          <w:p w14:paraId="1507E2DE" w14:textId="5F77AD15" w:rsidR="00723C22" w:rsidRPr="00F97E04" w:rsidRDefault="00723C22" w:rsidP="00376E58">
            <w:pPr>
              <w:pStyle w:val="TABLEHEADINGNEW"/>
              <w:spacing w:line="240" w:lineRule="atLeast"/>
              <w:rPr>
                <w:color w:val="000000"/>
              </w:rPr>
            </w:pPr>
            <w:r>
              <w:t xml:space="preserve">Process Name </w:t>
            </w:r>
          </w:p>
        </w:tc>
        <w:tc>
          <w:tcPr>
            <w:tcW w:w="5665" w:type="dxa"/>
            <w:tcBorders>
              <w:left w:val="single" w:sz="4" w:space="0" w:color="FFFFFF" w:themeColor="background1"/>
            </w:tcBorders>
            <w:shd w:val="clear" w:color="auto" w:fill="000000" w:themeFill="text1"/>
          </w:tcPr>
          <w:p w14:paraId="6A97084E" w14:textId="350D6786" w:rsidR="00723C22" w:rsidRPr="00F97E04" w:rsidRDefault="00723C22" w:rsidP="00376E58">
            <w:pPr>
              <w:pStyle w:val="TABLEHEADINGNEW"/>
              <w:spacing w:line="240" w:lineRule="atLeast"/>
              <w:rPr>
                <w:color w:val="000000"/>
              </w:rPr>
            </w:pPr>
            <w:r>
              <w:t>Description</w:t>
            </w:r>
          </w:p>
        </w:tc>
      </w:tr>
      <w:tr w:rsidR="003574F9" w:rsidRPr="00F97E04" w14:paraId="4760117E" w14:textId="77777777" w:rsidTr="00E773E6">
        <w:trPr>
          <w:cantSplit/>
          <w:trHeight w:val="470"/>
          <w:jc w:val="center"/>
        </w:trPr>
        <w:tc>
          <w:tcPr>
            <w:tcW w:w="3685" w:type="dxa"/>
            <w:hideMark/>
          </w:tcPr>
          <w:p w14:paraId="46DAB77D" w14:textId="44B4B402" w:rsidR="003574F9" w:rsidRPr="00F97E04" w:rsidRDefault="003946B9" w:rsidP="00376E58">
            <w:pPr>
              <w:pStyle w:val="Tabletext"/>
              <w:spacing w:before="60" w:after="60" w:line="240" w:lineRule="atLeast"/>
              <w:rPr>
                <w:rFonts w:cs="Times New Roman"/>
                <w:color w:val="000000"/>
              </w:rPr>
            </w:pPr>
            <w:r>
              <w:t>MDOP-002_Monitor Network Utilization</w:t>
            </w:r>
          </w:p>
        </w:tc>
        <w:tc>
          <w:tcPr>
            <w:tcW w:w="5665" w:type="dxa"/>
            <w:hideMark/>
          </w:tcPr>
          <w:p w14:paraId="4FBE0203" w14:textId="6462BD70" w:rsidR="003574F9" w:rsidRPr="00F97E04" w:rsidRDefault="00393C7A" w:rsidP="00376E58">
            <w:pPr>
              <w:pStyle w:val="Tabletext"/>
              <w:spacing w:before="60" w:after="60" w:line="240" w:lineRule="atLeast"/>
              <w:rPr>
                <w:color w:val="000000"/>
              </w:rPr>
            </w:pPr>
            <w:r>
              <w:t>This process provides the steps for Deloitte to request MECM TechOps to perform analysis that confirms that end users have acceptable system experience and an adequate amount of network bandwidth.</w:t>
            </w:r>
          </w:p>
        </w:tc>
      </w:tr>
    </w:tbl>
    <w:p w14:paraId="6BA58E54" w14:textId="1E304159" w:rsidR="002C6466" w:rsidRPr="00F97E04" w:rsidRDefault="001648BA" w:rsidP="00310DFA">
      <w:pPr>
        <w:pStyle w:val="Caption"/>
      </w:pPr>
      <w:bookmarkStart w:id="112" w:name="_Toc211268691"/>
      <w:r>
        <w:t xml:space="preserve">Table </w:t>
      </w:r>
      <w:fldSimple w:instr=" STYLEREF 1 \s ">
        <w:r>
          <w:rPr>
            <w:noProof/>
          </w:rPr>
          <w:t>4</w:t>
        </w:r>
      </w:fldSimple>
      <w:r>
        <w:noBreakHyphen/>
      </w:r>
      <w:fldSimple w:instr=" SEQ Table \* ARABIC \s 1 ">
        <w:r>
          <w:rPr>
            <w:noProof/>
          </w:rPr>
          <w:t>20</w:t>
        </w:r>
      </w:fldSimple>
      <w:r>
        <w:t>: Infrastructure Monitoring</w:t>
      </w:r>
      <w:bookmarkEnd w:id="112"/>
    </w:p>
    <w:p w14:paraId="146D8552" w14:textId="1230D7C0" w:rsidR="00FC3F08" w:rsidRPr="00F97E04" w:rsidRDefault="00FC3F08" w:rsidP="00E41BAC">
      <w:pPr>
        <w:pStyle w:val="Heading3"/>
      </w:pPr>
      <w:bookmarkStart w:id="113" w:name="_Toc211268664"/>
      <w:r>
        <w:t>Application Monitoring</w:t>
      </w:r>
      <w:bookmarkEnd w:id="113"/>
    </w:p>
    <w:p w14:paraId="48A056A8" w14:textId="4D32F018" w:rsidR="00FC3F08" w:rsidRPr="00F97E04" w:rsidRDefault="00FC3F08" w:rsidP="00054E4F">
      <w:pPr>
        <w:pStyle w:val="MainBodyText0"/>
      </w:pPr>
      <w:r>
        <w:t>This section will outline the procedures for tracking application performance to promote consistent functionality and user satisfaction.</w:t>
      </w:r>
    </w:p>
    <w:tbl>
      <w:tblPr>
        <w:tblW w:w="5000" w:type="pct"/>
        <w:jc w:val="center"/>
        <w:tblLook w:val="04A0" w:firstRow="1" w:lastRow="0" w:firstColumn="1" w:lastColumn="0" w:noHBand="0" w:noVBand="1"/>
      </w:tblPr>
      <w:tblGrid>
        <w:gridCol w:w="3595"/>
        <w:gridCol w:w="5755"/>
      </w:tblGrid>
      <w:tr w:rsidR="00723C22" w:rsidRPr="00F97E04" w14:paraId="5B52A8AA" w14:textId="77777777" w:rsidTr="00B54ADC">
        <w:trPr>
          <w:cantSplit/>
          <w:tblHeader/>
          <w:jc w:val="center"/>
        </w:trPr>
        <w:tc>
          <w:tcPr>
            <w:tcW w:w="3595" w:type="dxa"/>
            <w:tcBorders>
              <w:top w:val="single" w:sz="4" w:space="0" w:color="auto"/>
              <w:left w:val="single" w:sz="4" w:space="0" w:color="auto"/>
              <w:bottom w:val="single" w:sz="4" w:space="0" w:color="auto"/>
              <w:right w:val="single" w:sz="4" w:space="0" w:color="FFFFFF" w:themeColor="background1"/>
            </w:tcBorders>
            <w:shd w:val="clear" w:color="auto" w:fill="000000" w:themeFill="text1"/>
            <w:hideMark/>
          </w:tcPr>
          <w:p w14:paraId="1C03D802" w14:textId="6F6ED212" w:rsidR="00723C22" w:rsidRPr="00F97E04" w:rsidRDefault="00723C22" w:rsidP="00376E58">
            <w:pPr>
              <w:spacing w:before="60" w:after="60"/>
              <w:rPr>
                <w:rFonts w:eastAsia="Times New Roman" w:cs="Times New Roman"/>
                <w:b/>
                <w:color w:val="FFFFFF" w:themeColor="background1"/>
              </w:rPr>
            </w:pPr>
            <w:r>
              <w:rPr>
                <w:b/>
              </w:rPr>
              <w:t xml:space="preserve">Process Name </w:t>
            </w:r>
          </w:p>
        </w:tc>
        <w:tc>
          <w:tcPr>
            <w:tcW w:w="5755" w:type="dxa"/>
            <w:tcBorders>
              <w:top w:val="single" w:sz="4" w:space="0" w:color="auto"/>
              <w:left w:val="single" w:sz="4" w:space="0" w:color="FFFFFF" w:themeColor="background1"/>
              <w:bottom w:val="single" w:sz="4" w:space="0" w:color="auto"/>
              <w:right w:val="single" w:sz="4" w:space="0" w:color="auto"/>
            </w:tcBorders>
            <w:shd w:val="clear" w:color="auto" w:fill="000000" w:themeFill="text1"/>
            <w:hideMark/>
          </w:tcPr>
          <w:p w14:paraId="5A827F18" w14:textId="3E229BB4" w:rsidR="00723C22" w:rsidRPr="00F97E04" w:rsidRDefault="00723C22" w:rsidP="00376E58">
            <w:pPr>
              <w:spacing w:before="60" w:after="60"/>
              <w:rPr>
                <w:rFonts w:eastAsia="Times New Roman" w:cs="Times New Roman"/>
                <w:b/>
                <w:color w:val="FFFFFF" w:themeColor="background1"/>
              </w:rPr>
            </w:pPr>
            <w:r>
              <w:rPr>
                <w:b/>
              </w:rPr>
              <w:t>Description</w:t>
            </w:r>
          </w:p>
        </w:tc>
      </w:tr>
      <w:tr w:rsidR="00F5132E" w:rsidRPr="00F97E04" w14:paraId="716984DE" w14:textId="77777777" w:rsidTr="00B54ADC">
        <w:trPr>
          <w:cantSplit/>
          <w:jc w:val="center"/>
        </w:trPr>
        <w:tc>
          <w:tcPr>
            <w:tcW w:w="3595" w:type="dxa"/>
            <w:tcBorders>
              <w:top w:val="single" w:sz="4" w:space="0" w:color="auto"/>
              <w:left w:val="single" w:sz="4" w:space="0" w:color="auto"/>
              <w:bottom w:val="single" w:sz="4" w:space="0" w:color="auto"/>
              <w:right w:val="single" w:sz="4" w:space="0" w:color="auto"/>
            </w:tcBorders>
            <w:hideMark/>
          </w:tcPr>
          <w:p w14:paraId="7936170E" w14:textId="1F823041" w:rsidR="00F5132E" w:rsidRPr="00F97E04" w:rsidRDefault="00DB4DF2" w:rsidP="00376E58">
            <w:pPr>
              <w:spacing w:before="60" w:after="60"/>
              <w:rPr>
                <w:rFonts w:eastAsia="Times New Roman" w:cs="Times New Roman"/>
                <w:color w:val="000000"/>
              </w:rPr>
            </w:pPr>
            <w:r>
              <w:rPr>
                <w:rFonts w:cs="Arial"/>
              </w:rPr>
              <w:t>MDOP-003_Manage Usage Analytics for all Portals During M&amp;O</w:t>
            </w:r>
          </w:p>
        </w:tc>
        <w:tc>
          <w:tcPr>
            <w:tcW w:w="5755" w:type="dxa"/>
            <w:tcBorders>
              <w:top w:val="single" w:sz="4" w:space="0" w:color="auto"/>
              <w:left w:val="single" w:sz="4" w:space="0" w:color="auto"/>
              <w:bottom w:val="single" w:sz="4" w:space="0" w:color="auto"/>
              <w:right w:val="single" w:sz="4" w:space="0" w:color="auto"/>
            </w:tcBorders>
            <w:hideMark/>
          </w:tcPr>
          <w:p w14:paraId="2B1F78C9" w14:textId="491B270D" w:rsidR="00F5132E" w:rsidRPr="00F97E04" w:rsidRDefault="00794FC8" w:rsidP="00376E58">
            <w:pPr>
              <w:spacing w:before="60" w:after="60"/>
              <w:rPr>
                <w:rFonts w:eastAsia="Times New Roman" w:cs="Times New Roman"/>
                <w:color w:val="000000"/>
              </w:rPr>
            </w:pPr>
            <w:r>
              <w:rPr>
                <w:rFonts w:eastAsia="Times New Roman" w:cs="Times New Roman"/>
                <w:color w:val="000000"/>
              </w:rPr>
              <w:t>To provide better overall insight into the usage of MECM applications, the MECM team will utilize the application performance monitoring tool to outline the categories of usage analytics that will be gathered and reported on during M&amp;O.</w:t>
            </w:r>
          </w:p>
        </w:tc>
      </w:tr>
    </w:tbl>
    <w:p w14:paraId="3316C930" w14:textId="4E8D564A" w:rsidR="00D468A4" w:rsidRPr="00F97E04" w:rsidRDefault="00D468A4" w:rsidP="00310DFA">
      <w:pPr>
        <w:pStyle w:val="Caption"/>
      </w:pPr>
      <w:bookmarkStart w:id="114" w:name="_Toc211268692"/>
      <w:r>
        <w:t xml:space="preserve">Table </w:t>
      </w:r>
      <w:fldSimple w:instr=" STYLEREF 1 \s ">
        <w:r>
          <w:rPr>
            <w:noProof/>
          </w:rPr>
          <w:t>4</w:t>
        </w:r>
      </w:fldSimple>
      <w:r>
        <w:noBreakHyphen/>
      </w:r>
      <w:fldSimple w:instr=" SEQ Table \* ARABIC \s 1 ">
        <w:r>
          <w:rPr>
            <w:noProof/>
          </w:rPr>
          <w:t>21</w:t>
        </w:r>
      </w:fldSimple>
      <w:r>
        <w:t>: Application Monitoring</w:t>
      </w:r>
      <w:bookmarkEnd w:id="114"/>
    </w:p>
    <w:p w14:paraId="4A2949E4" w14:textId="76D1A9A7" w:rsidR="00FC3F08" w:rsidRPr="00F97E04" w:rsidRDefault="00FC3F08" w:rsidP="00E41BAC">
      <w:pPr>
        <w:pStyle w:val="Heading3"/>
      </w:pPr>
      <w:bookmarkStart w:id="115" w:name="_Toc211268665"/>
      <w:r>
        <w:t>Security Monitoring</w:t>
      </w:r>
      <w:bookmarkEnd w:id="115"/>
    </w:p>
    <w:p w14:paraId="2D048805" w14:textId="77777777" w:rsidR="00FC3F08" w:rsidRPr="00F97E04" w:rsidRDefault="00FC3F08" w:rsidP="00054E4F">
      <w:pPr>
        <w:pStyle w:val="MainBodyText0"/>
      </w:pPr>
      <w:r>
        <w:t>This section will explain the processes for monitoring security parameters to protect against threats and vulnerabilities.</w:t>
      </w:r>
    </w:p>
    <w:tbl>
      <w:tblPr>
        <w:tblW w:w="5000" w:type="pct"/>
        <w:jc w:val="center"/>
        <w:tblLook w:val="04A0" w:firstRow="1" w:lastRow="0" w:firstColumn="1" w:lastColumn="0" w:noHBand="0" w:noVBand="1"/>
      </w:tblPr>
      <w:tblGrid>
        <w:gridCol w:w="3595"/>
        <w:gridCol w:w="5755"/>
      </w:tblGrid>
      <w:tr w:rsidR="002D48FF" w:rsidRPr="00F97E04" w14:paraId="6603CD1D" w14:textId="77777777" w:rsidTr="00B54ADC">
        <w:trPr>
          <w:cantSplit/>
          <w:tblHeader/>
          <w:jc w:val="center"/>
        </w:trPr>
        <w:tc>
          <w:tcPr>
            <w:tcW w:w="3595" w:type="dxa"/>
            <w:tcBorders>
              <w:top w:val="single" w:sz="4" w:space="0" w:color="auto"/>
              <w:left w:val="single" w:sz="4" w:space="0" w:color="auto"/>
              <w:bottom w:val="single" w:sz="4" w:space="0" w:color="auto"/>
              <w:right w:val="single" w:sz="4" w:space="0" w:color="FFFFFF" w:themeColor="background1"/>
            </w:tcBorders>
            <w:shd w:val="clear" w:color="auto" w:fill="000000" w:themeFill="text1"/>
            <w:hideMark/>
          </w:tcPr>
          <w:p w14:paraId="42F70C5F" w14:textId="77777777" w:rsidR="002D48FF" w:rsidRPr="00F97E04" w:rsidRDefault="002D48FF" w:rsidP="00376E58">
            <w:pPr>
              <w:spacing w:before="60" w:after="60"/>
              <w:rPr>
                <w:rFonts w:eastAsia="Times New Roman" w:cs="Times New Roman"/>
                <w:b/>
                <w:color w:val="FFFFFF" w:themeColor="background1"/>
              </w:rPr>
            </w:pPr>
            <w:r>
              <w:rPr>
                <w:b/>
              </w:rPr>
              <w:lastRenderedPageBreak/>
              <w:t xml:space="preserve">Process Name </w:t>
            </w:r>
          </w:p>
        </w:tc>
        <w:tc>
          <w:tcPr>
            <w:tcW w:w="5755" w:type="dxa"/>
            <w:tcBorders>
              <w:top w:val="single" w:sz="4" w:space="0" w:color="auto"/>
              <w:left w:val="single" w:sz="4" w:space="0" w:color="FFFFFF" w:themeColor="background1"/>
              <w:bottom w:val="single" w:sz="4" w:space="0" w:color="auto"/>
              <w:right w:val="single" w:sz="4" w:space="0" w:color="auto"/>
            </w:tcBorders>
            <w:shd w:val="clear" w:color="auto" w:fill="000000" w:themeFill="text1"/>
            <w:hideMark/>
          </w:tcPr>
          <w:p w14:paraId="1AA278DF" w14:textId="77777777" w:rsidR="002D48FF" w:rsidRPr="00F97E04" w:rsidRDefault="002D48FF" w:rsidP="00376E58">
            <w:pPr>
              <w:spacing w:before="60" w:after="60"/>
              <w:rPr>
                <w:rFonts w:eastAsia="Times New Roman" w:cs="Times New Roman"/>
                <w:b/>
                <w:color w:val="FFFFFF" w:themeColor="background1"/>
              </w:rPr>
            </w:pPr>
            <w:r>
              <w:rPr>
                <w:b/>
              </w:rPr>
              <w:t>Description</w:t>
            </w:r>
          </w:p>
        </w:tc>
      </w:tr>
      <w:tr w:rsidR="002D48FF" w:rsidRPr="00F97E04" w14:paraId="63DF1146" w14:textId="77777777" w:rsidTr="00B54ADC">
        <w:trPr>
          <w:cantSplit/>
          <w:trHeight w:val="398"/>
          <w:jc w:val="center"/>
        </w:trPr>
        <w:tc>
          <w:tcPr>
            <w:tcW w:w="35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E0C407" w14:textId="227E5F87" w:rsidR="002D48FF" w:rsidRPr="00F97E04" w:rsidRDefault="007F0A60" w:rsidP="00376E58">
            <w:pPr>
              <w:spacing w:before="60" w:after="60"/>
              <w:rPr>
                <w:rFonts w:eastAsia="Times New Roman" w:cs="Times New Roman"/>
                <w:color w:val="000000"/>
              </w:rPr>
            </w:pPr>
            <w:r>
              <w:rPr>
                <w:rFonts w:cs="Arial"/>
              </w:rPr>
              <w:t>MDOP-004_Security Monitoring</w:t>
            </w:r>
          </w:p>
        </w:tc>
        <w:tc>
          <w:tcPr>
            <w:tcW w:w="575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CD08FF" w14:textId="121976D0" w:rsidR="002D48FF" w:rsidRPr="00F97E04" w:rsidRDefault="00B70EF3" w:rsidP="00376E58">
            <w:pPr>
              <w:spacing w:before="60" w:after="60"/>
              <w:rPr>
                <w:rFonts w:eastAsia="Times New Roman" w:cs="Times New Roman"/>
                <w:color w:val="000000"/>
              </w:rPr>
            </w:pPr>
            <w:r>
              <w:rPr>
                <w:rFonts w:eastAsia="Times New Roman" w:cs="Times New Roman"/>
                <w:color w:val="000000" w:themeColor="text1"/>
              </w:rPr>
              <w:t>Maintaining constant visibility into systems, networks, and applications, continuous monitoring enables rapid detection of unusual activity, verify compliance with regulatory requirements, and proactively address risks before they can escalate into significant incidents.</w:t>
            </w:r>
          </w:p>
        </w:tc>
      </w:tr>
    </w:tbl>
    <w:p w14:paraId="747A7F38" w14:textId="77C356CA" w:rsidR="002C6466" w:rsidRPr="00F97E04" w:rsidRDefault="002C6466" w:rsidP="00310DFA">
      <w:pPr>
        <w:pStyle w:val="Caption"/>
      </w:pPr>
      <w:bookmarkStart w:id="116" w:name="_Toc211268693"/>
      <w:r>
        <w:t xml:space="preserve">Table </w:t>
      </w:r>
      <w:fldSimple w:instr=" STYLEREF 1 \s ">
        <w:r>
          <w:rPr>
            <w:noProof/>
          </w:rPr>
          <w:t>4</w:t>
        </w:r>
      </w:fldSimple>
      <w:r>
        <w:noBreakHyphen/>
      </w:r>
      <w:fldSimple w:instr=" SEQ Table \* ARABIC \s 1 ">
        <w:r>
          <w:rPr>
            <w:noProof/>
          </w:rPr>
          <w:t>22</w:t>
        </w:r>
      </w:fldSimple>
      <w:r>
        <w:t>: Security Monitoring</w:t>
      </w:r>
      <w:bookmarkEnd w:id="116"/>
    </w:p>
    <w:p w14:paraId="51317660" w14:textId="1CDB19D8" w:rsidR="00A74333" w:rsidRPr="00F97E04" w:rsidRDefault="008F0DB1" w:rsidP="00E41BAC">
      <w:pPr>
        <w:pStyle w:val="Heading3"/>
      </w:pPr>
      <w:bookmarkStart w:id="117" w:name="_Toc211268666"/>
      <w:r>
        <w:t>Operational Reports</w:t>
      </w:r>
      <w:bookmarkEnd w:id="117"/>
    </w:p>
    <w:p w14:paraId="47354639" w14:textId="20085829" w:rsidR="004D393E" w:rsidRPr="00F97E04" w:rsidRDefault="00DA3480" w:rsidP="00C2152C">
      <w:pPr>
        <w:pStyle w:val="MainBodyText0"/>
      </w:pPr>
      <w:r>
        <w:t>This section will describe the process for generating and utilizing Operational Reports, detailing their objectives, intended audience, frequency, and potential escalation next steps.</w:t>
      </w:r>
    </w:p>
    <w:tbl>
      <w:tblPr>
        <w:tblW w:w="5000" w:type="pct"/>
        <w:jc w:val="center"/>
        <w:tblLook w:val="04A0" w:firstRow="1" w:lastRow="0" w:firstColumn="1" w:lastColumn="0" w:noHBand="0" w:noVBand="1"/>
      </w:tblPr>
      <w:tblGrid>
        <w:gridCol w:w="3595"/>
        <w:gridCol w:w="5755"/>
      </w:tblGrid>
      <w:tr w:rsidR="00723C22" w:rsidRPr="00F97E04" w14:paraId="334FE859" w14:textId="77777777" w:rsidTr="00376E58">
        <w:trPr>
          <w:cantSplit/>
          <w:tblHeader/>
          <w:jc w:val="center"/>
        </w:trPr>
        <w:tc>
          <w:tcPr>
            <w:tcW w:w="3595" w:type="dxa"/>
            <w:tcBorders>
              <w:top w:val="single" w:sz="4" w:space="0" w:color="auto"/>
              <w:left w:val="single" w:sz="4" w:space="0" w:color="auto"/>
              <w:bottom w:val="single" w:sz="4" w:space="0" w:color="auto"/>
              <w:right w:val="single" w:sz="4" w:space="0" w:color="FFFFFF" w:themeColor="background1"/>
            </w:tcBorders>
            <w:shd w:val="clear" w:color="auto" w:fill="000000" w:themeFill="text1"/>
            <w:hideMark/>
          </w:tcPr>
          <w:p w14:paraId="01B3BE1A" w14:textId="72BC418A" w:rsidR="00723C22" w:rsidRPr="00F97E04" w:rsidRDefault="00723C22" w:rsidP="00376E58">
            <w:pPr>
              <w:spacing w:before="60" w:after="60"/>
              <w:rPr>
                <w:rFonts w:eastAsia="Times New Roman" w:cs="Times New Roman"/>
                <w:b/>
                <w:color w:val="FFFFFF" w:themeColor="background1"/>
              </w:rPr>
            </w:pPr>
            <w:r>
              <w:rPr>
                <w:b/>
              </w:rPr>
              <w:t xml:space="preserve">Process Name </w:t>
            </w:r>
          </w:p>
        </w:tc>
        <w:tc>
          <w:tcPr>
            <w:tcW w:w="5755" w:type="dxa"/>
            <w:tcBorders>
              <w:top w:val="single" w:sz="4" w:space="0" w:color="auto"/>
              <w:left w:val="single" w:sz="4" w:space="0" w:color="FFFFFF" w:themeColor="background1"/>
              <w:bottom w:val="single" w:sz="4" w:space="0" w:color="auto"/>
              <w:right w:val="single" w:sz="4" w:space="0" w:color="auto"/>
            </w:tcBorders>
            <w:shd w:val="clear" w:color="auto" w:fill="000000" w:themeFill="text1"/>
            <w:hideMark/>
          </w:tcPr>
          <w:p w14:paraId="6790A67D" w14:textId="05B6E246" w:rsidR="00723C22" w:rsidRPr="00F97E04" w:rsidRDefault="00723C22" w:rsidP="00376E58">
            <w:pPr>
              <w:spacing w:before="60" w:after="60"/>
              <w:rPr>
                <w:rFonts w:eastAsia="Times New Roman" w:cs="Times New Roman"/>
                <w:b/>
                <w:color w:val="FFFFFF" w:themeColor="background1"/>
              </w:rPr>
            </w:pPr>
            <w:r>
              <w:rPr>
                <w:b/>
              </w:rPr>
              <w:t>Description</w:t>
            </w:r>
          </w:p>
        </w:tc>
      </w:tr>
      <w:tr w:rsidR="001F2368" w:rsidRPr="00F97E04" w14:paraId="592923CD" w14:textId="77777777" w:rsidTr="00376E58">
        <w:trPr>
          <w:cantSplit/>
          <w:trHeight w:val="480"/>
          <w:jc w:val="center"/>
        </w:trPr>
        <w:tc>
          <w:tcPr>
            <w:tcW w:w="3595" w:type="dxa"/>
            <w:tcBorders>
              <w:top w:val="single" w:sz="4" w:space="0" w:color="auto"/>
              <w:left w:val="single" w:sz="4" w:space="0" w:color="auto"/>
              <w:bottom w:val="single" w:sz="4" w:space="0" w:color="auto"/>
              <w:right w:val="single" w:sz="4" w:space="0" w:color="auto"/>
            </w:tcBorders>
            <w:shd w:val="clear" w:color="auto" w:fill="FFFFFF" w:themeFill="background1"/>
          </w:tcPr>
          <w:p w14:paraId="4459840C" w14:textId="26544CB6" w:rsidR="001F2368" w:rsidRPr="00F97E04" w:rsidRDefault="00EF25D8" w:rsidP="00376E58">
            <w:pPr>
              <w:keepNext/>
              <w:spacing w:before="60" w:after="60"/>
              <w:rPr>
                <w:rFonts w:cs="Arial"/>
              </w:rPr>
            </w:pPr>
            <w:r>
              <w:rPr>
                <w:rFonts w:cs="Arial"/>
              </w:rPr>
              <w:t>MDOP-005_Publish Daily Operations Report</w:t>
            </w:r>
          </w:p>
        </w:tc>
        <w:tc>
          <w:tcPr>
            <w:tcW w:w="5755" w:type="dxa"/>
            <w:tcBorders>
              <w:top w:val="single" w:sz="4" w:space="0" w:color="auto"/>
              <w:left w:val="single" w:sz="4" w:space="0" w:color="auto"/>
              <w:bottom w:val="single" w:sz="4" w:space="0" w:color="auto"/>
              <w:right w:val="single" w:sz="4" w:space="0" w:color="auto"/>
            </w:tcBorders>
            <w:shd w:val="clear" w:color="auto" w:fill="FFFFFF" w:themeFill="background1"/>
          </w:tcPr>
          <w:p w14:paraId="392B9CBF" w14:textId="521E302B" w:rsidR="001F2368" w:rsidRPr="00F97E04" w:rsidRDefault="001A32E7" w:rsidP="00376E58">
            <w:pPr>
              <w:keepNext/>
              <w:spacing w:before="60" w:after="60"/>
              <w:rPr>
                <w:rFonts w:eastAsia="Times New Roman" w:cs="Times New Roman"/>
                <w:color w:val="000000" w:themeColor="text1"/>
              </w:rPr>
            </w:pPr>
            <w:r>
              <w:rPr>
                <w:rFonts w:eastAsia="Times New Roman" w:cs="Times New Roman"/>
                <w:color w:val="000000" w:themeColor="text1"/>
              </w:rPr>
              <w:t>Following the MECM Wave 1 System Go-Live, the Deloitte MECM M&amp;O team will be responsible for preparing and distributing a Daily Operations Report to DOH OHIP. This report provides comprehensive insights into operational efficiency by presenting key metrics on MECM system performance, overall system health, and the status of critical IT infrastructure components.</w:t>
            </w:r>
          </w:p>
        </w:tc>
      </w:tr>
    </w:tbl>
    <w:p w14:paraId="6E5CAC66" w14:textId="1A77335B" w:rsidR="00E858EF" w:rsidRPr="00F97E04" w:rsidRDefault="00E858EF" w:rsidP="00310DFA">
      <w:pPr>
        <w:pStyle w:val="Caption"/>
      </w:pPr>
      <w:bookmarkStart w:id="118" w:name="_Toc211268694"/>
      <w:r>
        <w:t xml:space="preserve">Table </w:t>
      </w:r>
      <w:fldSimple w:instr=" STYLEREF 1 \s ">
        <w:r>
          <w:rPr>
            <w:noProof/>
          </w:rPr>
          <w:t>4</w:t>
        </w:r>
      </w:fldSimple>
      <w:r>
        <w:noBreakHyphen/>
      </w:r>
      <w:fldSimple w:instr=" SEQ Table \* ARABIC \s 1 ">
        <w:r>
          <w:rPr>
            <w:noProof/>
          </w:rPr>
          <w:t>23</w:t>
        </w:r>
      </w:fldSimple>
      <w:r>
        <w:t>: Operational Reports</w:t>
      </w:r>
      <w:bookmarkEnd w:id="118"/>
    </w:p>
    <w:p w14:paraId="21E2F9A4" w14:textId="36A98831" w:rsidR="00FC3F08" w:rsidRPr="00F97E04" w:rsidRDefault="00FC3F08" w:rsidP="002E635F">
      <w:pPr>
        <w:pStyle w:val="Heading2"/>
        <w:rPr>
          <w:noProof w:val="0"/>
        </w:rPr>
      </w:pPr>
      <w:bookmarkStart w:id="119" w:name="_Toc211268667"/>
      <w:r>
        <w:rPr>
          <w:noProof w:val="0"/>
        </w:rPr>
        <w:t>Specifications and Process for Monthly Service Level Agreement Report</w:t>
      </w:r>
      <w:bookmarkEnd w:id="119"/>
    </w:p>
    <w:p w14:paraId="674D53F2" w14:textId="0E93D646" w:rsidR="004D393E" w:rsidRPr="00F97E04" w:rsidRDefault="006942E4" w:rsidP="008508B1">
      <w:pPr>
        <w:pStyle w:val="MainBodyText0"/>
      </w:pPr>
      <w:bookmarkStart w:id="120" w:name="_Toc205292964"/>
      <w:bookmarkStart w:id="121" w:name="_Toc205370429"/>
      <w:bookmarkStart w:id="122" w:name="_Toc205534839"/>
      <w:bookmarkStart w:id="123" w:name="_Toc205539033"/>
      <w:bookmarkStart w:id="124" w:name="_Toc205882243"/>
      <w:bookmarkStart w:id="125" w:name="_Toc205884599"/>
      <w:bookmarkStart w:id="126" w:name="_Toc205992340"/>
      <w:bookmarkStart w:id="127" w:name="_Toc205995324"/>
      <w:bookmarkStart w:id="128" w:name="_Toc205995968"/>
      <w:r>
        <w:t xml:space="preserve">This section provides a detailed overview of the process for assembling the Monthly SLA Report and delivering it to DOH OHIP. It describes the end-to-end SLA management process, including how SLA requirements are documented, service performance is monitored, and results are compiled and communicated. The section also addresses the methods used to provide ongoing alignment with DOH OHIP expectations and outlines the approach for continuous improvement in service delivery across all SLAs defined in the </w:t>
      </w:r>
      <w:bookmarkEnd w:id="120"/>
      <w:bookmarkEnd w:id="121"/>
      <w:bookmarkEnd w:id="122"/>
      <w:bookmarkEnd w:id="123"/>
      <w:bookmarkEnd w:id="124"/>
      <w:bookmarkEnd w:id="125"/>
      <w:bookmarkEnd w:id="126"/>
      <w:bookmarkEnd w:id="127"/>
      <w:bookmarkEnd w:id="128"/>
      <w:r>
        <w:t>ISOW3.</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4"/>
        <w:gridCol w:w="5756"/>
      </w:tblGrid>
      <w:tr w:rsidR="00D4215E" w:rsidRPr="00F97E04" w14:paraId="5ADE7863" w14:textId="77777777" w:rsidTr="00F74F7D">
        <w:trPr>
          <w:cantSplit/>
          <w:tblHeader/>
          <w:jc w:val="center"/>
        </w:trPr>
        <w:tc>
          <w:tcPr>
            <w:tcW w:w="1922" w:type="pct"/>
            <w:tcBorders>
              <w:right w:val="single" w:sz="4" w:space="0" w:color="FFFFFF" w:themeColor="background1"/>
            </w:tcBorders>
            <w:shd w:val="clear" w:color="auto" w:fill="000000" w:themeFill="text1"/>
          </w:tcPr>
          <w:p w14:paraId="0DE0CBFF" w14:textId="22D5E9FA" w:rsidR="00723C22" w:rsidRPr="00F97E04" w:rsidRDefault="00723C22" w:rsidP="00376E58">
            <w:pPr>
              <w:spacing w:before="60" w:after="60"/>
              <w:rPr>
                <w:b/>
                <w:lang w:val="en-US"/>
              </w:rPr>
            </w:pPr>
            <w:r>
              <w:rPr>
                <w:b/>
                <w:lang w:val="en-US"/>
              </w:rPr>
              <w:t xml:space="preserve">Process Name </w:t>
            </w:r>
          </w:p>
        </w:tc>
        <w:tc>
          <w:tcPr>
            <w:tcW w:w="3078" w:type="pct"/>
            <w:tcBorders>
              <w:left w:val="single" w:sz="4" w:space="0" w:color="FFFFFF" w:themeColor="background1"/>
            </w:tcBorders>
            <w:shd w:val="clear" w:color="auto" w:fill="000000" w:themeFill="text1"/>
          </w:tcPr>
          <w:p w14:paraId="03FEA3CC" w14:textId="110CD42B" w:rsidR="00723C22" w:rsidRPr="00F97E04" w:rsidRDefault="00723C22" w:rsidP="00376E58">
            <w:pPr>
              <w:spacing w:before="60" w:after="60"/>
              <w:rPr>
                <w:b/>
                <w:lang w:val="en-US"/>
              </w:rPr>
            </w:pPr>
            <w:r>
              <w:rPr>
                <w:b/>
                <w:lang w:val="en-US"/>
              </w:rPr>
              <w:t>Description</w:t>
            </w:r>
          </w:p>
        </w:tc>
      </w:tr>
      <w:tr w:rsidR="00A37A4C" w:rsidRPr="00F97E04" w14:paraId="6CCB4F2C" w14:textId="77777777" w:rsidTr="00F74F7D">
        <w:trPr>
          <w:cantSplit/>
          <w:jc w:val="center"/>
        </w:trPr>
        <w:tc>
          <w:tcPr>
            <w:tcW w:w="1922" w:type="pct"/>
          </w:tcPr>
          <w:p w14:paraId="23BD5F69" w14:textId="3F1C7E7A" w:rsidR="00A37A4C" w:rsidRPr="00F97E04" w:rsidRDefault="00EF25D8" w:rsidP="00376E58">
            <w:pPr>
              <w:spacing w:before="60" w:after="60"/>
              <w:rPr>
                <w:lang w:val="en-US"/>
              </w:rPr>
            </w:pPr>
            <w:r>
              <w:rPr>
                <w:lang w:val="en-US"/>
              </w:rPr>
              <w:t>MSLA-001_SLA Management Process</w:t>
            </w:r>
          </w:p>
        </w:tc>
        <w:tc>
          <w:tcPr>
            <w:tcW w:w="3078" w:type="pct"/>
          </w:tcPr>
          <w:p w14:paraId="3301F2C5" w14:textId="64E4EE1B" w:rsidR="00A37A4C" w:rsidRPr="00F97E04" w:rsidRDefault="0005515F" w:rsidP="00376E58">
            <w:pPr>
              <w:spacing w:before="60" w:after="60"/>
              <w:rPr>
                <w:lang w:val="en-US"/>
              </w:rPr>
            </w:pPr>
            <w:r>
              <w:rPr>
                <w:rFonts w:cs="Arial"/>
                <w:lang w:val="en-US"/>
              </w:rPr>
              <w:t>The SLA Management process details activities such as documenting SLA requirements, monitoring service performance, and driving continuous service improvements to deliver alignment with stakeholder expectations.</w:t>
            </w:r>
          </w:p>
        </w:tc>
      </w:tr>
      <w:tr w:rsidR="00944A03" w:rsidRPr="00F97E04" w14:paraId="13A2CE82" w14:textId="77777777" w:rsidTr="00F74F7D">
        <w:trPr>
          <w:cantSplit/>
          <w:jc w:val="center"/>
        </w:trPr>
        <w:tc>
          <w:tcPr>
            <w:tcW w:w="1922" w:type="pct"/>
          </w:tcPr>
          <w:p w14:paraId="082C9FA8" w14:textId="68F9B925" w:rsidR="00944A03" w:rsidRPr="00F97E04" w:rsidRDefault="00EF25D8" w:rsidP="00376E58">
            <w:pPr>
              <w:spacing w:before="60" w:after="60"/>
              <w:rPr>
                <w:rFonts w:cs="Arial"/>
                <w:lang w:val="en-US"/>
              </w:rPr>
            </w:pPr>
            <w:r>
              <w:rPr>
                <w:rFonts w:cs="Arial"/>
                <w:lang w:val="en-US"/>
              </w:rPr>
              <w:t>MSLA-002_SLA Specification Template</w:t>
            </w:r>
          </w:p>
        </w:tc>
        <w:tc>
          <w:tcPr>
            <w:tcW w:w="3078" w:type="pct"/>
          </w:tcPr>
          <w:p w14:paraId="32F59D5D" w14:textId="2202070F" w:rsidR="00944A03" w:rsidRPr="00F97E04" w:rsidRDefault="00A90091" w:rsidP="00376E58">
            <w:pPr>
              <w:spacing w:before="60" w:after="60"/>
              <w:rPr>
                <w:rFonts w:cs="Arial"/>
                <w:lang w:val="en-US"/>
              </w:rPr>
            </w:pPr>
            <w:r>
              <w:rPr>
                <w:rFonts w:cs="Arial"/>
                <w:lang w:val="en-US"/>
              </w:rPr>
              <w:t>The document provides a template for specifying SLAs, including sections for identification, service level metrics, service credits, exclusions, and the process for compiling and reporting SLA performance.</w:t>
            </w:r>
          </w:p>
        </w:tc>
      </w:tr>
      <w:tr w:rsidR="00317AB6" w:rsidRPr="00F97E04" w14:paraId="03519117" w14:textId="77777777" w:rsidTr="00F74F7D">
        <w:trPr>
          <w:cantSplit/>
          <w:jc w:val="center"/>
        </w:trPr>
        <w:tc>
          <w:tcPr>
            <w:tcW w:w="1922" w:type="pct"/>
          </w:tcPr>
          <w:p w14:paraId="0AD7A110" w14:textId="419F96C8" w:rsidR="00317AB6" w:rsidRPr="00F97E04" w:rsidRDefault="00EF25D8" w:rsidP="00376E58">
            <w:pPr>
              <w:spacing w:before="60" w:after="60"/>
              <w:rPr>
                <w:rFonts w:cs="Arial"/>
                <w:lang w:val="en-US"/>
              </w:rPr>
            </w:pPr>
            <w:r>
              <w:rPr>
                <w:rFonts w:cs="Arial"/>
                <w:lang w:val="en-US"/>
              </w:rPr>
              <w:t>MSLA-003_SLA Report Template</w:t>
            </w:r>
          </w:p>
        </w:tc>
        <w:tc>
          <w:tcPr>
            <w:tcW w:w="3078" w:type="pct"/>
          </w:tcPr>
          <w:p w14:paraId="0D4AA2BB" w14:textId="76A09276" w:rsidR="00317AB6" w:rsidRPr="00F97E04" w:rsidRDefault="005A4D35" w:rsidP="00376E58">
            <w:pPr>
              <w:spacing w:before="60" w:after="60"/>
              <w:rPr>
                <w:rFonts w:cs="Arial"/>
                <w:lang w:val="en-US"/>
              </w:rPr>
            </w:pPr>
            <w:r>
              <w:rPr>
                <w:rFonts w:cs="Arial"/>
                <w:lang w:val="en-US"/>
              </w:rPr>
              <w:t>This report summarizes the performance of key SLAs for the reporting period, providing DOH OHIP with a clear view of compliance across critical operational areas. The report includes performance metrics, trends, and recommendations to support continuous improvement in service delivery.</w:t>
            </w:r>
          </w:p>
        </w:tc>
      </w:tr>
    </w:tbl>
    <w:p w14:paraId="1D107964" w14:textId="70A6DD7A" w:rsidR="00361152" w:rsidRPr="00F97E04" w:rsidRDefault="002C6466" w:rsidP="00310DFA">
      <w:pPr>
        <w:pStyle w:val="Caption"/>
      </w:pPr>
      <w:bookmarkStart w:id="129" w:name="_Toc211268695"/>
      <w:bookmarkStart w:id="130" w:name="_Toc196140159"/>
      <w:r>
        <w:t xml:space="preserve">Table </w:t>
      </w:r>
      <w:fldSimple w:instr=" STYLEREF 1 \s ">
        <w:r>
          <w:rPr>
            <w:noProof/>
          </w:rPr>
          <w:t>4</w:t>
        </w:r>
      </w:fldSimple>
      <w:r>
        <w:noBreakHyphen/>
      </w:r>
      <w:fldSimple w:instr=" SEQ Table \* ARABIC \s 1 ">
        <w:r>
          <w:rPr>
            <w:noProof/>
          </w:rPr>
          <w:t>24</w:t>
        </w:r>
      </w:fldSimple>
      <w:r>
        <w:t>: Service Level Agreement Reporting</w:t>
      </w:r>
      <w:bookmarkEnd w:id="129"/>
    </w:p>
    <w:p w14:paraId="4C312488" w14:textId="14536281" w:rsidR="008508B1" w:rsidRPr="00F97E04" w:rsidRDefault="008508B1">
      <w:pPr>
        <w:spacing w:before="0" w:after="160" w:line="259" w:lineRule="auto"/>
      </w:pPr>
      <w:r>
        <w:br w:type="page"/>
      </w:r>
    </w:p>
    <w:p w14:paraId="76339F7A" w14:textId="571CAF3E" w:rsidR="0083551D" w:rsidRPr="00F97E04" w:rsidRDefault="0083551D" w:rsidP="0083551D">
      <w:pPr>
        <w:pStyle w:val="Heading1"/>
        <w:rPr>
          <w:noProof w:val="0"/>
        </w:rPr>
      </w:pPr>
      <w:bookmarkStart w:id="131" w:name="_Toc211268668"/>
      <w:r>
        <w:rPr>
          <w:noProof w:val="0"/>
        </w:rPr>
        <w:lastRenderedPageBreak/>
        <w:t>Appendix</w:t>
      </w:r>
      <w:bookmarkEnd w:id="130"/>
      <w:bookmarkEnd w:id="131"/>
    </w:p>
    <w:p w14:paraId="3579FE30" w14:textId="2C7CD18F" w:rsidR="0083551D" w:rsidRPr="00F97E04" w:rsidRDefault="0083551D" w:rsidP="002E635F">
      <w:pPr>
        <w:pStyle w:val="Heading2"/>
        <w:rPr>
          <w:noProof w:val="0"/>
        </w:rPr>
      </w:pPr>
      <w:bookmarkStart w:id="132" w:name="_Toc196140160"/>
      <w:bookmarkStart w:id="133" w:name="_Toc211268669"/>
      <w:r>
        <w:rPr>
          <w:noProof w:val="0"/>
        </w:rPr>
        <w:t>Appendix A: Terms and Definitions</w:t>
      </w:r>
      <w:bookmarkEnd w:id="132"/>
      <w:bookmarkEnd w:id="133"/>
    </w:p>
    <w:p w14:paraId="24193C73" w14:textId="74F4E518" w:rsidR="00FC3F08" w:rsidRPr="00F97E04" w:rsidRDefault="00FC3F08" w:rsidP="00C2152C">
      <w:pPr>
        <w:pStyle w:val="MainBodyText0"/>
      </w:pPr>
      <w:bookmarkStart w:id="134" w:name="_Hlk196470651"/>
      <w:r>
        <w:t>The following table outlines terms used throughout the document and their corresponding definition.</w:t>
      </w:r>
      <w:bookmarkEnd w:id="134"/>
      <w:r>
        <w:t xml:space="preserve"> </w:t>
      </w:r>
    </w:p>
    <w:tbl>
      <w:tblPr>
        <w:tblStyle w:val="TableStyleCustom1"/>
        <w:tblW w:w="5000" w:type="pct"/>
        <w:jc w:val="center"/>
        <w:tblLook w:val="0420" w:firstRow="1" w:lastRow="0" w:firstColumn="0" w:lastColumn="0" w:noHBand="0" w:noVBand="1"/>
      </w:tblPr>
      <w:tblGrid>
        <w:gridCol w:w="2065"/>
        <w:gridCol w:w="7285"/>
      </w:tblGrid>
      <w:tr w:rsidR="00AF2293" w:rsidRPr="00F97E04" w14:paraId="0ED131B2" w14:textId="77777777" w:rsidTr="00376E58">
        <w:trPr>
          <w:cnfStyle w:val="100000000000" w:firstRow="1" w:lastRow="0" w:firstColumn="0" w:lastColumn="0" w:oddVBand="0" w:evenVBand="0" w:oddHBand="0" w:evenHBand="0" w:firstRowFirstColumn="0" w:firstRowLastColumn="0" w:lastRowFirstColumn="0" w:lastRowLastColumn="0"/>
          <w:jc w:val="center"/>
        </w:trPr>
        <w:tc>
          <w:tcPr>
            <w:tcW w:w="2065" w:type="dxa"/>
            <w:vAlign w:val="top"/>
          </w:tcPr>
          <w:p w14:paraId="7730C66A" w14:textId="77777777" w:rsidR="0083551D" w:rsidRPr="00F97E04" w:rsidRDefault="0083551D" w:rsidP="00376E58">
            <w:pPr>
              <w:pStyle w:val="TABLEHEADINGNEW"/>
              <w:spacing w:line="240" w:lineRule="atLeast"/>
              <w:rPr>
                <w:b/>
              </w:rPr>
            </w:pPr>
            <w:r>
              <w:rPr>
                <w:b/>
              </w:rPr>
              <w:t>Terms</w:t>
            </w:r>
          </w:p>
        </w:tc>
        <w:tc>
          <w:tcPr>
            <w:tcW w:w="7285" w:type="dxa"/>
            <w:vAlign w:val="top"/>
          </w:tcPr>
          <w:p w14:paraId="2538CB04" w14:textId="77777777" w:rsidR="0083551D" w:rsidRPr="00F97E04" w:rsidRDefault="0083551D" w:rsidP="00376E58">
            <w:pPr>
              <w:pStyle w:val="TABLEHEADINGNEW"/>
              <w:spacing w:line="240" w:lineRule="atLeast"/>
              <w:rPr>
                <w:b/>
              </w:rPr>
            </w:pPr>
            <w:r>
              <w:rPr>
                <w:b/>
              </w:rPr>
              <w:t>Definitions</w:t>
            </w:r>
          </w:p>
        </w:tc>
      </w:tr>
      <w:tr w:rsidR="00983C6B" w:rsidRPr="00F97E04" w14:paraId="54D05A4F" w14:textId="77777777" w:rsidTr="00376E58">
        <w:trPr>
          <w:jc w:val="center"/>
        </w:trPr>
        <w:tc>
          <w:tcPr>
            <w:tcW w:w="2065" w:type="dxa"/>
            <w:vAlign w:val="top"/>
          </w:tcPr>
          <w:p w14:paraId="02D75A49" w14:textId="5BC5B01E" w:rsidR="00983C6B" w:rsidRPr="000D254B" w:rsidRDefault="00983C6B" w:rsidP="00376E58">
            <w:pPr>
              <w:pStyle w:val="TABLEHEADINGNEW"/>
              <w:spacing w:line="240" w:lineRule="atLeast"/>
              <w:rPr>
                <w:b w:val="0"/>
                <w:color w:val="000000" w:themeColor="text1"/>
              </w:rPr>
            </w:pPr>
            <w:r>
              <w:rPr>
                <w:b w:val="0"/>
                <w:color w:val="000000" w:themeColor="text1"/>
              </w:rPr>
              <w:t>ACA</w:t>
            </w:r>
          </w:p>
        </w:tc>
        <w:tc>
          <w:tcPr>
            <w:tcW w:w="7285" w:type="dxa"/>
            <w:vAlign w:val="top"/>
          </w:tcPr>
          <w:p w14:paraId="1AAF5EB1" w14:textId="3290390B" w:rsidR="00983C6B" w:rsidRPr="000D254B" w:rsidRDefault="00983C6B" w:rsidP="00376E58">
            <w:pPr>
              <w:pStyle w:val="TABLEHEADINGNEW"/>
              <w:spacing w:line="240" w:lineRule="atLeast"/>
              <w:rPr>
                <w:b w:val="0"/>
                <w:color w:val="000000" w:themeColor="text1"/>
              </w:rPr>
            </w:pPr>
            <w:r>
              <w:rPr>
                <w:b w:val="0"/>
                <w:color w:val="000000" w:themeColor="text1"/>
              </w:rPr>
              <w:t>Affordable Care Act</w:t>
            </w:r>
          </w:p>
        </w:tc>
      </w:tr>
      <w:tr w:rsidR="00160115" w:rsidRPr="00F97E04" w14:paraId="3FDC3662" w14:textId="77777777" w:rsidTr="00376E58">
        <w:trPr>
          <w:jc w:val="center"/>
        </w:trPr>
        <w:tc>
          <w:tcPr>
            <w:tcW w:w="2065" w:type="dxa"/>
            <w:vAlign w:val="top"/>
          </w:tcPr>
          <w:p w14:paraId="54A52C4A" w14:textId="07439179" w:rsidR="00160115" w:rsidRPr="000D254B" w:rsidRDefault="009B21F6" w:rsidP="00376E58">
            <w:pPr>
              <w:pStyle w:val="Tabletext"/>
              <w:spacing w:before="60" w:after="60" w:line="240" w:lineRule="atLeast"/>
            </w:pPr>
            <w:r>
              <w:t>API</w:t>
            </w:r>
          </w:p>
        </w:tc>
        <w:tc>
          <w:tcPr>
            <w:tcW w:w="7285" w:type="dxa"/>
            <w:vAlign w:val="top"/>
          </w:tcPr>
          <w:p w14:paraId="5FA108D1" w14:textId="772F5E13" w:rsidR="00160115" w:rsidRPr="000D254B" w:rsidRDefault="00791B74" w:rsidP="00376E58">
            <w:pPr>
              <w:pStyle w:val="Tabletext"/>
              <w:spacing w:before="60" w:after="60" w:line="240" w:lineRule="atLeast"/>
            </w:pPr>
            <w:r>
              <w:t>Application Programming Interface</w:t>
            </w:r>
          </w:p>
        </w:tc>
      </w:tr>
      <w:tr w:rsidR="009B21F6" w:rsidRPr="00F97E04" w14:paraId="506FF4DC" w14:textId="77777777" w:rsidTr="00376E58">
        <w:trPr>
          <w:jc w:val="center"/>
        </w:trPr>
        <w:tc>
          <w:tcPr>
            <w:tcW w:w="2065" w:type="dxa"/>
            <w:vAlign w:val="top"/>
          </w:tcPr>
          <w:p w14:paraId="5F03A703" w14:textId="6DC30F61" w:rsidR="009B21F6" w:rsidRPr="000D254B" w:rsidRDefault="009B21F6" w:rsidP="00376E58">
            <w:pPr>
              <w:pStyle w:val="Tabletext"/>
              <w:spacing w:before="60" w:after="60" w:line="240" w:lineRule="atLeast"/>
            </w:pPr>
            <w:r>
              <w:t>AWS</w:t>
            </w:r>
          </w:p>
        </w:tc>
        <w:tc>
          <w:tcPr>
            <w:tcW w:w="7285" w:type="dxa"/>
            <w:vAlign w:val="top"/>
          </w:tcPr>
          <w:p w14:paraId="2A2B0BC9" w14:textId="6F31EA3B" w:rsidR="009B21F6" w:rsidRPr="000D254B" w:rsidRDefault="009B21F6" w:rsidP="00376E58">
            <w:pPr>
              <w:pStyle w:val="Tabletext"/>
              <w:spacing w:before="60" w:after="60" w:line="240" w:lineRule="atLeast"/>
            </w:pPr>
            <w:r>
              <w:t>Amazon Web Services</w:t>
            </w:r>
          </w:p>
        </w:tc>
      </w:tr>
      <w:tr w:rsidR="00BD0633" w:rsidRPr="00F97E04" w14:paraId="4620BD53" w14:textId="77777777" w:rsidTr="00376E58">
        <w:trPr>
          <w:jc w:val="center"/>
        </w:trPr>
        <w:tc>
          <w:tcPr>
            <w:tcW w:w="2065" w:type="dxa"/>
            <w:vAlign w:val="top"/>
          </w:tcPr>
          <w:p w14:paraId="51CCCFE1" w14:textId="70454529" w:rsidR="00BD0633" w:rsidRPr="000D254B" w:rsidRDefault="00BD0633" w:rsidP="00376E58">
            <w:pPr>
              <w:pStyle w:val="Tabletext"/>
              <w:spacing w:before="60" w:after="60" w:line="240" w:lineRule="atLeast"/>
            </w:pPr>
            <w:r>
              <w:t>BC</w:t>
            </w:r>
          </w:p>
        </w:tc>
        <w:tc>
          <w:tcPr>
            <w:tcW w:w="7285" w:type="dxa"/>
            <w:vAlign w:val="top"/>
          </w:tcPr>
          <w:p w14:paraId="394FD164" w14:textId="558585BA" w:rsidR="00BD0633" w:rsidRPr="000D254B" w:rsidRDefault="00BD0633" w:rsidP="00376E58">
            <w:pPr>
              <w:pStyle w:val="Tabletext"/>
              <w:spacing w:before="60" w:after="60" w:line="240" w:lineRule="atLeast"/>
            </w:pPr>
            <w:r>
              <w:t>Business Continuity</w:t>
            </w:r>
          </w:p>
        </w:tc>
      </w:tr>
      <w:tr w:rsidR="009B21F6" w:rsidRPr="00F97E04" w14:paraId="50612F4B" w14:textId="77777777" w:rsidTr="00376E58">
        <w:trPr>
          <w:jc w:val="center"/>
        </w:trPr>
        <w:tc>
          <w:tcPr>
            <w:tcW w:w="2065" w:type="dxa"/>
            <w:vAlign w:val="top"/>
          </w:tcPr>
          <w:p w14:paraId="0FB61DE2" w14:textId="49C809DD" w:rsidR="009B21F6" w:rsidRPr="000D254B" w:rsidRDefault="009B21F6" w:rsidP="00376E58">
            <w:pPr>
              <w:pStyle w:val="Tabletext"/>
              <w:spacing w:before="60" w:after="60" w:line="240" w:lineRule="atLeast"/>
            </w:pPr>
            <w:r>
              <w:t>BCDRP</w:t>
            </w:r>
          </w:p>
        </w:tc>
        <w:tc>
          <w:tcPr>
            <w:tcW w:w="7285" w:type="dxa"/>
            <w:vAlign w:val="top"/>
          </w:tcPr>
          <w:p w14:paraId="58A5169B" w14:textId="56E3A8E2" w:rsidR="009B21F6" w:rsidRPr="000D254B" w:rsidRDefault="009B21F6" w:rsidP="00376E58">
            <w:pPr>
              <w:pStyle w:val="Tabletext"/>
              <w:spacing w:before="60" w:after="60" w:line="240" w:lineRule="atLeast"/>
            </w:pPr>
            <w:r>
              <w:t>Business Continuity Disaster Recovery Plan</w:t>
            </w:r>
          </w:p>
        </w:tc>
      </w:tr>
      <w:tr w:rsidR="009B21F6" w:rsidRPr="00F97E04" w14:paraId="621A07F3" w14:textId="77777777" w:rsidTr="00376E58">
        <w:trPr>
          <w:jc w:val="center"/>
        </w:trPr>
        <w:tc>
          <w:tcPr>
            <w:tcW w:w="2065" w:type="dxa"/>
            <w:vAlign w:val="top"/>
          </w:tcPr>
          <w:p w14:paraId="09563302" w14:textId="0E11C9BA" w:rsidR="009B21F6" w:rsidRPr="000D254B" w:rsidRDefault="009B21F6" w:rsidP="00376E58">
            <w:pPr>
              <w:pStyle w:val="Tabletext"/>
              <w:spacing w:before="60" w:after="60" w:line="240" w:lineRule="atLeast"/>
            </w:pPr>
            <w:r>
              <w:t>BOM</w:t>
            </w:r>
          </w:p>
        </w:tc>
        <w:tc>
          <w:tcPr>
            <w:tcW w:w="7285" w:type="dxa"/>
            <w:vAlign w:val="top"/>
          </w:tcPr>
          <w:p w14:paraId="4AEF86FA" w14:textId="523A72F9" w:rsidR="009B21F6" w:rsidRPr="000D254B" w:rsidRDefault="009B21F6" w:rsidP="00376E58">
            <w:pPr>
              <w:pStyle w:val="Tabletext"/>
              <w:spacing w:before="60" w:after="60" w:line="240" w:lineRule="atLeast"/>
            </w:pPr>
            <w:r>
              <w:t>Bill of Materials</w:t>
            </w:r>
          </w:p>
        </w:tc>
      </w:tr>
      <w:tr w:rsidR="009B21F6" w:rsidRPr="00F97E04" w14:paraId="33BB6E84" w14:textId="77777777" w:rsidTr="00376E58">
        <w:trPr>
          <w:jc w:val="center"/>
        </w:trPr>
        <w:tc>
          <w:tcPr>
            <w:tcW w:w="2065" w:type="dxa"/>
            <w:vAlign w:val="top"/>
          </w:tcPr>
          <w:p w14:paraId="713036CD" w14:textId="146E1F88" w:rsidR="009B21F6" w:rsidRPr="000D254B" w:rsidRDefault="009B21F6" w:rsidP="00376E58">
            <w:pPr>
              <w:pStyle w:val="Tabletext"/>
              <w:spacing w:before="60" w:after="60" w:line="240" w:lineRule="atLeast"/>
            </w:pPr>
            <w:r>
              <w:t>CIP</w:t>
            </w:r>
          </w:p>
        </w:tc>
        <w:tc>
          <w:tcPr>
            <w:tcW w:w="7285" w:type="dxa"/>
            <w:vAlign w:val="top"/>
          </w:tcPr>
          <w:p w14:paraId="61B339C0" w14:textId="2FC21984" w:rsidR="009B21F6" w:rsidRPr="000D254B" w:rsidRDefault="009B21F6" w:rsidP="00376E58">
            <w:pPr>
              <w:pStyle w:val="Tabletext"/>
              <w:spacing w:before="60" w:after="60" w:line="240" w:lineRule="atLeast"/>
            </w:pPr>
            <w:r>
              <w:t>Continuous Improvement Program</w:t>
            </w:r>
          </w:p>
        </w:tc>
      </w:tr>
      <w:tr w:rsidR="009B21F6" w:rsidRPr="00F97E04" w14:paraId="6CFC4D71" w14:textId="77777777" w:rsidTr="00376E58">
        <w:trPr>
          <w:jc w:val="center"/>
        </w:trPr>
        <w:tc>
          <w:tcPr>
            <w:tcW w:w="2065" w:type="dxa"/>
            <w:vAlign w:val="top"/>
          </w:tcPr>
          <w:p w14:paraId="0A6C39F5" w14:textId="77777777" w:rsidR="009B21F6" w:rsidRPr="000D254B" w:rsidRDefault="009B21F6" w:rsidP="00376E58">
            <w:pPr>
              <w:pStyle w:val="Tabletext"/>
              <w:spacing w:before="60" w:after="60" w:line="240" w:lineRule="atLeast"/>
            </w:pPr>
            <w:r>
              <w:t>CMS</w:t>
            </w:r>
          </w:p>
        </w:tc>
        <w:tc>
          <w:tcPr>
            <w:tcW w:w="7285" w:type="dxa"/>
            <w:vAlign w:val="top"/>
          </w:tcPr>
          <w:p w14:paraId="74F819A2" w14:textId="37432114" w:rsidR="009B21F6" w:rsidRPr="000D254B" w:rsidRDefault="009B21F6" w:rsidP="00376E58">
            <w:pPr>
              <w:pStyle w:val="Tabletext"/>
              <w:spacing w:before="60" w:after="60" w:line="240" w:lineRule="atLeast"/>
            </w:pPr>
            <w:r>
              <w:t>Centers for Medicare &amp; Medicaid Services</w:t>
            </w:r>
          </w:p>
        </w:tc>
      </w:tr>
      <w:tr w:rsidR="009B21F6" w:rsidRPr="00F97E04" w14:paraId="09A4532E" w14:textId="77777777" w:rsidTr="00376E58">
        <w:trPr>
          <w:jc w:val="center"/>
        </w:trPr>
        <w:tc>
          <w:tcPr>
            <w:tcW w:w="2065" w:type="dxa"/>
            <w:vAlign w:val="top"/>
          </w:tcPr>
          <w:p w14:paraId="271C263D" w14:textId="093DE1B2" w:rsidR="009B21F6" w:rsidRPr="000D254B" w:rsidRDefault="009B21F6" w:rsidP="00376E58">
            <w:pPr>
              <w:pStyle w:val="Tabletext"/>
              <w:spacing w:before="60" w:after="60" w:line="240" w:lineRule="atLeast"/>
            </w:pPr>
            <w:r>
              <w:t>CMP</w:t>
            </w:r>
          </w:p>
        </w:tc>
        <w:tc>
          <w:tcPr>
            <w:tcW w:w="7285" w:type="dxa"/>
            <w:vAlign w:val="top"/>
          </w:tcPr>
          <w:p w14:paraId="7DF3B644" w14:textId="59D680E5" w:rsidR="009B21F6" w:rsidRPr="000D254B" w:rsidRDefault="009B21F6" w:rsidP="00376E58">
            <w:pPr>
              <w:pStyle w:val="Tabletext"/>
              <w:spacing w:before="60" w:after="60" w:line="240" w:lineRule="atLeast"/>
            </w:pPr>
            <w:r>
              <w:t>Configuration Management Plan</w:t>
            </w:r>
          </w:p>
        </w:tc>
      </w:tr>
      <w:tr w:rsidR="009B21F6" w:rsidRPr="00F97E04" w14:paraId="454A74A5" w14:textId="77777777" w:rsidTr="00376E58">
        <w:trPr>
          <w:jc w:val="center"/>
        </w:trPr>
        <w:tc>
          <w:tcPr>
            <w:tcW w:w="2065" w:type="dxa"/>
            <w:vAlign w:val="top"/>
          </w:tcPr>
          <w:p w14:paraId="6C3B7791" w14:textId="2D947653" w:rsidR="009B21F6" w:rsidRPr="00F97E04" w:rsidRDefault="009B21F6" w:rsidP="00376E58">
            <w:pPr>
              <w:pStyle w:val="Tabletext"/>
              <w:spacing w:before="60" w:after="60" w:line="240" w:lineRule="atLeast"/>
            </w:pPr>
            <w:r>
              <w:t>COTS</w:t>
            </w:r>
          </w:p>
        </w:tc>
        <w:tc>
          <w:tcPr>
            <w:tcW w:w="7285" w:type="dxa"/>
            <w:vAlign w:val="top"/>
          </w:tcPr>
          <w:p w14:paraId="4066DD74" w14:textId="72EF0957" w:rsidR="009B21F6" w:rsidRPr="00F97E04" w:rsidRDefault="009B21F6" w:rsidP="00376E58">
            <w:pPr>
              <w:pStyle w:val="Tabletext"/>
              <w:spacing w:before="60" w:after="60" w:line="240" w:lineRule="atLeast"/>
            </w:pPr>
            <w:r>
              <w:t>Commercial Off-the-Shelf</w:t>
            </w:r>
          </w:p>
        </w:tc>
      </w:tr>
      <w:tr w:rsidR="009B21F6" w:rsidRPr="00F97E04" w14:paraId="2701E792" w14:textId="77777777" w:rsidTr="00376E58">
        <w:trPr>
          <w:jc w:val="center"/>
        </w:trPr>
        <w:tc>
          <w:tcPr>
            <w:tcW w:w="2065" w:type="dxa"/>
            <w:vAlign w:val="top"/>
          </w:tcPr>
          <w:p w14:paraId="404B5071" w14:textId="4EED1ADA" w:rsidR="009B21F6" w:rsidRPr="000D254B" w:rsidRDefault="009B21F6" w:rsidP="00376E58">
            <w:pPr>
              <w:pStyle w:val="Tabletext"/>
              <w:spacing w:before="60" w:after="60" w:line="240" w:lineRule="atLeast"/>
            </w:pPr>
            <w:r>
              <w:t>CSR</w:t>
            </w:r>
          </w:p>
        </w:tc>
        <w:tc>
          <w:tcPr>
            <w:tcW w:w="7285" w:type="dxa"/>
            <w:vAlign w:val="top"/>
          </w:tcPr>
          <w:p w14:paraId="2459E062" w14:textId="5B9F7B03" w:rsidR="009B21F6" w:rsidRPr="000D254B" w:rsidRDefault="009B21F6" w:rsidP="00376E58">
            <w:pPr>
              <w:pStyle w:val="Tabletext"/>
              <w:spacing w:before="60" w:after="60" w:line="240" w:lineRule="atLeast"/>
            </w:pPr>
            <w:r>
              <w:t>Customer Service Representative</w:t>
            </w:r>
          </w:p>
        </w:tc>
      </w:tr>
      <w:tr w:rsidR="009B21F6" w:rsidRPr="00F97E04" w14:paraId="19D525D5" w14:textId="77777777" w:rsidTr="00376E58">
        <w:trPr>
          <w:jc w:val="center"/>
        </w:trPr>
        <w:tc>
          <w:tcPr>
            <w:tcW w:w="2065" w:type="dxa"/>
            <w:vAlign w:val="top"/>
          </w:tcPr>
          <w:p w14:paraId="129EBF41" w14:textId="363FF371" w:rsidR="009B21F6" w:rsidRPr="000D254B" w:rsidRDefault="009B21F6" w:rsidP="00376E58">
            <w:pPr>
              <w:pStyle w:val="Tabletext"/>
              <w:spacing w:before="60" w:after="60" w:line="240" w:lineRule="atLeast"/>
            </w:pPr>
            <w:r>
              <w:t>DOH</w:t>
            </w:r>
          </w:p>
        </w:tc>
        <w:tc>
          <w:tcPr>
            <w:tcW w:w="7285" w:type="dxa"/>
            <w:vAlign w:val="top"/>
          </w:tcPr>
          <w:p w14:paraId="6F1BD55C" w14:textId="567DB87A" w:rsidR="009B21F6" w:rsidRPr="000D254B" w:rsidRDefault="009B21F6" w:rsidP="00376E58">
            <w:pPr>
              <w:pStyle w:val="Tabletext"/>
              <w:spacing w:before="60" w:after="60" w:line="240" w:lineRule="atLeast"/>
            </w:pPr>
            <w:r>
              <w:t>Department of Health</w:t>
            </w:r>
          </w:p>
        </w:tc>
      </w:tr>
      <w:tr w:rsidR="009B21F6" w:rsidRPr="00F97E04" w14:paraId="4135388A" w14:textId="77777777" w:rsidTr="00376E58">
        <w:trPr>
          <w:jc w:val="center"/>
        </w:trPr>
        <w:tc>
          <w:tcPr>
            <w:tcW w:w="2065" w:type="dxa"/>
            <w:vAlign w:val="top"/>
          </w:tcPr>
          <w:p w14:paraId="630AC579" w14:textId="2E4271E9" w:rsidR="009B21F6" w:rsidRPr="000D254B" w:rsidRDefault="009B21F6" w:rsidP="00376E58">
            <w:pPr>
              <w:pStyle w:val="Tabletext"/>
              <w:spacing w:before="60" w:after="60" w:line="240" w:lineRule="atLeast"/>
            </w:pPr>
            <w:r>
              <w:t>DOS</w:t>
            </w:r>
          </w:p>
        </w:tc>
        <w:tc>
          <w:tcPr>
            <w:tcW w:w="7285" w:type="dxa"/>
            <w:vAlign w:val="top"/>
          </w:tcPr>
          <w:p w14:paraId="2F4690FE" w14:textId="7D9A81D5" w:rsidR="009B21F6" w:rsidRPr="000D254B" w:rsidRDefault="009B21F6" w:rsidP="00376E58">
            <w:pPr>
              <w:pStyle w:val="Tabletext"/>
              <w:spacing w:before="60" w:after="60" w:line="240" w:lineRule="atLeast"/>
            </w:pPr>
            <w:r>
              <w:t>Division of Operations and Systems</w:t>
            </w:r>
          </w:p>
        </w:tc>
      </w:tr>
      <w:tr w:rsidR="009B21F6" w:rsidRPr="00F97E04" w14:paraId="5227EE09" w14:textId="77777777" w:rsidTr="00376E58">
        <w:trPr>
          <w:jc w:val="center"/>
        </w:trPr>
        <w:tc>
          <w:tcPr>
            <w:tcW w:w="2065" w:type="dxa"/>
            <w:vAlign w:val="top"/>
          </w:tcPr>
          <w:p w14:paraId="5A958C2C" w14:textId="25661DD9" w:rsidR="009B21F6" w:rsidRPr="000D254B" w:rsidRDefault="009B21F6" w:rsidP="00376E58">
            <w:pPr>
              <w:pStyle w:val="Tabletext"/>
              <w:spacing w:before="60" w:after="60" w:line="240" w:lineRule="atLeast"/>
            </w:pPr>
            <w:r>
              <w:t>DR</w:t>
            </w:r>
          </w:p>
        </w:tc>
        <w:tc>
          <w:tcPr>
            <w:tcW w:w="7285" w:type="dxa"/>
            <w:vAlign w:val="top"/>
          </w:tcPr>
          <w:p w14:paraId="362F5DA2" w14:textId="01839C7C" w:rsidR="009B21F6" w:rsidRPr="000D254B" w:rsidRDefault="009B21F6" w:rsidP="00376E58">
            <w:pPr>
              <w:pStyle w:val="Tabletext"/>
              <w:spacing w:before="60" w:after="60" w:line="240" w:lineRule="atLeast"/>
            </w:pPr>
            <w:r>
              <w:t>Disaster Recovery</w:t>
            </w:r>
          </w:p>
        </w:tc>
      </w:tr>
      <w:tr w:rsidR="009B21F6" w:rsidRPr="00F97E04" w14:paraId="5B9E3CF6" w14:textId="77777777" w:rsidTr="00376E58">
        <w:trPr>
          <w:jc w:val="center"/>
        </w:trPr>
        <w:tc>
          <w:tcPr>
            <w:tcW w:w="2065" w:type="dxa"/>
            <w:vAlign w:val="top"/>
          </w:tcPr>
          <w:p w14:paraId="34D5A178" w14:textId="421C540E" w:rsidR="009B21F6" w:rsidRPr="00F97E04" w:rsidRDefault="009B21F6" w:rsidP="00376E58">
            <w:pPr>
              <w:pStyle w:val="Tabletext"/>
              <w:spacing w:before="60" w:after="60" w:line="240" w:lineRule="atLeast"/>
            </w:pPr>
            <w:r>
              <w:t>EOL</w:t>
            </w:r>
          </w:p>
        </w:tc>
        <w:tc>
          <w:tcPr>
            <w:tcW w:w="7285" w:type="dxa"/>
            <w:vAlign w:val="top"/>
          </w:tcPr>
          <w:p w14:paraId="02A05309" w14:textId="149C8816" w:rsidR="009B21F6" w:rsidRPr="00F97E04" w:rsidRDefault="009B21F6" w:rsidP="00376E58">
            <w:pPr>
              <w:pStyle w:val="Tabletext"/>
              <w:spacing w:before="60" w:after="60" w:line="240" w:lineRule="atLeast"/>
            </w:pPr>
            <w:r>
              <w:t>End of Life</w:t>
            </w:r>
          </w:p>
        </w:tc>
      </w:tr>
      <w:tr w:rsidR="009B21F6" w:rsidRPr="00F97E04" w14:paraId="4A86B81C" w14:textId="77777777" w:rsidTr="00376E58">
        <w:trPr>
          <w:jc w:val="center"/>
        </w:trPr>
        <w:tc>
          <w:tcPr>
            <w:tcW w:w="2065" w:type="dxa"/>
            <w:vAlign w:val="top"/>
          </w:tcPr>
          <w:p w14:paraId="6DC60E5D" w14:textId="434C0EAA" w:rsidR="009B21F6" w:rsidRPr="00F97E04" w:rsidRDefault="009B21F6" w:rsidP="00376E58">
            <w:pPr>
              <w:pStyle w:val="Tabletext"/>
              <w:spacing w:before="60" w:after="60" w:line="240" w:lineRule="atLeast"/>
            </w:pPr>
            <w:r>
              <w:t>EOS</w:t>
            </w:r>
          </w:p>
        </w:tc>
        <w:tc>
          <w:tcPr>
            <w:tcW w:w="7285" w:type="dxa"/>
            <w:vAlign w:val="top"/>
          </w:tcPr>
          <w:p w14:paraId="6221ECCF" w14:textId="0446AFBB" w:rsidR="009B21F6" w:rsidRPr="00F97E04" w:rsidRDefault="009B21F6" w:rsidP="00376E58">
            <w:pPr>
              <w:pStyle w:val="Tabletext"/>
              <w:spacing w:before="60" w:after="60" w:line="240" w:lineRule="atLeast"/>
            </w:pPr>
            <w:r>
              <w:t>End of Support</w:t>
            </w:r>
          </w:p>
        </w:tc>
      </w:tr>
      <w:tr w:rsidR="009B21F6" w:rsidRPr="00F97E04" w14:paraId="240D4A25" w14:textId="77777777" w:rsidTr="00376E58">
        <w:trPr>
          <w:jc w:val="center"/>
        </w:trPr>
        <w:tc>
          <w:tcPr>
            <w:tcW w:w="2065" w:type="dxa"/>
            <w:vAlign w:val="top"/>
          </w:tcPr>
          <w:p w14:paraId="474F485C" w14:textId="7066C739" w:rsidR="009B21F6" w:rsidRPr="000D254B" w:rsidRDefault="009B21F6" w:rsidP="00376E58">
            <w:pPr>
              <w:pStyle w:val="Tabletext"/>
              <w:spacing w:before="60" w:after="60" w:line="240" w:lineRule="atLeast"/>
            </w:pPr>
            <w:r>
              <w:t>EST</w:t>
            </w:r>
          </w:p>
        </w:tc>
        <w:tc>
          <w:tcPr>
            <w:tcW w:w="7285" w:type="dxa"/>
            <w:vAlign w:val="top"/>
          </w:tcPr>
          <w:p w14:paraId="4797C27F" w14:textId="5FB3ABC3" w:rsidR="009B21F6" w:rsidRPr="000D254B" w:rsidRDefault="009B21F6" w:rsidP="00376E58">
            <w:pPr>
              <w:pStyle w:val="Tabletext"/>
              <w:spacing w:before="60" w:after="60" w:line="240" w:lineRule="atLeast"/>
            </w:pPr>
            <w:r>
              <w:t>Eastern Standard Time</w:t>
            </w:r>
          </w:p>
        </w:tc>
      </w:tr>
      <w:tr w:rsidR="009B21F6" w:rsidRPr="00F97E04" w14:paraId="6F2FFE2E" w14:textId="77777777" w:rsidTr="00376E58">
        <w:trPr>
          <w:jc w:val="center"/>
        </w:trPr>
        <w:tc>
          <w:tcPr>
            <w:tcW w:w="2065" w:type="dxa"/>
            <w:vAlign w:val="top"/>
          </w:tcPr>
          <w:p w14:paraId="66248840" w14:textId="0AB271C6" w:rsidR="009B21F6" w:rsidRPr="000D254B" w:rsidRDefault="009B21F6" w:rsidP="00376E58">
            <w:pPr>
              <w:pStyle w:val="Tabletext"/>
              <w:spacing w:before="60" w:after="60" w:line="240" w:lineRule="atLeast"/>
            </w:pPr>
            <w:r>
              <w:t>FDD</w:t>
            </w:r>
          </w:p>
        </w:tc>
        <w:tc>
          <w:tcPr>
            <w:tcW w:w="7285" w:type="dxa"/>
            <w:vAlign w:val="top"/>
          </w:tcPr>
          <w:p w14:paraId="228BFB2F" w14:textId="75F8532C" w:rsidR="009B21F6" w:rsidRPr="000D254B" w:rsidRDefault="009B21F6" w:rsidP="00376E58">
            <w:pPr>
              <w:pStyle w:val="Tabletext"/>
              <w:spacing w:before="60" w:after="60" w:line="240" w:lineRule="atLeast"/>
            </w:pPr>
            <w:r>
              <w:t>Functional Design Document</w:t>
            </w:r>
          </w:p>
        </w:tc>
      </w:tr>
      <w:tr w:rsidR="009B21F6" w:rsidRPr="00F97E04" w14:paraId="427059A8" w14:textId="77777777" w:rsidTr="00376E58">
        <w:trPr>
          <w:jc w:val="center"/>
        </w:trPr>
        <w:tc>
          <w:tcPr>
            <w:tcW w:w="2065" w:type="dxa"/>
            <w:vAlign w:val="top"/>
          </w:tcPr>
          <w:p w14:paraId="03BC3839" w14:textId="5A8222F4" w:rsidR="009B21F6" w:rsidRPr="000D254B" w:rsidRDefault="009B21F6" w:rsidP="00376E58">
            <w:pPr>
              <w:pStyle w:val="Tabletext"/>
              <w:spacing w:before="60" w:after="60" w:line="240" w:lineRule="atLeast"/>
            </w:pPr>
            <w:r>
              <w:t>FedRAMP</w:t>
            </w:r>
          </w:p>
        </w:tc>
        <w:tc>
          <w:tcPr>
            <w:tcW w:w="7285" w:type="dxa"/>
            <w:vAlign w:val="top"/>
          </w:tcPr>
          <w:p w14:paraId="66C58446" w14:textId="438339A1" w:rsidR="009B21F6" w:rsidRPr="000D254B" w:rsidRDefault="009B21F6" w:rsidP="00376E58">
            <w:pPr>
              <w:pStyle w:val="Tabletext"/>
              <w:spacing w:before="60" w:after="60" w:line="240" w:lineRule="atLeast"/>
            </w:pPr>
            <w:r>
              <w:t>Federal Risk and Authorization Management Program</w:t>
            </w:r>
          </w:p>
        </w:tc>
      </w:tr>
      <w:tr w:rsidR="009B21F6" w:rsidRPr="00F97E04" w14:paraId="65DFE193" w14:textId="77777777" w:rsidTr="00376E58">
        <w:trPr>
          <w:jc w:val="center"/>
        </w:trPr>
        <w:tc>
          <w:tcPr>
            <w:tcW w:w="2065" w:type="dxa"/>
            <w:vAlign w:val="top"/>
          </w:tcPr>
          <w:p w14:paraId="00C77A34" w14:textId="3257A412" w:rsidR="009B21F6" w:rsidRPr="00F97E04" w:rsidRDefault="009B21F6" w:rsidP="00376E58">
            <w:pPr>
              <w:pStyle w:val="Tabletext"/>
              <w:spacing w:before="60" w:after="60" w:line="240" w:lineRule="atLeast"/>
            </w:pPr>
            <w:r>
              <w:t>GCS</w:t>
            </w:r>
          </w:p>
        </w:tc>
        <w:tc>
          <w:tcPr>
            <w:tcW w:w="7285" w:type="dxa"/>
            <w:vAlign w:val="top"/>
          </w:tcPr>
          <w:p w14:paraId="7FA7DD40" w14:textId="5FF9D3D2" w:rsidR="009B21F6" w:rsidRPr="00F97E04" w:rsidRDefault="009B21F6" w:rsidP="00376E58">
            <w:pPr>
              <w:pStyle w:val="Tabletext"/>
              <w:spacing w:before="60" w:after="60" w:line="240" w:lineRule="atLeast"/>
            </w:pPr>
            <w:r>
              <w:t>Google Cloud Platform</w:t>
            </w:r>
          </w:p>
        </w:tc>
      </w:tr>
      <w:tr w:rsidR="009B21F6" w:rsidRPr="00F97E04" w14:paraId="01BE84FC" w14:textId="77777777" w:rsidTr="00376E58">
        <w:trPr>
          <w:jc w:val="center"/>
        </w:trPr>
        <w:tc>
          <w:tcPr>
            <w:tcW w:w="2065" w:type="dxa"/>
            <w:vAlign w:val="top"/>
          </w:tcPr>
          <w:p w14:paraId="3D1A6169" w14:textId="0DB7E984" w:rsidR="009B21F6" w:rsidRPr="000D254B" w:rsidRDefault="009B21F6" w:rsidP="00376E58">
            <w:pPr>
              <w:pStyle w:val="Tabletext"/>
              <w:spacing w:before="60" w:after="60" w:line="240" w:lineRule="atLeast"/>
            </w:pPr>
            <w:r>
              <w:t>HIPAA</w:t>
            </w:r>
          </w:p>
        </w:tc>
        <w:tc>
          <w:tcPr>
            <w:tcW w:w="7285" w:type="dxa"/>
            <w:vAlign w:val="top"/>
          </w:tcPr>
          <w:p w14:paraId="3817BD1B" w14:textId="51B259CD" w:rsidR="009B21F6" w:rsidRPr="000D254B" w:rsidRDefault="009B21F6" w:rsidP="00376E58">
            <w:pPr>
              <w:pStyle w:val="Tabletext"/>
              <w:spacing w:before="60" w:after="60" w:line="240" w:lineRule="atLeast"/>
            </w:pPr>
            <w:r>
              <w:t>Health Information Portability Accountability Act</w:t>
            </w:r>
          </w:p>
        </w:tc>
      </w:tr>
      <w:tr w:rsidR="009B21F6" w:rsidRPr="00F97E04" w14:paraId="29007B3D" w14:textId="77777777" w:rsidTr="00376E58">
        <w:trPr>
          <w:jc w:val="center"/>
        </w:trPr>
        <w:tc>
          <w:tcPr>
            <w:tcW w:w="2065" w:type="dxa"/>
            <w:vAlign w:val="top"/>
          </w:tcPr>
          <w:p w14:paraId="418276CA" w14:textId="60F2672D" w:rsidR="009B21F6" w:rsidRPr="000D254B" w:rsidRDefault="009B21F6" w:rsidP="00376E58">
            <w:pPr>
              <w:pStyle w:val="Tabletext"/>
              <w:spacing w:before="60" w:after="60" w:line="240" w:lineRule="atLeast"/>
            </w:pPr>
            <w:r>
              <w:t>HITECH</w:t>
            </w:r>
          </w:p>
        </w:tc>
        <w:tc>
          <w:tcPr>
            <w:tcW w:w="7285" w:type="dxa"/>
            <w:vAlign w:val="top"/>
          </w:tcPr>
          <w:p w14:paraId="4513F08F" w14:textId="3B783E37" w:rsidR="009B21F6" w:rsidRPr="000D254B" w:rsidRDefault="009B21F6" w:rsidP="00376E58">
            <w:pPr>
              <w:pStyle w:val="Tabletext"/>
              <w:spacing w:before="60" w:after="60" w:line="240" w:lineRule="atLeast"/>
            </w:pPr>
            <w:r>
              <w:t>Health Information Technology for Economic and Clinical Health Act</w:t>
            </w:r>
          </w:p>
        </w:tc>
      </w:tr>
      <w:tr w:rsidR="009B21F6" w:rsidRPr="00F97E04" w14:paraId="787FF45A" w14:textId="77777777" w:rsidTr="00376E58">
        <w:trPr>
          <w:jc w:val="center"/>
        </w:trPr>
        <w:tc>
          <w:tcPr>
            <w:tcW w:w="2065" w:type="dxa"/>
            <w:vAlign w:val="top"/>
          </w:tcPr>
          <w:p w14:paraId="664B4816" w14:textId="1AD9AB92" w:rsidR="009B21F6" w:rsidRPr="000D254B" w:rsidRDefault="009B21F6" w:rsidP="00376E58">
            <w:pPr>
              <w:pStyle w:val="Tabletext"/>
              <w:spacing w:before="60" w:after="60" w:line="240" w:lineRule="atLeast"/>
            </w:pPr>
            <w:r>
              <w:t>IAM</w:t>
            </w:r>
          </w:p>
        </w:tc>
        <w:tc>
          <w:tcPr>
            <w:tcW w:w="7285" w:type="dxa"/>
            <w:vAlign w:val="top"/>
          </w:tcPr>
          <w:p w14:paraId="711973E4" w14:textId="4C422B4D" w:rsidR="009B21F6" w:rsidRPr="000D254B" w:rsidRDefault="009B21F6" w:rsidP="00376E58">
            <w:pPr>
              <w:pStyle w:val="Tabletext"/>
              <w:spacing w:before="60" w:after="60" w:line="240" w:lineRule="atLeast"/>
            </w:pPr>
            <w:r>
              <w:t>Identity and Access Management</w:t>
            </w:r>
          </w:p>
        </w:tc>
      </w:tr>
      <w:tr w:rsidR="009B21F6" w:rsidRPr="00F97E04" w14:paraId="71BE20B4" w14:textId="77777777" w:rsidTr="00376E58">
        <w:trPr>
          <w:jc w:val="center"/>
        </w:trPr>
        <w:tc>
          <w:tcPr>
            <w:tcW w:w="2065" w:type="dxa"/>
            <w:vAlign w:val="top"/>
          </w:tcPr>
          <w:p w14:paraId="6FE0578F" w14:textId="5F6612D6" w:rsidR="009B21F6" w:rsidRPr="000D254B" w:rsidRDefault="009B21F6" w:rsidP="00376E58">
            <w:pPr>
              <w:pStyle w:val="Tabletext"/>
              <w:spacing w:before="60" w:after="60" w:line="240" w:lineRule="atLeast"/>
            </w:pPr>
            <w:r>
              <w:t>ICD</w:t>
            </w:r>
          </w:p>
        </w:tc>
        <w:tc>
          <w:tcPr>
            <w:tcW w:w="7285" w:type="dxa"/>
            <w:vAlign w:val="top"/>
          </w:tcPr>
          <w:p w14:paraId="0C8BFEE4" w14:textId="496C3F7F" w:rsidR="009B21F6" w:rsidRPr="000D254B" w:rsidRDefault="009B21F6" w:rsidP="00376E58">
            <w:pPr>
              <w:pStyle w:val="Tabletext"/>
              <w:spacing w:before="60" w:after="60" w:line="240" w:lineRule="atLeast"/>
            </w:pPr>
            <w:r>
              <w:t>Interface Control Document</w:t>
            </w:r>
          </w:p>
        </w:tc>
      </w:tr>
      <w:tr w:rsidR="009B21F6" w:rsidRPr="00F97E04" w14:paraId="09449518" w14:textId="77777777" w:rsidTr="00376E58">
        <w:trPr>
          <w:jc w:val="center"/>
        </w:trPr>
        <w:tc>
          <w:tcPr>
            <w:tcW w:w="2065" w:type="dxa"/>
            <w:vAlign w:val="top"/>
          </w:tcPr>
          <w:p w14:paraId="23D4C24E" w14:textId="0A7CAABE" w:rsidR="009B21F6" w:rsidRPr="000D254B" w:rsidRDefault="009B21F6" w:rsidP="00376E58">
            <w:pPr>
              <w:pStyle w:val="Tabletext"/>
              <w:spacing w:before="60" w:after="60" w:line="240" w:lineRule="atLeast"/>
            </w:pPr>
            <w:r>
              <w:t>IRP</w:t>
            </w:r>
          </w:p>
        </w:tc>
        <w:tc>
          <w:tcPr>
            <w:tcW w:w="7285" w:type="dxa"/>
            <w:vAlign w:val="top"/>
          </w:tcPr>
          <w:p w14:paraId="342EFA49" w14:textId="7BD24B0E" w:rsidR="009B21F6" w:rsidRPr="000D254B" w:rsidRDefault="009B21F6" w:rsidP="00376E58">
            <w:pPr>
              <w:pStyle w:val="Tabletext"/>
              <w:spacing w:before="60" w:after="60" w:line="240" w:lineRule="atLeast"/>
            </w:pPr>
            <w:r>
              <w:t>Incident Response Plan</w:t>
            </w:r>
          </w:p>
        </w:tc>
      </w:tr>
      <w:tr w:rsidR="009B21F6" w:rsidRPr="00F97E04" w14:paraId="74BBCA26" w14:textId="77777777" w:rsidTr="00376E58">
        <w:trPr>
          <w:jc w:val="center"/>
        </w:trPr>
        <w:tc>
          <w:tcPr>
            <w:tcW w:w="2065" w:type="dxa"/>
            <w:vAlign w:val="top"/>
          </w:tcPr>
          <w:p w14:paraId="6246B562" w14:textId="26B1630D" w:rsidR="009B21F6" w:rsidRPr="000D254B" w:rsidRDefault="009B21F6" w:rsidP="00376E58">
            <w:pPr>
              <w:pStyle w:val="Tabletext"/>
              <w:spacing w:before="60" w:after="60" w:line="240" w:lineRule="atLeast"/>
            </w:pPr>
            <w:r>
              <w:t>IRS</w:t>
            </w:r>
          </w:p>
        </w:tc>
        <w:tc>
          <w:tcPr>
            <w:tcW w:w="7285" w:type="dxa"/>
            <w:vAlign w:val="top"/>
          </w:tcPr>
          <w:p w14:paraId="4DA958AD" w14:textId="6D278C5F" w:rsidR="009B21F6" w:rsidRPr="000D254B" w:rsidRDefault="009B21F6" w:rsidP="00376E58">
            <w:pPr>
              <w:pStyle w:val="Tabletext"/>
              <w:spacing w:before="60" w:after="60" w:line="240" w:lineRule="atLeast"/>
            </w:pPr>
            <w:r>
              <w:t>Internal Revenue Service</w:t>
            </w:r>
          </w:p>
        </w:tc>
      </w:tr>
      <w:tr w:rsidR="009B21F6" w:rsidRPr="00F97E04" w14:paraId="7597D4AA" w14:textId="77777777" w:rsidTr="00376E58">
        <w:trPr>
          <w:jc w:val="center"/>
        </w:trPr>
        <w:tc>
          <w:tcPr>
            <w:tcW w:w="2065" w:type="dxa"/>
            <w:vAlign w:val="top"/>
          </w:tcPr>
          <w:p w14:paraId="5F527CD8" w14:textId="5971D7EE" w:rsidR="009B21F6" w:rsidRPr="000D254B" w:rsidRDefault="009B21F6" w:rsidP="00376E58">
            <w:pPr>
              <w:pStyle w:val="Tabletext"/>
              <w:spacing w:before="60" w:after="60" w:line="240" w:lineRule="atLeast"/>
            </w:pPr>
            <w:r>
              <w:t>ISBNA</w:t>
            </w:r>
          </w:p>
        </w:tc>
        <w:tc>
          <w:tcPr>
            <w:tcW w:w="7285" w:type="dxa"/>
            <w:vAlign w:val="top"/>
          </w:tcPr>
          <w:p w14:paraId="7A8C5B4F" w14:textId="7DE6F641" w:rsidR="009B21F6" w:rsidRPr="000D254B" w:rsidRDefault="009B21F6" w:rsidP="00376E58">
            <w:pPr>
              <w:pStyle w:val="Tabletext"/>
              <w:spacing w:before="60" w:after="60" w:line="240" w:lineRule="atLeast"/>
            </w:pPr>
            <w:r>
              <w:t>Information Security Breach and Notification Act</w:t>
            </w:r>
          </w:p>
        </w:tc>
      </w:tr>
      <w:tr w:rsidR="009B21F6" w:rsidRPr="00F97E04" w14:paraId="1DE0A54E" w14:textId="77777777" w:rsidTr="00376E58">
        <w:trPr>
          <w:trHeight w:val="300"/>
          <w:jc w:val="center"/>
        </w:trPr>
        <w:tc>
          <w:tcPr>
            <w:tcW w:w="2065" w:type="dxa"/>
            <w:vAlign w:val="top"/>
          </w:tcPr>
          <w:p w14:paraId="1B6D0A75" w14:textId="43C4ECE2" w:rsidR="009B21F6" w:rsidRPr="000D254B" w:rsidRDefault="009B21F6" w:rsidP="00376E58">
            <w:pPr>
              <w:pStyle w:val="Tabletext"/>
              <w:spacing w:before="60" w:after="60" w:line="240" w:lineRule="atLeast"/>
            </w:pPr>
            <w:r>
              <w:t>ISOW</w:t>
            </w:r>
          </w:p>
        </w:tc>
        <w:tc>
          <w:tcPr>
            <w:tcW w:w="7285" w:type="dxa"/>
            <w:vAlign w:val="top"/>
          </w:tcPr>
          <w:p w14:paraId="1FA1E820" w14:textId="77755E96" w:rsidR="009B21F6" w:rsidRPr="000D254B" w:rsidRDefault="009B21F6" w:rsidP="00376E58">
            <w:pPr>
              <w:pStyle w:val="Tabletext"/>
              <w:spacing w:before="60" w:after="60" w:line="240" w:lineRule="atLeast"/>
            </w:pPr>
            <w:r>
              <w:t>Individual Statement of Work</w:t>
            </w:r>
          </w:p>
        </w:tc>
      </w:tr>
      <w:tr w:rsidR="009B21F6" w:rsidRPr="00F97E04" w14:paraId="3FD82FF7" w14:textId="77777777" w:rsidTr="00376E58">
        <w:trPr>
          <w:jc w:val="center"/>
        </w:trPr>
        <w:tc>
          <w:tcPr>
            <w:tcW w:w="2065" w:type="dxa"/>
            <w:vAlign w:val="top"/>
          </w:tcPr>
          <w:p w14:paraId="0D915BB5" w14:textId="67213036" w:rsidR="009B21F6" w:rsidRPr="000D254B" w:rsidRDefault="009B21F6" w:rsidP="00376E58">
            <w:pPr>
              <w:pStyle w:val="Tabletext"/>
              <w:spacing w:before="60" w:after="60" w:line="240" w:lineRule="atLeast"/>
            </w:pPr>
            <w:r>
              <w:t>ISRA</w:t>
            </w:r>
          </w:p>
        </w:tc>
        <w:tc>
          <w:tcPr>
            <w:tcW w:w="7285" w:type="dxa"/>
            <w:vAlign w:val="top"/>
          </w:tcPr>
          <w:p w14:paraId="1C77ED52" w14:textId="1DE72EF4" w:rsidR="009B21F6" w:rsidRPr="000D254B" w:rsidRDefault="009B21F6" w:rsidP="00376E58">
            <w:pPr>
              <w:pStyle w:val="Tabletext"/>
              <w:spacing w:before="60" w:after="60" w:line="240" w:lineRule="atLeast"/>
            </w:pPr>
            <w:r>
              <w:t>Information Security Risk Assessment</w:t>
            </w:r>
          </w:p>
        </w:tc>
      </w:tr>
      <w:tr w:rsidR="009B21F6" w:rsidRPr="00F97E04" w14:paraId="1C5BDEDD" w14:textId="77777777" w:rsidTr="00376E58">
        <w:trPr>
          <w:jc w:val="center"/>
        </w:trPr>
        <w:tc>
          <w:tcPr>
            <w:tcW w:w="2065" w:type="dxa"/>
            <w:vAlign w:val="top"/>
          </w:tcPr>
          <w:p w14:paraId="5DE77510" w14:textId="77777777" w:rsidR="009B21F6" w:rsidRPr="000D254B" w:rsidRDefault="009B21F6" w:rsidP="00376E58">
            <w:pPr>
              <w:pStyle w:val="Tabletext"/>
              <w:spacing w:before="60" w:after="60" w:line="240" w:lineRule="atLeast"/>
            </w:pPr>
            <w:r>
              <w:t>IT</w:t>
            </w:r>
          </w:p>
        </w:tc>
        <w:tc>
          <w:tcPr>
            <w:tcW w:w="7285" w:type="dxa"/>
            <w:vAlign w:val="top"/>
          </w:tcPr>
          <w:p w14:paraId="1382CF6A" w14:textId="77777777" w:rsidR="009B21F6" w:rsidRPr="000D254B" w:rsidRDefault="009B21F6" w:rsidP="00376E58">
            <w:pPr>
              <w:pStyle w:val="Tabletext"/>
              <w:spacing w:before="60" w:after="60" w:line="240" w:lineRule="atLeast"/>
            </w:pPr>
            <w:r>
              <w:t>Information Technology</w:t>
            </w:r>
          </w:p>
        </w:tc>
      </w:tr>
      <w:tr w:rsidR="009B21F6" w:rsidRPr="00F97E04" w14:paraId="6AF8B8F4" w14:textId="77777777" w:rsidTr="00376E58">
        <w:trPr>
          <w:jc w:val="center"/>
        </w:trPr>
        <w:tc>
          <w:tcPr>
            <w:tcW w:w="2065" w:type="dxa"/>
            <w:vAlign w:val="top"/>
          </w:tcPr>
          <w:p w14:paraId="5B888F09" w14:textId="2E2C40DB" w:rsidR="009B21F6" w:rsidRPr="000D254B" w:rsidRDefault="009B21F6" w:rsidP="00376E58">
            <w:pPr>
              <w:pStyle w:val="Tabletext"/>
              <w:spacing w:before="60" w:after="60" w:line="240" w:lineRule="atLeast"/>
            </w:pPr>
            <w:r>
              <w:t>ITIL</w:t>
            </w:r>
          </w:p>
        </w:tc>
        <w:tc>
          <w:tcPr>
            <w:tcW w:w="7285" w:type="dxa"/>
            <w:vAlign w:val="top"/>
          </w:tcPr>
          <w:p w14:paraId="20E421FD" w14:textId="464F34C8" w:rsidR="009B21F6" w:rsidRPr="000D254B" w:rsidRDefault="009B21F6" w:rsidP="00376E58">
            <w:pPr>
              <w:pStyle w:val="Tabletext"/>
              <w:spacing w:before="60" w:after="60" w:line="240" w:lineRule="atLeast"/>
            </w:pPr>
            <w:r>
              <w:t>Information Technology Infrastructure Library</w:t>
            </w:r>
          </w:p>
        </w:tc>
      </w:tr>
      <w:tr w:rsidR="009B21F6" w:rsidRPr="00F97E04" w14:paraId="39A23731" w14:textId="77777777" w:rsidTr="00376E58">
        <w:trPr>
          <w:jc w:val="center"/>
        </w:trPr>
        <w:tc>
          <w:tcPr>
            <w:tcW w:w="2065" w:type="dxa"/>
            <w:vAlign w:val="top"/>
          </w:tcPr>
          <w:p w14:paraId="56AB712A" w14:textId="7281AA10" w:rsidR="009B21F6" w:rsidRPr="000D254B" w:rsidRDefault="009B21F6" w:rsidP="00376E58">
            <w:pPr>
              <w:pStyle w:val="Tabletext"/>
              <w:spacing w:before="60" w:after="60" w:line="240" w:lineRule="atLeast"/>
            </w:pPr>
            <w:r>
              <w:lastRenderedPageBreak/>
              <w:t>ITSM</w:t>
            </w:r>
          </w:p>
        </w:tc>
        <w:tc>
          <w:tcPr>
            <w:tcW w:w="7285" w:type="dxa"/>
            <w:vAlign w:val="top"/>
          </w:tcPr>
          <w:p w14:paraId="0A2146B5" w14:textId="2660DDA3" w:rsidR="009B21F6" w:rsidRPr="000D254B" w:rsidRDefault="009B21F6" w:rsidP="00376E58">
            <w:pPr>
              <w:pStyle w:val="Tabletext"/>
              <w:spacing w:before="60" w:after="60" w:line="240" w:lineRule="atLeast"/>
            </w:pPr>
            <w:r>
              <w:t>Information Technology Service Management</w:t>
            </w:r>
          </w:p>
        </w:tc>
      </w:tr>
      <w:tr w:rsidR="009B21F6" w:rsidRPr="00F97E04" w14:paraId="30D73B06" w14:textId="77777777" w:rsidTr="00376E58">
        <w:trPr>
          <w:jc w:val="center"/>
        </w:trPr>
        <w:tc>
          <w:tcPr>
            <w:tcW w:w="2065" w:type="dxa"/>
            <w:vAlign w:val="top"/>
          </w:tcPr>
          <w:p w14:paraId="05E43D0A" w14:textId="32942E10" w:rsidR="009B21F6" w:rsidRPr="000D254B" w:rsidRDefault="009B21F6" w:rsidP="00376E58">
            <w:pPr>
              <w:pStyle w:val="Tabletext"/>
              <w:spacing w:before="60" w:after="60" w:line="240" w:lineRule="atLeast"/>
            </w:pPr>
            <w:r>
              <w:t>IPMS</w:t>
            </w:r>
          </w:p>
        </w:tc>
        <w:tc>
          <w:tcPr>
            <w:tcW w:w="7285" w:type="dxa"/>
            <w:vAlign w:val="top"/>
          </w:tcPr>
          <w:p w14:paraId="2006682D" w14:textId="45E869D7" w:rsidR="009B21F6" w:rsidRPr="000D254B" w:rsidRDefault="009B21F6" w:rsidP="00376E58">
            <w:pPr>
              <w:pStyle w:val="Tabletext"/>
              <w:spacing w:before="60" w:after="60" w:line="240" w:lineRule="atLeast"/>
            </w:pPr>
            <w:r>
              <w:t>Incident and Problem Management System</w:t>
            </w:r>
          </w:p>
        </w:tc>
      </w:tr>
      <w:tr w:rsidR="009B21F6" w:rsidRPr="00F97E04" w14:paraId="53BC83BB" w14:textId="77777777" w:rsidTr="00376E58">
        <w:trPr>
          <w:jc w:val="center"/>
        </w:trPr>
        <w:tc>
          <w:tcPr>
            <w:tcW w:w="2065" w:type="dxa"/>
            <w:vAlign w:val="top"/>
          </w:tcPr>
          <w:p w14:paraId="0B819776" w14:textId="77777777" w:rsidR="009B21F6" w:rsidRPr="000D254B" w:rsidRDefault="009B21F6" w:rsidP="00376E58">
            <w:pPr>
              <w:pStyle w:val="Tabletext"/>
              <w:spacing w:before="60" w:after="60" w:line="240" w:lineRule="atLeast"/>
            </w:pPr>
            <w:r>
              <w:t>M&amp;O</w:t>
            </w:r>
          </w:p>
        </w:tc>
        <w:tc>
          <w:tcPr>
            <w:tcW w:w="7285" w:type="dxa"/>
            <w:vAlign w:val="top"/>
          </w:tcPr>
          <w:p w14:paraId="059C2ED0" w14:textId="77777777" w:rsidR="009B21F6" w:rsidRPr="000D254B" w:rsidRDefault="009B21F6" w:rsidP="00376E58">
            <w:pPr>
              <w:pStyle w:val="Tabletext"/>
              <w:spacing w:before="60" w:after="60" w:line="240" w:lineRule="atLeast"/>
            </w:pPr>
            <w:r>
              <w:t>Maintenance and Operations</w:t>
            </w:r>
          </w:p>
        </w:tc>
      </w:tr>
      <w:tr w:rsidR="009B21F6" w:rsidRPr="00F97E04" w14:paraId="65309522" w14:textId="77777777" w:rsidTr="00376E58">
        <w:trPr>
          <w:jc w:val="center"/>
        </w:trPr>
        <w:tc>
          <w:tcPr>
            <w:tcW w:w="2065" w:type="dxa"/>
            <w:vAlign w:val="top"/>
          </w:tcPr>
          <w:p w14:paraId="29EBE26A" w14:textId="327E72ED" w:rsidR="009B21F6" w:rsidRPr="000D254B" w:rsidRDefault="009B21F6" w:rsidP="00376E58">
            <w:pPr>
              <w:pStyle w:val="Tabletext"/>
              <w:spacing w:before="60" w:after="60" w:line="240" w:lineRule="atLeast"/>
            </w:pPr>
            <w:r>
              <w:t>MARS-E</w:t>
            </w:r>
          </w:p>
        </w:tc>
        <w:tc>
          <w:tcPr>
            <w:tcW w:w="7285" w:type="dxa"/>
            <w:vAlign w:val="top"/>
          </w:tcPr>
          <w:p w14:paraId="5959CD94" w14:textId="654E8DCA" w:rsidR="009B21F6" w:rsidRPr="000D254B" w:rsidRDefault="009B21F6" w:rsidP="00376E58">
            <w:pPr>
              <w:pStyle w:val="Tabletext"/>
              <w:spacing w:before="60" w:after="60" w:line="240" w:lineRule="atLeast"/>
            </w:pPr>
            <w:r>
              <w:t>Minimum Acceptable Risk Standards for Exchanges</w:t>
            </w:r>
          </w:p>
        </w:tc>
      </w:tr>
      <w:tr w:rsidR="009B21F6" w:rsidRPr="00F97E04" w14:paraId="22AD95F6" w14:textId="77777777" w:rsidTr="00376E58">
        <w:trPr>
          <w:jc w:val="center"/>
        </w:trPr>
        <w:tc>
          <w:tcPr>
            <w:tcW w:w="2065" w:type="dxa"/>
            <w:vAlign w:val="top"/>
          </w:tcPr>
          <w:p w14:paraId="0216702F" w14:textId="77777777" w:rsidR="009B21F6" w:rsidRPr="000D254B" w:rsidRDefault="009B21F6" w:rsidP="00376E58">
            <w:pPr>
              <w:pStyle w:val="Tabletext"/>
              <w:spacing w:before="60" w:after="60" w:line="240" w:lineRule="atLeast"/>
            </w:pPr>
            <w:r>
              <w:t>MECM</w:t>
            </w:r>
          </w:p>
        </w:tc>
        <w:tc>
          <w:tcPr>
            <w:tcW w:w="7285" w:type="dxa"/>
            <w:vAlign w:val="top"/>
          </w:tcPr>
          <w:p w14:paraId="31DA66FC" w14:textId="77777777" w:rsidR="009B21F6" w:rsidRPr="000D254B" w:rsidRDefault="009B21F6" w:rsidP="00376E58">
            <w:pPr>
              <w:pStyle w:val="Tabletext"/>
              <w:spacing w:before="60" w:after="60" w:line="240" w:lineRule="atLeast"/>
            </w:pPr>
            <w:r>
              <w:t>Medicaid Eligibility and Client Management</w:t>
            </w:r>
          </w:p>
        </w:tc>
      </w:tr>
      <w:tr w:rsidR="009B21F6" w:rsidRPr="00F97E04" w14:paraId="70E477FD" w14:textId="77777777" w:rsidTr="00376E58">
        <w:trPr>
          <w:jc w:val="center"/>
        </w:trPr>
        <w:tc>
          <w:tcPr>
            <w:tcW w:w="2065" w:type="dxa"/>
            <w:vAlign w:val="top"/>
          </w:tcPr>
          <w:p w14:paraId="2385E170" w14:textId="0E025447" w:rsidR="009B21F6" w:rsidRPr="000D254B" w:rsidRDefault="009B21F6" w:rsidP="00376E58">
            <w:pPr>
              <w:pStyle w:val="Tabletext"/>
              <w:spacing w:before="60" w:after="60" w:line="240" w:lineRule="atLeast"/>
            </w:pPr>
            <w:r>
              <w:t>NIST</w:t>
            </w:r>
          </w:p>
        </w:tc>
        <w:tc>
          <w:tcPr>
            <w:tcW w:w="7285" w:type="dxa"/>
            <w:vAlign w:val="top"/>
          </w:tcPr>
          <w:p w14:paraId="622642FB" w14:textId="688DCDDC" w:rsidR="009B21F6" w:rsidRPr="000D254B" w:rsidRDefault="009B21F6" w:rsidP="00376E58">
            <w:pPr>
              <w:pStyle w:val="Tabletext"/>
              <w:spacing w:before="60" w:after="60" w:line="240" w:lineRule="atLeast"/>
            </w:pPr>
            <w:r>
              <w:t>National Institute of Standards and Technology</w:t>
            </w:r>
          </w:p>
        </w:tc>
      </w:tr>
      <w:tr w:rsidR="009B21F6" w:rsidRPr="00F97E04" w14:paraId="4F0EEDE7" w14:textId="77777777" w:rsidTr="00376E58">
        <w:trPr>
          <w:jc w:val="center"/>
        </w:trPr>
        <w:tc>
          <w:tcPr>
            <w:tcW w:w="2065" w:type="dxa"/>
            <w:vAlign w:val="top"/>
          </w:tcPr>
          <w:p w14:paraId="6B6A5B4C" w14:textId="72614D08" w:rsidR="009B21F6" w:rsidRPr="000D254B" w:rsidRDefault="009B21F6" w:rsidP="00376E58">
            <w:pPr>
              <w:pStyle w:val="Tabletext"/>
              <w:spacing w:before="60" w:after="60" w:line="240" w:lineRule="atLeast"/>
            </w:pPr>
            <w:r>
              <w:t>NY</w:t>
            </w:r>
          </w:p>
        </w:tc>
        <w:tc>
          <w:tcPr>
            <w:tcW w:w="7285" w:type="dxa"/>
            <w:vAlign w:val="top"/>
          </w:tcPr>
          <w:p w14:paraId="6A3D5C68" w14:textId="508C218D" w:rsidR="009B21F6" w:rsidRPr="000D254B" w:rsidRDefault="009B21F6" w:rsidP="00376E58">
            <w:pPr>
              <w:pStyle w:val="Tabletext"/>
              <w:spacing w:before="60" w:after="60" w:line="240" w:lineRule="atLeast"/>
            </w:pPr>
            <w:r>
              <w:t>New York</w:t>
            </w:r>
          </w:p>
        </w:tc>
      </w:tr>
      <w:tr w:rsidR="009B21F6" w:rsidRPr="00F97E04" w14:paraId="273F4F21" w14:textId="77777777" w:rsidTr="00376E58">
        <w:trPr>
          <w:jc w:val="center"/>
        </w:trPr>
        <w:tc>
          <w:tcPr>
            <w:tcW w:w="2065" w:type="dxa"/>
            <w:vAlign w:val="top"/>
          </w:tcPr>
          <w:p w14:paraId="785EC2A0" w14:textId="23FE8BF1" w:rsidR="009B21F6" w:rsidRPr="000D254B" w:rsidRDefault="009B21F6" w:rsidP="00376E58">
            <w:pPr>
              <w:pStyle w:val="Tabletext"/>
              <w:spacing w:before="60" w:after="60" w:line="240" w:lineRule="atLeast"/>
            </w:pPr>
            <w:r>
              <w:t>NYS</w:t>
            </w:r>
          </w:p>
        </w:tc>
        <w:tc>
          <w:tcPr>
            <w:tcW w:w="7285" w:type="dxa"/>
            <w:vAlign w:val="top"/>
          </w:tcPr>
          <w:p w14:paraId="665D602B" w14:textId="6A6A83CD" w:rsidR="009B21F6" w:rsidRPr="000D254B" w:rsidRDefault="00714984" w:rsidP="00376E58">
            <w:pPr>
              <w:pStyle w:val="Tabletext"/>
              <w:spacing w:before="60" w:after="60" w:line="240" w:lineRule="atLeast"/>
            </w:pPr>
            <w:r>
              <w:t>New York State</w:t>
            </w:r>
          </w:p>
        </w:tc>
      </w:tr>
      <w:tr w:rsidR="009B21F6" w:rsidRPr="00F97E04" w14:paraId="34AD1F53" w14:textId="77777777" w:rsidTr="00376E58">
        <w:trPr>
          <w:jc w:val="center"/>
        </w:trPr>
        <w:tc>
          <w:tcPr>
            <w:tcW w:w="2065" w:type="dxa"/>
            <w:vAlign w:val="top"/>
          </w:tcPr>
          <w:p w14:paraId="79384A12" w14:textId="1E816F1A" w:rsidR="009B21F6" w:rsidRPr="000D254B" w:rsidRDefault="009B21F6" w:rsidP="00376E58">
            <w:pPr>
              <w:pStyle w:val="Tabletext"/>
              <w:spacing w:before="60" w:after="60" w:line="240" w:lineRule="atLeast"/>
            </w:pPr>
            <w:r>
              <w:t>ITS</w:t>
            </w:r>
          </w:p>
        </w:tc>
        <w:tc>
          <w:tcPr>
            <w:tcW w:w="7285" w:type="dxa"/>
            <w:vAlign w:val="top"/>
          </w:tcPr>
          <w:p w14:paraId="7F7E8B26" w14:textId="4E0242CC" w:rsidR="009B21F6" w:rsidRPr="000D254B" w:rsidRDefault="009B21F6" w:rsidP="00376E58">
            <w:pPr>
              <w:pStyle w:val="Tabletext"/>
              <w:spacing w:before="60" w:after="60" w:line="240" w:lineRule="atLeast"/>
            </w:pPr>
            <w:r>
              <w:t>Information Technology Services</w:t>
            </w:r>
          </w:p>
        </w:tc>
      </w:tr>
      <w:tr w:rsidR="00F93B06" w:rsidRPr="00F97E04" w14:paraId="307B20F3" w14:textId="77777777" w:rsidTr="00376E58">
        <w:trPr>
          <w:jc w:val="center"/>
        </w:trPr>
        <w:tc>
          <w:tcPr>
            <w:tcW w:w="2065" w:type="dxa"/>
            <w:vAlign w:val="top"/>
          </w:tcPr>
          <w:p w14:paraId="5847561F" w14:textId="2EB0FA66" w:rsidR="00F93B06" w:rsidRPr="000D254B" w:rsidRDefault="00F93B06" w:rsidP="00376E58">
            <w:pPr>
              <w:pStyle w:val="Tabletext"/>
              <w:spacing w:before="60" w:after="60" w:line="240" w:lineRule="atLeast"/>
            </w:pPr>
            <w:r>
              <w:t>OHIP</w:t>
            </w:r>
          </w:p>
        </w:tc>
        <w:tc>
          <w:tcPr>
            <w:tcW w:w="7285" w:type="dxa"/>
            <w:vAlign w:val="top"/>
          </w:tcPr>
          <w:p w14:paraId="43BFCF29" w14:textId="55CE0023" w:rsidR="00F93B06" w:rsidRPr="000D254B" w:rsidRDefault="00F93B06" w:rsidP="00376E58">
            <w:pPr>
              <w:pStyle w:val="Tabletext"/>
              <w:spacing w:before="60" w:after="60" w:line="240" w:lineRule="atLeast"/>
            </w:pPr>
            <w:r>
              <w:t>Office of Health Insurance Programs</w:t>
            </w:r>
          </w:p>
        </w:tc>
      </w:tr>
      <w:tr w:rsidR="009B21F6" w:rsidRPr="00F97E04" w14:paraId="7C19A640" w14:textId="77777777" w:rsidTr="00376E58">
        <w:trPr>
          <w:jc w:val="center"/>
        </w:trPr>
        <w:tc>
          <w:tcPr>
            <w:tcW w:w="2065" w:type="dxa"/>
            <w:vAlign w:val="top"/>
          </w:tcPr>
          <w:p w14:paraId="25770080" w14:textId="796BFADE" w:rsidR="009B21F6" w:rsidRPr="000D254B" w:rsidRDefault="009B21F6" w:rsidP="00376E58">
            <w:pPr>
              <w:pStyle w:val="Tabletext"/>
              <w:spacing w:before="60" w:after="60" w:line="240" w:lineRule="atLeast"/>
            </w:pPr>
            <w:r>
              <w:t>PIA</w:t>
            </w:r>
          </w:p>
        </w:tc>
        <w:tc>
          <w:tcPr>
            <w:tcW w:w="7285" w:type="dxa"/>
            <w:vAlign w:val="top"/>
          </w:tcPr>
          <w:p w14:paraId="615B069D" w14:textId="263E1B4A" w:rsidR="009B21F6" w:rsidRPr="000D254B" w:rsidRDefault="009B21F6" w:rsidP="00376E58">
            <w:pPr>
              <w:pStyle w:val="Tabletext"/>
              <w:spacing w:before="60" w:after="60" w:line="240" w:lineRule="atLeast"/>
            </w:pPr>
            <w:r>
              <w:t>Privacy Impact Assessment</w:t>
            </w:r>
          </w:p>
        </w:tc>
      </w:tr>
      <w:tr w:rsidR="009B21F6" w:rsidRPr="00F97E04" w14:paraId="2A188C3B" w14:textId="77777777" w:rsidTr="00376E58">
        <w:trPr>
          <w:jc w:val="center"/>
        </w:trPr>
        <w:tc>
          <w:tcPr>
            <w:tcW w:w="2065" w:type="dxa"/>
            <w:vAlign w:val="top"/>
          </w:tcPr>
          <w:p w14:paraId="6F2D7B1E" w14:textId="5DF1CF91" w:rsidR="009B21F6" w:rsidRPr="000D254B" w:rsidRDefault="009B21F6" w:rsidP="00376E58">
            <w:pPr>
              <w:pStyle w:val="Tabletext"/>
              <w:spacing w:before="60" w:after="60" w:line="240" w:lineRule="atLeast"/>
            </w:pPr>
            <w:r>
              <w:t>PMP</w:t>
            </w:r>
          </w:p>
        </w:tc>
        <w:tc>
          <w:tcPr>
            <w:tcW w:w="7285" w:type="dxa"/>
            <w:vAlign w:val="top"/>
          </w:tcPr>
          <w:p w14:paraId="3ED91C1E" w14:textId="774231DD" w:rsidR="009B21F6" w:rsidRPr="000D254B" w:rsidRDefault="009B21F6" w:rsidP="00376E58">
            <w:pPr>
              <w:pStyle w:val="Tabletext"/>
              <w:spacing w:before="60" w:after="60" w:line="240" w:lineRule="atLeast"/>
            </w:pPr>
            <w:r>
              <w:t>Project Management Plan</w:t>
            </w:r>
          </w:p>
        </w:tc>
      </w:tr>
      <w:tr w:rsidR="009B21F6" w:rsidRPr="00F97E04" w14:paraId="259E8FE7" w14:textId="77777777" w:rsidTr="00376E58">
        <w:trPr>
          <w:jc w:val="center"/>
        </w:trPr>
        <w:tc>
          <w:tcPr>
            <w:tcW w:w="2065" w:type="dxa"/>
            <w:vAlign w:val="top"/>
          </w:tcPr>
          <w:p w14:paraId="43D1032D" w14:textId="5370EC06" w:rsidR="009B21F6" w:rsidRPr="000D254B" w:rsidRDefault="009B21F6" w:rsidP="00376E58">
            <w:pPr>
              <w:pStyle w:val="Tabletext"/>
              <w:spacing w:before="60" w:after="60" w:line="240" w:lineRule="atLeast"/>
            </w:pPr>
            <w:r>
              <w:t>PRI</w:t>
            </w:r>
          </w:p>
        </w:tc>
        <w:tc>
          <w:tcPr>
            <w:tcW w:w="7285" w:type="dxa"/>
            <w:vAlign w:val="top"/>
          </w:tcPr>
          <w:p w14:paraId="4473B2C9" w14:textId="5AB9B161" w:rsidR="009B21F6" w:rsidRPr="000D254B" w:rsidRDefault="009B21F6" w:rsidP="00376E58">
            <w:pPr>
              <w:pStyle w:val="Tabletext"/>
              <w:spacing w:before="60" w:after="60" w:line="240" w:lineRule="atLeast"/>
            </w:pPr>
            <w:r>
              <w:t>Potential Risk Indicators</w:t>
            </w:r>
          </w:p>
        </w:tc>
      </w:tr>
      <w:tr w:rsidR="002021F3" w:rsidRPr="00F97E04" w14:paraId="0EAB4E70" w14:textId="77777777" w:rsidTr="00376E58">
        <w:trPr>
          <w:jc w:val="center"/>
        </w:trPr>
        <w:tc>
          <w:tcPr>
            <w:tcW w:w="2065" w:type="dxa"/>
            <w:vAlign w:val="top"/>
          </w:tcPr>
          <w:p w14:paraId="0DD9CC53" w14:textId="7329C5BC" w:rsidR="002021F3" w:rsidRPr="000D254B" w:rsidRDefault="002021F3" w:rsidP="00376E58">
            <w:pPr>
              <w:pStyle w:val="Tabletext"/>
              <w:spacing w:before="60" w:after="60" w:line="240" w:lineRule="atLeast"/>
            </w:pPr>
            <w:r>
              <w:t>QA/QC</w:t>
            </w:r>
          </w:p>
        </w:tc>
        <w:tc>
          <w:tcPr>
            <w:tcW w:w="7285" w:type="dxa"/>
            <w:vAlign w:val="top"/>
          </w:tcPr>
          <w:p w14:paraId="77804385" w14:textId="604034A9" w:rsidR="002021F3" w:rsidRPr="000D254B" w:rsidRDefault="002021F3" w:rsidP="00376E58">
            <w:pPr>
              <w:pStyle w:val="Tabletext"/>
              <w:spacing w:before="60" w:after="60" w:line="240" w:lineRule="atLeast"/>
            </w:pPr>
            <w:r>
              <w:t>Quality Assurance/Quality Control</w:t>
            </w:r>
          </w:p>
        </w:tc>
      </w:tr>
      <w:tr w:rsidR="009B21F6" w:rsidRPr="00F97E04" w14:paraId="594E7899" w14:textId="77777777" w:rsidTr="00376E58">
        <w:trPr>
          <w:jc w:val="center"/>
        </w:trPr>
        <w:tc>
          <w:tcPr>
            <w:tcW w:w="2065" w:type="dxa"/>
            <w:vAlign w:val="top"/>
          </w:tcPr>
          <w:p w14:paraId="58D45067" w14:textId="08C33386" w:rsidR="009B21F6" w:rsidRPr="000D254B" w:rsidRDefault="009B21F6" w:rsidP="00376E58">
            <w:pPr>
              <w:pStyle w:val="Tabletext"/>
              <w:spacing w:before="60" w:after="60" w:line="240" w:lineRule="atLeast"/>
            </w:pPr>
            <w:r>
              <w:t>RMP</w:t>
            </w:r>
          </w:p>
        </w:tc>
        <w:tc>
          <w:tcPr>
            <w:tcW w:w="7285" w:type="dxa"/>
            <w:vAlign w:val="top"/>
          </w:tcPr>
          <w:p w14:paraId="641D7641" w14:textId="309B5B6A" w:rsidR="009B21F6" w:rsidRPr="000D254B" w:rsidRDefault="009B21F6" w:rsidP="00376E58">
            <w:pPr>
              <w:pStyle w:val="Tabletext"/>
              <w:spacing w:before="60" w:after="60" w:line="240" w:lineRule="atLeast"/>
            </w:pPr>
            <w:r>
              <w:t>Release Management Plan</w:t>
            </w:r>
          </w:p>
        </w:tc>
      </w:tr>
      <w:tr w:rsidR="009B21F6" w:rsidRPr="00F97E04" w14:paraId="5F1E6216" w14:textId="77777777" w:rsidTr="00376E58">
        <w:trPr>
          <w:jc w:val="center"/>
        </w:trPr>
        <w:tc>
          <w:tcPr>
            <w:tcW w:w="2065" w:type="dxa"/>
            <w:vAlign w:val="top"/>
          </w:tcPr>
          <w:p w14:paraId="6926F460" w14:textId="3BF4F42C" w:rsidR="009B21F6" w:rsidRPr="000D254B" w:rsidRDefault="009B21F6" w:rsidP="00376E58">
            <w:pPr>
              <w:pStyle w:val="Tabletext"/>
              <w:spacing w:before="60" w:after="60" w:line="240" w:lineRule="atLeast"/>
            </w:pPr>
            <w:r>
              <w:t>RSD</w:t>
            </w:r>
          </w:p>
        </w:tc>
        <w:tc>
          <w:tcPr>
            <w:tcW w:w="7285" w:type="dxa"/>
            <w:vAlign w:val="top"/>
          </w:tcPr>
          <w:p w14:paraId="1679F0FA" w14:textId="32BE5A5E" w:rsidR="009B21F6" w:rsidRPr="000D254B" w:rsidRDefault="009B21F6" w:rsidP="00376E58">
            <w:pPr>
              <w:pStyle w:val="Tabletext"/>
              <w:spacing w:before="60" w:after="60" w:line="240" w:lineRule="atLeast"/>
            </w:pPr>
            <w:r>
              <w:t>Requirements Specification Document</w:t>
            </w:r>
          </w:p>
        </w:tc>
      </w:tr>
      <w:tr w:rsidR="009B21F6" w:rsidRPr="00F97E04" w14:paraId="7F6A16A2" w14:textId="77777777" w:rsidTr="00376E58">
        <w:trPr>
          <w:jc w:val="center"/>
        </w:trPr>
        <w:tc>
          <w:tcPr>
            <w:tcW w:w="2065" w:type="dxa"/>
            <w:vAlign w:val="top"/>
          </w:tcPr>
          <w:p w14:paraId="4F257EAA" w14:textId="7B693EC2" w:rsidR="009B21F6" w:rsidRPr="000D254B" w:rsidRDefault="009B21F6" w:rsidP="00376E58">
            <w:pPr>
              <w:pStyle w:val="Tabletext"/>
              <w:spacing w:before="60" w:after="60" w:line="240" w:lineRule="atLeast"/>
            </w:pPr>
            <w:r>
              <w:t>SADD</w:t>
            </w:r>
          </w:p>
        </w:tc>
        <w:tc>
          <w:tcPr>
            <w:tcW w:w="7285" w:type="dxa"/>
            <w:vAlign w:val="top"/>
          </w:tcPr>
          <w:p w14:paraId="6C792AC1" w14:textId="3621E71E" w:rsidR="009B21F6" w:rsidRPr="000D254B" w:rsidRDefault="009B21F6" w:rsidP="00376E58">
            <w:pPr>
              <w:pStyle w:val="Tabletext"/>
              <w:spacing w:before="60" w:after="60" w:line="240" w:lineRule="atLeast"/>
            </w:pPr>
            <w:r>
              <w:t>System Architecture Design Document</w:t>
            </w:r>
          </w:p>
        </w:tc>
      </w:tr>
      <w:tr w:rsidR="009B21F6" w:rsidRPr="00F97E04" w14:paraId="43FFBD8B" w14:textId="77777777" w:rsidTr="00376E58">
        <w:trPr>
          <w:jc w:val="center"/>
        </w:trPr>
        <w:tc>
          <w:tcPr>
            <w:tcW w:w="2065" w:type="dxa"/>
            <w:vAlign w:val="top"/>
          </w:tcPr>
          <w:p w14:paraId="05EC4B6A" w14:textId="3ACAAB81" w:rsidR="009B21F6" w:rsidRPr="000D254B" w:rsidRDefault="009B21F6" w:rsidP="00376E58">
            <w:pPr>
              <w:pStyle w:val="Tabletext"/>
              <w:spacing w:before="60" w:after="60" w:line="240" w:lineRule="atLeast"/>
            </w:pPr>
            <w:r>
              <w:t>SDP</w:t>
            </w:r>
          </w:p>
        </w:tc>
        <w:tc>
          <w:tcPr>
            <w:tcW w:w="7285" w:type="dxa"/>
            <w:vAlign w:val="top"/>
          </w:tcPr>
          <w:p w14:paraId="5515E504" w14:textId="6E6BFFC6" w:rsidR="009B21F6" w:rsidRPr="000D254B" w:rsidRDefault="009B21F6" w:rsidP="00376E58">
            <w:pPr>
              <w:pStyle w:val="Tabletext"/>
              <w:spacing w:before="60" w:after="60" w:line="240" w:lineRule="atLeast"/>
            </w:pPr>
            <w:r>
              <w:t>Security Design Plan</w:t>
            </w:r>
          </w:p>
        </w:tc>
      </w:tr>
      <w:tr w:rsidR="009B21F6" w:rsidRPr="00F97E04" w14:paraId="33B2667C" w14:textId="77777777" w:rsidTr="00376E58">
        <w:trPr>
          <w:jc w:val="center"/>
        </w:trPr>
        <w:tc>
          <w:tcPr>
            <w:tcW w:w="2065" w:type="dxa"/>
            <w:vAlign w:val="top"/>
          </w:tcPr>
          <w:p w14:paraId="01F3850F" w14:textId="13B5ADF9" w:rsidR="009B21F6" w:rsidRPr="000D254B" w:rsidRDefault="009B21F6" w:rsidP="00376E58">
            <w:pPr>
              <w:pStyle w:val="Tabletext"/>
              <w:spacing w:before="60" w:after="60" w:line="240" w:lineRule="atLeast"/>
            </w:pPr>
            <w:r>
              <w:t>SEQ</w:t>
            </w:r>
          </w:p>
        </w:tc>
        <w:tc>
          <w:tcPr>
            <w:tcW w:w="7285" w:type="dxa"/>
            <w:vAlign w:val="top"/>
          </w:tcPr>
          <w:p w14:paraId="7644425A" w14:textId="38C311B6" w:rsidR="009B21F6" w:rsidRPr="000D254B" w:rsidRDefault="009B21F6" w:rsidP="00376E58">
            <w:pPr>
              <w:pStyle w:val="Tabletext"/>
              <w:spacing w:before="60" w:after="60" w:line="240" w:lineRule="atLeast"/>
            </w:pPr>
            <w:r>
              <w:t>Security Evaluation Questionnaire</w:t>
            </w:r>
          </w:p>
        </w:tc>
      </w:tr>
      <w:tr w:rsidR="009B21F6" w:rsidRPr="00F97E04" w14:paraId="30615FF8" w14:textId="77777777" w:rsidTr="00376E58">
        <w:trPr>
          <w:trHeight w:val="300"/>
          <w:jc w:val="center"/>
        </w:trPr>
        <w:tc>
          <w:tcPr>
            <w:tcW w:w="2065" w:type="dxa"/>
            <w:vAlign w:val="top"/>
          </w:tcPr>
          <w:p w14:paraId="52C661EE" w14:textId="3142524B" w:rsidR="009B21F6" w:rsidRPr="000D254B" w:rsidRDefault="009B21F6" w:rsidP="00376E58">
            <w:pPr>
              <w:pStyle w:val="Tabletext"/>
              <w:spacing w:before="60" w:after="60" w:line="240" w:lineRule="atLeast"/>
            </w:pPr>
            <w:r>
              <w:t>SOC</w:t>
            </w:r>
          </w:p>
        </w:tc>
        <w:tc>
          <w:tcPr>
            <w:tcW w:w="7285" w:type="dxa"/>
            <w:vAlign w:val="top"/>
          </w:tcPr>
          <w:p w14:paraId="64F63F20" w14:textId="432B20D1" w:rsidR="009B21F6" w:rsidRPr="000D254B" w:rsidRDefault="009B21F6" w:rsidP="00376E58">
            <w:pPr>
              <w:pStyle w:val="Tabletext"/>
              <w:spacing w:before="60" w:after="60" w:line="240" w:lineRule="atLeast"/>
            </w:pPr>
            <w:r>
              <w:t>Security Operations Center</w:t>
            </w:r>
          </w:p>
        </w:tc>
      </w:tr>
      <w:tr w:rsidR="009B21F6" w:rsidRPr="00F97E04" w14:paraId="772FD2EF" w14:textId="77777777" w:rsidTr="00376E58">
        <w:trPr>
          <w:trHeight w:val="300"/>
          <w:jc w:val="center"/>
        </w:trPr>
        <w:tc>
          <w:tcPr>
            <w:tcW w:w="2065" w:type="dxa"/>
            <w:vAlign w:val="top"/>
          </w:tcPr>
          <w:p w14:paraId="382273AA" w14:textId="660EA4CF" w:rsidR="009B21F6" w:rsidRPr="000D254B" w:rsidRDefault="009B21F6" w:rsidP="00376E58">
            <w:pPr>
              <w:pStyle w:val="Tabletext"/>
              <w:spacing w:before="60" w:after="60" w:line="240" w:lineRule="atLeast"/>
            </w:pPr>
            <w:r>
              <w:t>SOP</w:t>
            </w:r>
          </w:p>
        </w:tc>
        <w:tc>
          <w:tcPr>
            <w:tcW w:w="7285" w:type="dxa"/>
            <w:vAlign w:val="top"/>
          </w:tcPr>
          <w:p w14:paraId="1CBC19A0" w14:textId="21A73B4B" w:rsidR="009B21F6" w:rsidRPr="000D254B" w:rsidRDefault="009B21F6" w:rsidP="00376E58">
            <w:pPr>
              <w:pStyle w:val="Tabletext"/>
              <w:spacing w:before="60" w:after="60" w:line="240" w:lineRule="atLeast"/>
            </w:pPr>
            <w:r>
              <w:t>Standard Operating Procedures</w:t>
            </w:r>
          </w:p>
        </w:tc>
      </w:tr>
      <w:tr w:rsidR="00791B74" w:rsidRPr="00F97E04" w14:paraId="64470DF4" w14:textId="77777777" w:rsidTr="00376E58">
        <w:trPr>
          <w:trHeight w:val="300"/>
          <w:jc w:val="center"/>
        </w:trPr>
        <w:tc>
          <w:tcPr>
            <w:tcW w:w="2065" w:type="dxa"/>
            <w:vAlign w:val="top"/>
          </w:tcPr>
          <w:p w14:paraId="00DD9EC4" w14:textId="37DFF873" w:rsidR="00791B74" w:rsidRPr="000D254B" w:rsidRDefault="00791B74" w:rsidP="00376E58">
            <w:pPr>
              <w:pStyle w:val="Tabletext"/>
              <w:spacing w:before="60" w:after="60" w:line="240" w:lineRule="atLeast"/>
            </w:pPr>
            <w:r>
              <w:t>SP</w:t>
            </w:r>
          </w:p>
        </w:tc>
        <w:tc>
          <w:tcPr>
            <w:tcW w:w="7285" w:type="dxa"/>
            <w:vAlign w:val="top"/>
          </w:tcPr>
          <w:p w14:paraId="51206ECA" w14:textId="61F86BAA" w:rsidR="00791B74" w:rsidRPr="000D254B" w:rsidRDefault="003D3D78" w:rsidP="00376E58">
            <w:pPr>
              <w:pStyle w:val="Tabletext"/>
              <w:spacing w:before="60" w:after="60" w:line="240" w:lineRule="atLeast"/>
            </w:pPr>
            <w:r>
              <w:t>Special Publication</w:t>
            </w:r>
          </w:p>
        </w:tc>
      </w:tr>
      <w:tr w:rsidR="009B21F6" w:rsidRPr="00F97E04" w14:paraId="11A432CD" w14:textId="77777777" w:rsidTr="00376E58">
        <w:trPr>
          <w:trHeight w:val="300"/>
          <w:jc w:val="center"/>
        </w:trPr>
        <w:tc>
          <w:tcPr>
            <w:tcW w:w="2065" w:type="dxa"/>
            <w:vAlign w:val="top"/>
          </w:tcPr>
          <w:p w14:paraId="6B77D959" w14:textId="51CAF706" w:rsidR="009B21F6" w:rsidRPr="000D254B" w:rsidRDefault="009B21F6" w:rsidP="00376E58">
            <w:pPr>
              <w:pStyle w:val="Tabletext"/>
              <w:spacing w:before="60" w:after="60" w:line="240" w:lineRule="atLeast"/>
            </w:pPr>
            <w:r>
              <w:t>SLA</w:t>
            </w:r>
          </w:p>
        </w:tc>
        <w:tc>
          <w:tcPr>
            <w:tcW w:w="7285" w:type="dxa"/>
            <w:vAlign w:val="top"/>
          </w:tcPr>
          <w:p w14:paraId="4F2E1FB5" w14:textId="4609B317" w:rsidR="009B21F6" w:rsidRPr="000D254B" w:rsidRDefault="009B21F6" w:rsidP="00376E58">
            <w:pPr>
              <w:pStyle w:val="Tabletext"/>
              <w:spacing w:before="60" w:after="60" w:line="240" w:lineRule="atLeast"/>
            </w:pPr>
            <w:r>
              <w:t>Service Level Agreement</w:t>
            </w:r>
          </w:p>
        </w:tc>
      </w:tr>
      <w:tr w:rsidR="009B21F6" w:rsidRPr="00F97E04" w14:paraId="36F7BD21" w14:textId="77777777" w:rsidTr="00376E58">
        <w:trPr>
          <w:trHeight w:val="300"/>
          <w:jc w:val="center"/>
        </w:trPr>
        <w:tc>
          <w:tcPr>
            <w:tcW w:w="2065" w:type="dxa"/>
            <w:vAlign w:val="top"/>
          </w:tcPr>
          <w:p w14:paraId="7EE3880C" w14:textId="0EA30342" w:rsidR="009B21F6" w:rsidRPr="000D254B" w:rsidRDefault="009B21F6" w:rsidP="00376E58">
            <w:pPr>
              <w:pStyle w:val="Tabletext"/>
              <w:spacing w:before="60" w:after="60" w:line="240" w:lineRule="atLeast"/>
            </w:pPr>
            <w:r>
              <w:t>SIT</w:t>
            </w:r>
          </w:p>
        </w:tc>
        <w:tc>
          <w:tcPr>
            <w:tcW w:w="7285" w:type="dxa"/>
            <w:vAlign w:val="top"/>
          </w:tcPr>
          <w:p w14:paraId="79E73C0D" w14:textId="533F36DA" w:rsidR="009B21F6" w:rsidRPr="000D254B" w:rsidRDefault="009B21F6" w:rsidP="00376E58">
            <w:pPr>
              <w:pStyle w:val="Tabletext"/>
              <w:spacing w:before="60" w:after="60" w:line="240" w:lineRule="atLeast"/>
            </w:pPr>
            <w:r>
              <w:t>System Integration Testing</w:t>
            </w:r>
          </w:p>
        </w:tc>
      </w:tr>
      <w:tr w:rsidR="009B21F6" w:rsidRPr="00F97E04" w14:paraId="15EC57EC" w14:textId="77777777" w:rsidTr="00376E58">
        <w:trPr>
          <w:trHeight w:val="300"/>
          <w:jc w:val="center"/>
        </w:trPr>
        <w:tc>
          <w:tcPr>
            <w:tcW w:w="2065" w:type="dxa"/>
            <w:vAlign w:val="top"/>
          </w:tcPr>
          <w:p w14:paraId="58344C34" w14:textId="0F475E65" w:rsidR="009B21F6" w:rsidRPr="000D254B" w:rsidRDefault="009B21F6" w:rsidP="00376E58">
            <w:pPr>
              <w:pStyle w:val="Tabletext"/>
              <w:spacing w:before="60" w:after="60" w:line="240" w:lineRule="atLeast"/>
            </w:pPr>
            <w:r>
              <w:t>SRTM</w:t>
            </w:r>
          </w:p>
        </w:tc>
        <w:tc>
          <w:tcPr>
            <w:tcW w:w="7285" w:type="dxa"/>
            <w:vAlign w:val="top"/>
          </w:tcPr>
          <w:p w14:paraId="695C5316" w14:textId="2D313EA5" w:rsidR="009B21F6" w:rsidRPr="000D254B" w:rsidRDefault="009B21F6" w:rsidP="00376E58">
            <w:pPr>
              <w:pStyle w:val="Tabletext"/>
              <w:spacing w:before="60" w:after="60" w:line="240" w:lineRule="atLeast"/>
            </w:pPr>
            <w:r>
              <w:t>Security Requirements Traceability Matrix</w:t>
            </w:r>
          </w:p>
        </w:tc>
      </w:tr>
      <w:tr w:rsidR="009B21F6" w:rsidRPr="00F97E04" w14:paraId="5094322C" w14:textId="77777777" w:rsidTr="00376E58">
        <w:trPr>
          <w:jc w:val="center"/>
        </w:trPr>
        <w:tc>
          <w:tcPr>
            <w:tcW w:w="2065" w:type="dxa"/>
            <w:vAlign w:val="top"/>
          </w:tcPr>
          <w:p w14:paraId="345972A9" w14:textId="13AFECD8" w:rsidR="009B21F6" w:rsidRPr="000D254B" w:rsidRDefault="009B21F6" w:rsidP="00376E58">
            <w:pPr>
              <w:pStyle w:val="Tabletext"/>
              <w:spacing w:before="60" w:after="60" w:line="240" w:lineRule="atLeast"/>
            </w:pPr>
            <w:r>
              <w:t>SSA</w:t>
            </w:r>
          </w:p>
        </w:tc>
        <w:tc>
          <w:tcPr>
            <w:tcW w:w="7285" w:type="dxa"/>
            <w:vAlign w:val="top"/>
          </w:tcPr>
          <w:p w14:paraId="6690803B" w14:textId="5A80A754" w:rsidR="009B21F6" w:rsidRPr="000D254B" w:rsidRDefault="009B21F6" w:rsidP="00376E58">
            <w:pPr>
              <w:pStyle w:val="Tabletext"/>
              <w:spacing w:before="60" w:after="60" w:line="240" w:lineRule="atLeast"/>
            </w:pPr>
            <w:r>
              <w:t>Social Security Administration</w:t>
            </w:r>
          </w:p>
        </w:tc>
      </w:tr>
      <w:tr w:rsidR="009B21F6" w:rsidRPr="00F97E04" w14:paraId="731C1DAF" w14:textId="77777777" w:rsidTr="00376E58">
        <w:trPr>
          <w:jc w:val="center"/>
        </w:trPr>
        <w:tc>
          <w:tcPr>
            <w:tcW w:w="2065" w:type="dxa"/>
            <w:vAlign w:val="top"/>
          </w:tcPr>
          <w:p w14:paraId="3BD6A467" w14:textId="537F9A7F" w:rsidR="009B21F6" w:rsidRPr="000D254B" w:rsidRDefault="009B21F6" w:rsidP="00376E58">
            <w:pPr>
              <w:pStyle w:val="Tabletext"/>
              <w:spacing w:before="60" w:after="60" w:line="240" w:lineRule="atLeast"/>
            </w:pPr>
            <w:r>
              <w:t>SSP</w:t>
            </w:r>
          </w:p>
        </w:tc>
        <w:tc>
          <w:tcPr>
            <w:tcW w:w="7285" w:type="dxa"/>
            <w:vAlign w:val="top"/>
          </w:tcPr>
          <w:p w14:paraId="346DCB46" w14:textId="2C3ACD46" w:rsidR="009B21F6" w:rsidRPr="000D254B" w:rsidRDefault="009B21F6" w:rsidP="00376E58">
            <w:pPr>
              <w:pStyle w:val="Tabletext"/>
              <w:spacing w:before="60" w:after="60" w:line="240" w:lineRule="atLeast"/>
            </w:pPr>
            <w:r>
              <w:t>System Security Plan</w:t>
            </w:r>
          </w:p>
        </w:tc>
      </w:tr>
      <w:tr w:rsidR="009B21F6" w:rsidRPr="00F97E04" w14:paraId="26149FF9" w14:textId="77777777" w:rsidTr="00376E58">
        <w:trPr>
          <w:jc w:val="center"/>
        </w:trPr>
        <w:tc>
          <w:tcPr>
            <w:tcW w:w="2065" w:type="dxa"/>
            <w:vAlign w:val="top"/>
          </w:tcPr>
          <w:p w14:paraId="517CF3BE" w14:textId="7A1A9929" w:rsidR="009B21F6" w:rsidRPr="000D254B" w:rsidRDefault="009B21F6" w:rsidP="00376E58">
            <w:pPr>
              <w:pStyle w:val="Tabletext"/>
              <w:spacing w:before="60" w:after="60" w:line="240" w:lineRule="atLeast"/>
            </w:pPr>
            <w:r>
              <w:t>SSR</w:t>
            </w:r>
          </w:p>
        </w:tc>
        <w:tc>
          <w:tcPr>
            <w:tcW w:w="7285" w:type="dxa"/>
            <w:vAlign w:val="top"/>
          </w:tcPr>
          <w:p w14:paraId="419FAF4B" w14:textId="5C196746" w:rsidR="009B21F6" w:rsidRPr="000D254B" w:rsidRDefault="009B21F6" w:rsidP="00376E58">
            <w:pPr>
              <w:pStyle w:val="Tabletext"/>
              <w:spacing w:before="60" w:after="60" w:line="240" w:lineRule="atLeast"/>
            </w:pPr>
            <w:r>
              <w:t>Safeguard Security Report</w:t>
            </w:r>
          </w:p>
        </w:tc>
      </w:tr>
      <w:tr w:rsidR="00FD15FF" w:rsidRPr="00F97E04" w14:paraId="0C2C205A" w14:textId="77777777" w:rsidTr="00376E58">
        <w:trPr>
          <w:jc w:val="center"/>
        </w:trPr>
        <w:tc>
          <w:tcPr>
            <w:tcW w:w="2065" w:type="dxa"/>
            <w:vAlign w:val="top"/>
          </w:tcPr>
          <w:p w14:paraId="0FAF78D7" w14:textId="7C0B2F4C" w:rsidR="00FD15FF" w:rsidRPr="00F97E04" w:rsidRDefault="00FD15FF" w:rsidP="00376E58">
            <w:pPr>
              <w:pStyle w:val="Tabletext"/>
              <w:spacing w:before="60" w:after="60" w:line="240" w:lineRule="atLeast"/>
            </w:pPr>
            <w:r>
              <w:t>TechOps</w:t>
            </w:r>
          </w:p>
        </w:tc>
        <w:tc>
          <w:tcPr>
            <w:tcW w:w="7285" w:type="dxa"/>
            <w:vAlign w:val="top"/>
          </w:tcPr>
          <w:p w14:paraId="59BB9410" w14:textId="27A34F01" w:rsidR="00FD15FF" w:rsidRPr="00F97E04" w:rsidRDefault="00FD15FF" w:rsidP="00376E58">
            <w:pPr>
              <w:pStyle w:val="Tabletext"/>
              <w:spacing w:before="60" w:after="60" w:line="240" w:lineRule="atLeast"/>
            </w:pPr>
            <w:r>
              <w:t>Technical Operations</w:t>
            </w:r>
          </w:p>
        </w:tc>
      </w:tr>
      <w:tr w:rsidR="009B21F6" w:rsidRPr="00F97E04" w14:paraId="0E03AA66" w14:textId="77777777" w:rsidTr="00376E58">
        <w:trPr>
          <w:jc w:val="center"/>
        </w:trPr>
        <w:tc>
          <w:tcPr>
            <w:tcW w:w="2065" w:type="dxa"/>
            <w:vAlign w:val="top"/>
          </w:tcPr>
          <w:p w14:paraId="757D9C3B" w14:textId="4AB99192" w:rsidR="009B21F6" w:rsidRPr="000D254B" w:rsidRDefault="009B21F6" w:rsidP="00376E58">
            <w:pPr>
              <w:pStyle w:val="Tabletext"/>
              <w:spacing w:before="60" w:after="60" w:line="240" w:lineRule="atLeast"/>
            </w:pPr>
            <w:r>
              <w:t>TEDS</w:t>
            </w:r>
          </w:p>
        </w:tc>
        <w:tc>
          <w:tcPr>
            <w:tcW w:w="7285" w:type="dxa"/>
            <w:vAlign w:val="top"/>
          </w:tcPr>
          <w:p w14:paraId="6EDF77CB" w14:textId="1EAE6ECC" w:rsidR="009B21F6" w:rsidRPr="000D254B" w:rsidRDefault="009B21F6" w:rsidP="00376E58">
            <w:pPr>
              <w:pStyle w:val="Tabletext"/>
              <w:spacing w:before="60" w:after="60" w:line="240" w:lineRule="atLeast"/>
            </w:pPr>
            <w:r>
              <w:t>Tennessee Eligibility Determination System</w:t>
            </w:r>
          </w:p>
        </w:tc>
      </w:tr>
      <w:tr w:rsidR="009B21F6" w:rsidRPr="00F97E04" w14:paraId="21B7939B" w14:textId="77777777" w:rsidTr="00376E58">
        <w:trPr>
          <w:jc w:val="center"/>
        </w:trPr>
        <w:tc>
          <w:tcPr>
            <w:tcW w:w="2065" w:type="dxa"/>
            <w:vAlign w:val="top"/>
          </w:tcPr>
          <w:p w14:paraId="040EACDD" w14:textId="38AD4C2D" w:rsidR="009B21F6" w:rsidRPr="000D254B" w:rsidRDefault="009B21F6" w:rsidP="00376E58">
            <w:pPr>
              <w:pStyle w:val="Tabletext"/>
              <w:spacing w:before="60" w:after="60" w:line="240" w:lineRule="atLeast"/>
            </w:pPr>
            <w:r>
              <w:t>TSSR</w:t>
            </w:r>
          </w:p>
        </w:tc>
        <w:tc>
          <w:tcPr>
            <w:tcW w:w="7285" w:type="dxa"/>
            <w:vAlign w:val="top"/>
          </w:tcPr>
          <w:p w14:paraId="420A56FA" w14:textId="0E1AF5CB" w:rsidR="009B21F6" w:rsidRPr="000D254B" w:rsidRDefault="009B21F6" w:rsidP="00376E58">
            <w:pPr>
              <w:pStyle w:val="Tabletext"/>
              <w:spacing w:before="60" w:after="60" w:line="240" w:lineRule="atLeast"/>
            </w:pPr>
            <w:r>
              <w:t>Technical System Security Requirements</w:t>
            </w:r>
          </w:p>
        </w:tc>
      </w:tr>
      <w:tr w:rsidR="009B21F6" w:rsidRPr="00F97E04" w14:paraId="6723F515" w14:textId="77777777" w:rsidTr="00376E58">
        <w:trPr>
          <w:jc w:val="center"/>
        </w:trPr>
        <w:tc>
          <w:tcPr>
            <w:tcW w:w="2065" w:type="dxa"/>
            <w:vAlign w:val="top"/>
          </w:tcPr>
          <w:p w14:paraId="389706B9" w14:textId="383D7078" w:rsidR="009B21F6" w:rsidRPr="000D254B" w:rsidRDefault="009B21F6" w:rsidP="00376E58">
            <w:pPr>
              <w:pStyle w:val="Tabletext"/>
              <w:spacing w:before="60" w:after="60" w:line="240" w:lineRule="atLeast"/>
            </w:pPr>
            <w:r>
              <w:t>UAT</w:t>
            </w:r>
          </w:p>
        </w:tc>
        <w:tc>
          <w:tcPr>
            <w:tcW w:w="7285" w:type="dxa"/>
            <w:vAlign w:val="top"/>
          </w:tcPr>
          <w:p w14:paraId="14E9C47F" w14:textId="0E37C9EE" w:rsidR="009B21F6" w:rsidRPr="000D254B" w:rsidRDefault="009B21F6" w:rsidP="00376E58">
            <w:pPr>
              <w:pStyle w:val="Tabletext"/>
              <w:spacing w:before="60" w:after="60" w:line="240" w:lineRule="atLeast"/>
            </w:pPr>
            <w:r>
              <w:t>User Acceptance Testing</w:t>
            </w:r>
          </w:p>
        </w:tc>
      </w:tr>
    </w:tbl>
    <w:p w14:paraId="2FB83433" w14:textId="67D3205D" w:rsidR="006607AC" w:rsidRPr="00F97E04" w:rsidRDefault="006607AC" w:rsidP="00310DFA">
      <w:pPr>
        <w:pStyle w:val="Caption"/>
      </w:pPr>
      <w:bookmarkStart w:id="135" w:name="_Toc211268696"/>
      <w:bookmarkStart w:id="136" w:name="_Toc196140176"/>
      <w:r>
        <w:t xml:space="preserve">Table </w:t>
      </w:r>
      <w:fldSimple w:instr=" STYLEREF 1 \s ">
        <w:r>
          <w:rPr>
            <w:noProof/>
          </w:rPr>
          <w:t>5</w:t>
        </w:r>
      </w:fldSimple>
      <w:r>
        <w:noBreakHyphen/>
      </w:r>
      <w:fldSimple w:instr=" SEQ Table \* ARABIC \s 1 ">
        <w:r>
          <w:rPr>
            <w:noProof/>
          </w:rPr>
          <w:t>1</w:t>
        </w:r>
      </w:fldSimple>
      <w:r>
        <w:t>: Terms and Definitions</w:t>
      </w:r>
      <w:bookmarkEnd w:id="135"/>
    </w:p>
    <w:p w14:paraId="05AC3A7F" w14:textId="3B3CC0EC" w:rsidR="00D350B1" w:rsidRPr="00F97E04" w:rsidRDefault="001E147D">
      <w:pPr>
        <w:spacing w:before="0" w:after="160" w:line="259" w:lineRule="auto"/>
        <w:rPr>
          <w:b/>
          <w:bCs/>
        </w:rPr>
      </w:pPr>
      <w:r>
        <w:t xml:space="preserve"> </w:t>
      </w:r>
      <w:r>
        <w:br w:type="page"/>
      </w:r>
    </w:p>
    <w:p w14:paraId="0A90F324" w14:textId="4B801C96" w:rsidR="00330E1F" w:rsidRPr="00F97E04" w:rsidRDefault="00330E1F" w:rsidP="002E635F">
      <w:pPr>
        <w:pStyle w:val="Heading2"/>
        <w:rPr>
          <w:noProof w:val="0"/>
        </w:rPr>
      </w:pPr>
      <w:bookmarkStart w:id="137" w:name="_Toc198734444"/>
      <w:bookmarkStart w:id="138" w:name="_Toc211268670"/>
      <w:bookmarkEnd w:id="136"/>
      <w:r>
        <w:rPr>
          <w:noProof w:val="0"/>
        </w:rPr>
        <w:lastRenderedPageBreak/>
        <w:t>Appendix B: Reference Documents, Deliverables, and Artifacts Associated with the Maintenance &amp; Operations Run Book</w:t>
      </w:r>
      <w:bookmarkEnd w:id="137"/>
      <w:bookmarkEnd w:id="138"/>
    </w:p>
    <w:p w14:paraId="75CC5E34" w14:textId="55D6D1F9" w:rsidR="00330E1F" w:rsidRPr="00F97E04" w:rsidRDefault="00330E1F" w:rsidP="00C2152C">
      <w:pPr>
        <w:pStyle w:val="MainBodyText0"/>
      </w:pPr>
      <w:r>
        <w:t>The following table provides a table of reference documents with descriptions for the CMP, PMP, RMP, SSP, Business Continuity and Disaster Recovery Plan (BCDRP), System Source Code, etc., and the deliverables and artifacts associated with the M&amp;O Run Book deliverable.</w:t>
      </w:r>
    </w:p>
    <w:tbl>
      <w:tblPr>
        <w:tblStyle w:val="TableStyleCustom1"/>
        <w:tblW w:w="5003" w:type="pct"/>
        <w:jc w:val="center"/>
        <w:tblLook w:val="0420" w:firstRow="1" w:lastRow="0" w:firstColumn="0" w:lastColumn="0" w:noHBand="0" w:noVBand="1"/>
      </w:tblPr>
      <w:tblGrid>
        <w:gridCol w:w="1615"/>
        <w:gridCol w:w="4770"/>
        <w:gridCol w:w="2971"/>
      </w:tblGrid>
      <w:tr w:rsidR="004C15DF" w:rsidRPr="00F97E04" w14:paraId="18114EFD" w14:textId="77777777" w:rsidTr="0044213C">
        <w:trPr>
          <w:cnfStyle w:val="100000000000" w:firstRow="1" w:lastRow="0" w:firstColumn="0" w:lastColumn="0" w:oddVBand="0" w:evenVBand="0" w:oddHBand="0" w:evenHBand="0" w:firstRowFirstColumn="0" w:firstRowLastColumn="0" w:lastRowFirstColumn="0" w:lastRowLastColumn="0"/>
          <w:trHeight w:val="390"/>
          <w:jc w:val="center"/>
        </w:trPr>
        <w:tc>
          <w:tcPr>
            <w:tcW w:w="1615" w:type="dxa"/>
          </w:tcPr>
          <w:p w14:paraId="3C46DE96" w14:textId="77777777" w:rsidR="00330E1F" w:rsidRPr="00F97E04" w:rsidRDefault="00330E1F" w:rsidP="00376E58">
            <w:pPr>
              <w:pStyle w:val="TABLEHEADINGNEW"/>
              <w:spacing w:line="240" w:lineRule="atLeast"/>
              <w:rPr>
                <w:b/>
              </w:rPr>
            </w:pPr>
            <w:r>
              <w:rPr>
                <w:b/>
              </w:rPr>
              <w:t>Name</w:t>
            </w:r>
          </w:p>
        </w:tc>
        <w:tc>
          <w:tcPr>
            <w:tcW w:w="4770" w:type="dxa"/>
          </w:tcPr>
          <w:p w14:paraId="05D5F757" w14:textId="77777777" w:rsidR="00330E1F" w:rsidRPr="00F97E04" w:rsidRDefault="00330E1F" w:rsidP="00376E58">
            <w:pPr>
              <w:pStyle w:val="TABLEHEADINGNEW"/>
              <w:spacing w:line="240" w:lineRule="atLeast"/>
              <w:rPr>
                <w:b/>
              </w:rPr>
            </w:pPr>
            <w:r>
              <w:rPr>
                <w:b/>
              </w:rPr>
              <w:t>Description</w:t>
            </w:r>
          </w:p>
        </w:tc>
        <w:tc>
          <w:tcPr>
            <w:tcW w:w="2971" w:type="dxa"/>
          </w:tcPr>
          <w:p w14:paraId="7C7E65B8" w14:textId="7A06C7B9" w:rsidR="00330E1F" w:rsidRPr="00F97E04" w:rsidRDefault="00330E1F" w:rsidP="00376E58">
            <w:pPr>
              <w:pStyle w:val="TABLEHEADINGNEW"/>
              <w:spacing w:line="240" w:lineRule="atLeast"/>
              <w:rPr>
                <w:b/>
              </w:rPr>
            </w:pPr>
            <w:r>
              <w:rPr>
                <w:b/>
              </w:rPr>
              <w:t>Location</w:t>
            </w:r>
          </w:p>
        </w:tc>
      </w:tr>
      <w:tr w:rsidR="0E7CA598" w:rsidRPr="00F97E04" w14:paraId="67071675" w14:textId="77777777" w:rsidTr="0044213C">
        <w:trPr>
          <w:trHeight w:val="390"/>
          <w:jc w:val="center"/>
        </w:trPr>
        <w:tc>
          <w:tcPr>
            <w:tcW w:w="1615" w:type="dxa"/>
            <w:vAlign w:val="top"/>
          </w:tcPr>
          <w:p w14:paraId="408176B8" w14:textId="708F88CE" w:rsidR="7ADBCCA4" w:rsidRPr="00F97E04" w:rsidRDefault="7ADBCCA4" w:rsidP="00376E58">
            <w:pPr>
              <w:pStyle w:val="Tabletext"/>
              <w:spacing w:before="60" w:after="60" w:line="240" w:lineRule="atLeast"/>
            </w:pPr>
            <w:r>
              <w:t>BOM</w:t>
            </w:r>
          </w:p>
        </w:tc>
        <w:tc>
          <w:tcPr>
            <w:tcW w:w="4770" w:type="dxa"/>
            <w:vAlign w:val="top"/>
          </w:tcPr>
          <w:p w14:paraId="183CB1AD" w14:textId="0523DB12" w:rsidR="0E7CA598" w:rsidRPr="00F97E04" w:rsidRDefault="00EA13E1" w:rsidP="00376E58">
            <w:pPr>
              <w:pStyle w:val="Tabletext"/>
              <w:spacing w:before="60" w:after="60" w:line="240" w:lineRule="atLeast"/>
            </w:pPr>
            <w:r>
              <w:t>The BOM outlines the collaborative process between Deloitte, AWS, and DOH for ongoing analysis, optimization, and management of cloud and software costs, including regular environment reviews, formula-based sizing, and cost control activities, as governed by the Cloud Operations and Finance Management Plan.</w:t>
            </w:r>
          </w:p>
        </w:tc>
        <w:tc>
          <w:tcPr>
            <w:tcW w:w="2971" w:type="dxa"/>
            <w:vAlign w:val="top"/>
          </w:tcPr>
          <w:p w14:paraId="16D399CA" w14:textId="33F1AA94" w:rsidR="0E7CA598" w:rsidRPr="00F97E04" w:rsidRDefault="00CC562E" w:rsidP="00376E58">
            <w:pPr>
              <w:pStyle w:val="Tabletext"/>
              <w:spacing w:before="60" w:after="60" w:line="240" w:lineRule="atLeast"/>
            </w:pPr>
            <w:r>
              <w:rPr>
                <w:lang w:eastAsia="en-US" w:bidi="ar-SA"/>
              </w:rPr>
              <w:t>NY_MECM_Wave0 and Wave</w:t>
            </w:r>
            <w:r>
              <w:t>1_Initial_Software_BOM</w:t>
            </w:r>
          </w:p>
        </w:tc>
      </w:tr>
      <w:tr w:rsidR="0008254B" w:rsidRPr="00F97E04" w14:paraId="4849F1BC" w14:textId="77777777" w:rsidTr="0044213C">
        <w:trPr>
          <w:trHeight w:val="390"/>
          <w:jc w:val="center"/>
        </w:trPr>
        <w:tc>
          <w:tcPr>
            <w:tcW w:w="1615" w:type="dxa"/>
            <w:vAlign w:val="top"/>
          </w:tcPr>
          <w:p w14:paraId="14BF5AB2" w14:textId="063CD41D" w:rsidR="0008254B" w:rsidRPr="00F97E04" w:rsidRDefault="0008254B" w:rsidP="00376E58">
            <w:pPr>
              <w:pStyle w:val="Tabletext"/>
              <w:spacing w:before="60" w:after="60" w:line="240" w:lineRule="atLeast"/>
            </w:pPr>
            <w:r>
              <w:t>BCDRP</w:t>
            </w:r>
          </w:p>
        </w:tc>
        <w:tc>
          <w:tcPr>
            <w:tcW w:w="4770" w:type="dxa"/>
            <w:vAlign w:val="top"/>
          </w:tcPr>
          <w:p w14:paraId="0C071896" w14:textId="70995A69" w:rsidR="0008254B" w:rsidRPr="00F97E04" w:rsidRDefault="008027AA" w:rsidP="00376E58">
            <w:pPr>
              <w:pStyle w:val="Tabletext"/>
              <w:spacing w:before="60" w:after="60" w:line="240" w:lineRule="atLeast"/>
            </w:pPr>
            <w:r>
              <w:t>This plan defines the processes, techniques, and activities that are required to continue routine business operations in the event of a disaster.</w:t>
            </w:r>
          </w:p>
        </w:tc>
        <w:tc>
          <w:tcPr>
            <w:tcW w:w="2971" w:type="dxa"/>
            <w:vAlign w:val="top"/>
          </w:tcPr>
          <w:p w14:paraId="0746F5A2" w14:textId="4D6DAA3A" w:rsidR="0008254B" w:rsidRPr="00F97E04" w:rsidRDefault="00546DDC" w:rsidP="00376E58">
            <w:pPr>
              <w:pStyle w:val="Tabletext"/>
              <w:spacing w:before="60" w:after="60" w:line="240" w:lineRule="atLeast"/>
            </w:pPr>
            <w:r>
              <w:t>14. Business Continuity Disaster Recovery Plan</w:t>
            </w:r>
          </w:p>
        </w:tc>
      </w:tr>
      <w:tr w:rsidR="00330E1F" w:rsidRPr="00F97E04" w14:paraId="2B54D493" w14:textId="77777777" w:rsidTr="0044213C">
        <w:trPr>
          <w:trHeight w:val="423"/>
          <w:jc w:val="center"/>
        </w:trPr>
        <w:tc>
          <w:tcPr>
            <w:tcW w:w="1615" w:type="dxa"/>
            <w:vAlign w:val="top"/>
          </w:tcPr>
          <w:p w14:paraId="6B0FFF39" w14:textId="2E198098" w:rsidR="00330E1F" w:rsidRPr="00F97E04" w:rsidRDefault="00C82373" w:rsidP="00376E58">
            <w:pPr>
              <w:pStyle w:val="Tabletext"/>
              <w:spacing w:before="60" w:after="60" w:line="240" w:lineRule="atLeast"/>
            </w:pPr>
            <w:r>
              <w:t>CMP</w:t>
            </w:r>
          </w:p>
        </w:tc>
        <w:tc>
          <w:tcPr>
            <w:tcW w:w="4770" w:type="dxa"/>
            <w:vAlign w:val="top"/>
          </w:tcPr>
          <w:p w14:paraId="5FBF1A34" w14:textId="5C7C3AC5" w:rsidR="00330E1F" w:rsidRPr="00F97E04" w:rsidRDefault="002672A6" w:rsidP="00376E58">
            <w:pPr>
              <w:pStyle w:val="Tabletext"/>
              <w:spacing w:before="60" w:after="60" w:line="240" w:lineRule="atLeast"/>
            </w:pPr>
            <w:r>
              <w:t>This plan outlines the structured approach for setting up and managing project environments, governing their use during the design, development, testing, and deployment of the MECM system.</w:t>
            </w:r>
          </w:p>
        </w:tc>
        <w:tc>
          <w:tcPr>
            <w:tcW w:w="2971" w:type="dxa"/>
            <w:vAlign w:val="top"/>
          </w:tcPr>
          <w:p w14:paraId="415D1754" w14:textId="57E33ED5" w:rsidR="00330E1F" w:rsidRPr="00F97E04" w:rsidRDefault="000A6660" w:rsidP="00376E58">
            <w:pPr>
              <w:pStyle w:val="Tabletext"/>
              <w:spacing w:before="60" w:after="60" w:line="240" w:lineRule="atLeast"/>
            </w:pPr>
            <w:r>
              <w:rPr>
                <w:lang w:eastAsia="en-US" w:bidi="ar-SA"/>
              </w:rPr>
              <w:t>Configuration Management Plan (CMP) Work Product</w:t>
            </w:r>
          </w:p>
        </w:tc>
      </w:tr>
      <w:tr w:rsidR="0E7CA598" w:rsidRPr="00F97E04" w14:paraId="3B95F04C" w14:textId="77777777" w:rsidTr="0044213C">
        <w:trPr>
          <w:trHeight w:val="423"/>
          <w:jc w:val="center"/>
        </w:trPr>
        <w:tc>
          <w:tcPr>
            <w:tcW w:w="1615" w:type="dxa"/>
            <w:vAlign w:val="top"/>
          </w:tcPr>
          <w:p w14:paraId="77C71FD0" w14:textId="7576D1D2" w:rsidR="395973CF" w:rsidRPr="00F97E04" w:rsidRDefault="395973CF" w:rsidP="00376E58">
            <w:pPr>
              <w:pStyle w:val="Tabletext"/>
              <w:spacing w:before="60" w:after="60" w:line="240" w:lineRule="atLeast"/>
            </w:pPr>
            <w:r>
              <w:t>Data Dictionary</w:t>
            </w:r>
          </w:p>
        </w:tc>
        <w:tc>
          <w:tcPr>
            <w:tcW w:w="4770" w:type="dxa"/>
            <w:vAlign w:val="top"/>
          </w:tcPr>
          <w:p w14:paraId="10FA2F95" w14:textId="6CFD0DD7" w:rsidR="0E7CA598" w:rsidRPr="00F97E04" w:rsidRDefault="005A5F8C" w:rsidP="00376E58">
            <w:pPr>
              <w:pStyle w:val="Tabletext"/>
              <w:spacing w:before="60" w:after="60" w:line="240" w:lineRule="atLeast"/>
            </w:pPr>
            <w:r>
              <w:t>The data dictionary provides details related to database tables, their respective attributes, and reference data.</w:t>
            </w:r>
          </w:p>
        </w:tc>
        <w:tc>
          <w:tcPr>
            <w:tcW w:w="2971" w:type="dxa"/>
            <w:vAlign w:val="top"/>
          </w:tcPr>
          <w:p w14:paraId="536E29A8" w14:textId="4F6EDE15" w:rsidR="0E7CA598" w:rsidRPr="00F97E04" w:rsidRDefault="001046EC" w:rsidP="00376E58">
            <w:pPr>
              <w:pStyle w:val="Tabletext"/>
              <w:spacing w:before="60" w:after="60" w:line="240" w:lineRule="atLeast"/>
            </w:pPr>
            <w:r>
              <w:t>21. Data Models and Data Dictionary</w:t>
            </w:r>
          </w:p>
        </w:tc>
      </w:tr>
      <w:tr w:rsidR="00D90157" w:rsidRPr="00F97E04" w14:paraId="4771EDC3" w14:textId="77777777" w:rsidTr="0044213C">
        <w:trPr>
          <w:trHeight w:val="423"/>
          <w:jc w:val="center"/>
        </w:trPr>
        <w:tc>
          <w:tcPr>
            <w:tcW w:w="1615" w:type="dxa"/>
            <w:vAlign w:val="top"/>
          </w:tcPr>
          <w:p w14:paraId="7C1364A5" w14:textId="078AEE58" w:rsidR="00D90157" w:rsidRPr="00F97E04" w:rsidRDefault="00D90157" w:rsidP="00376E58">
            <w:pPr>
              <w:pStyle w:val="Tabletext"/>
              <w:spacing w:before="60" w:after="60" w:line="240" w:lineRule="atLeast"/>
            </w:pPr>
            <w:r>
              <w:t>Data Models</w:t>
            </w:r>
          </w:p>
        </w:tc>
        <w:tc>
          <w:tcPr>
            <w:tcW w:w="4770" w:type="dxa"/>
            <w:vAlign w:val="top"/>
          </w:tcPr>
          <w:p w14:paraId="0F090801" w14:textId="68CC9B32" w:rsidR="00D90157" w:rsidRPr="00F97E04" w:rsidRDefault="00B053D8" w:rsidP="00376E58">
            <w:pPr>
              <w:pStyle w:val="Tabletext"/>
              <w:spacing w:before="60" w:after="60" w:line="240" w:lineRule="atLeast"/>
            </w:pPr>
            <w:r>
              <w:t>This document describes the highest level of abstraction and details broad classes of data based on the system requirements for MECM applications.</w:t>
            </w:r>
          </w:p>
        </w:tc>
        <w:tc>
          <w:tcPr>
            <w:tcW w:w="2971" w:type="dxa"/>
            <w:vAlign w:val="top"/>
          </w:tcPr>
          <w:p w14:paraId="6884BDCA" w14:textId="305CB628" w:rsidR="00D90157" w:rsidRPr="00F97E04" w:rsidRDefault="001046EC" w:rsidP="00376E58">
            <w:pPr>
              <w:pStyle w:val="Tabletext"/>
              <w:spacing w:before="60" w:after="60" w:line="240" w:lineRule="atLeast"/>
            </w:pPr>
            <w:r>
              <w:t>21. Data Models and Data Dictionary</w:t>
            </w:r>
          </w:p>
        </w:tc>
      </w:tr>
      <w:tr w:rsidR="00C93E78" w:rsidRPr="00F97E04" w14:paraId="427C409D" w14:textId="77777777" w:rsidTr="0044213C">
        <w:trPr>
          <w:trHeight w:val="423"/>
          <w:jc w:val="center"/>
        </w:trPr>
        <w:tc>
          <w:tcPr>
            <w:tcW w:w="1615" w:type="dxa"/>
            <w:vAlign w:val="top"/>
          </w:tcPr>
          <w:p w14:paraId="35C3E030" w14:textId="6B73F5B5" w:rsidR="00C93E78" w:rsidRPr="00F97E04" w:rsidRDefault="00C93E78" w:rsidP="00376E58">
            <w:pPr>
              <w:pStyle w:val="Tabletext"/>
              <w:spacing w:before="60" w:after="60" w:line="240" w:lineRule="atLeast"/>
            </w:pPr>
            <w:r>
              <w:t>FDD</w:t>
            </w:r>
          </w:p>
        </w:tc>
        <w:tc>
          <w:tcPr>
            <w:tcW w:w="4770" w:type="dxa"/>
            <w:vAlign w:val="top"/>
          </w:tcPr>
          <w:p w14:paraId="367C61B0" w14:textId="73B985FA" w:rsidR="00C93E78" w:rsidRPr="00F97E04" w:rsidRDefault="001B3C5A" w:rsidP="00376E58">
            <w:pPr>
              <w:pStyle w:val="Tabletext"/>
              <w:spacing w:before="60" w:after="60" w:line="240" w:lineRule="atLeast"/>
            </w:pPr>
            <w:r>
              <w:t>FDDs describe in detail the design of the various features and functions necessary for seamless MECM system performance</w:t>
            </w:r>
          </w:p>
        </w:tc>
        <w:tc>
          <w:tcPr>
            <w:tcW w:w="2971" w:type="dxa"/>
            <w:vAlign w:val="top"/>
          </w:tcPr>
          <w:p w14:paraId="5CBC6504" w14:textId="25BB551F" w:rsidR="00C93E78" w:rsidRPr="001046EC" w:rsidRDefault="007E44B9" w:rsidP="00376E58">
            <w:pPr>
              <w:pStyle w:val="Tabletext"/>
              <w:spacing w:before="60" w:after="60" w:line="240" w:lineRule="atLeast"/>
            </w:pPr>
            <w:r>
              <w:rPr>
                <w:lang w:eastAsia="en-US" w:bidi="ar-SA"/>
              </w:rPr>
              <w:t>20.</w:t>
            </w:r>
            <w:r>
              <w:t xml:space="preserve"> Function Design Document (FDD)</w:t>
            </w:r>
          </w:p>
        </w:tc>
      </w:tr>
      <w:tr w:rsidR="00E45257" w:rsidRPr="00F97E04" w14:paraId="0A46C9F4" w14:textId="77777777" w:rsidTr="0044213C">
        <w:trPr>
          <w:trHeight w:val="423"/>
          <w:jc w:val="center"/>
        </w:trPr>
        <w:tc>
          <w:tcPr>
            <w:tcW w:w="1615" w:type="dxa"/>
            <w:vAlign w:val="top"/>
          </w:tcPr>
          <w:p w14:paraId="2F1B9E87" w14:textId="578C90AA" w:rsidR="00E45257" w:rsidRPr="00F97E04" w:rsidRDefault="001E402C" w:rsidP="00376E58">
            <w:pPr>
              <w:pStyle w:val="Tabletext"/>
              <w:spacing w:before="60" w:after="60" w:line="240" w:lineRule="atLeast"/>
            </w:pPr>
            <w:r>
              <w:t>ICDs</w:t>
            </w:r>
          </w:p>
        </w:tc>
        <w:tc>
          <w:tcPr>
            <w:tcW w:w="4770" w:type="dxa"/>
            <w:vAlign w:val="top"/>
          </w:tcPr>
          <w:p w14:paraId="519D6693" w14:textId="0ECF8227" w:rsidR="00E45257" w:rsidRPr="00F97E04" w:rsidRDefault="00695341" w:rsidP="00376E58">
            <w:pPr>
              <w:pStyle w:val="Tabletext"/>
              <w:spacing w:before="60" w:after="60" w:line="240" w:lineRule="atLeast"/>
            </w:pPr>
            <w:r>
              <w:t>These documents define the technical specifications, data formats, and communication protocols required for secure and reliable integration and data exchange between MECM and its trading partner systems.</w:t>
            </w:r>
          </w:p>
        </w:tc>
        <w:tc>
          <w:tcPr>
            <w:tcW w:w="2971" w:type="dxa"/>
            <w:vAlign w:val="top"/>
          </w:tcPr>
          <w:p w14:paraId="1E7504D3" w14:textId="6A6F510E" w:rsidR="00E45257" w:rsidRPr="00F97E04" w:rsidRDefault="0065557B" w:rsidP="00376E58">
            <w:pPr>
              <w:pStyle w:val="Tabletext"/>
              <w:spacing w:before="60" w:after="60" w:line="240" w:lineRule="atLeast"/>
            </w:pPr>
            <w:r>
              <w:t>22. Interface - Batch - Automation Control Documents</w:t>
            </w:r>
          </w:p>
        </w:tc>
      </w:tr>
      <w:tr w:rsidR="00F60695" w:rsidRPr="00F97E04" w14:paraId="5BC704A8" w14:textId="77777777" w:rsidTr="0044213C">
        <w:trPr>
          <w:trHeight w:val="423"/>
          <w:jc w:val="center"/>
        </w:trPr>
        <w:tc>
          <w:tcPr>
            <w:tcW w:w="1615" w:type="dxa"/>
            <w:vAlign w:val="top"/>
          </w:tcPr>
          <w:p w14:paraId="211CE81E" w14:textId="3E7A539B" w:rsidR="00F60695" w:rsidRPr="00F97E04" w:rsidRDefault="00BF1BC3" w:rsidP="00376E58">
            <w:pPr>
              <w:pStyle w:val="Tabletext"/>
              <w:spacing w:before="60" w:after="60" w:line="240" w:lineRule="atLeast"/>
            </w:pPr>
            <w:r>
              <w:t>PMP</w:t>
            </w:r>
          </w:p>
        </w:tc>
        <w:tc>
          <w:tcPr>
            <w:tcW w:w="4770" w:type="dxa"/>
            <w:vAlign w:val="top"/>
          </w:tcPr>
          <w:p w14:paraId="6D018EC1" w14:textId="5F43E573" w:rsidR="00F60695" w:rsidRPr="00F97E04" w:rsidRDefault="001B19E3" w:rsidP="00376E58">
            <w:pPr>
              <w:pStyle w:val="Tabletext"/>
              <w:spacing w:before="60" w:after="60" w:line="240" w:lineRule="atLeast"/>
            </w:pPr>
            <w:r>
              <w:t>Used as a baseline for the project, the PMP must detail the Contractor’s approach and plan for managing the MECM system and its component projects.</w:t>
            </w:r>
          </w:p>
        </w:tc>
        <w:tc>
          <w:tcPr>
            <w:tcW w:w="2971" w:type="dxa"/>
            <w:vAlign w:val="top"/>
          </w:tcPr>
          <w:p w14:paraId="6FCE635E" w14:textId="50D5785D" w:rsidR="00F60695" w:rsidRPr="00F97E04" w:rsidRDefault="00FD3D83" w:rsidP="00376E58">
            <w:pPr>
              <w:pStyle w:val="Tabletext"/>
              <w:spacing w:before="60" w:after="60" w:line="240" w:lineRule="atLeast"/>
            </w:pPr>
            <w:r>
              <w:t>05. Project Management Plan (PMP)</w:t>
            </w:r>
          </w:p>
        </w:tc>
      </w:tr>
      <w:tr w:rsidR="00F60695" w:rsidRPr="00F97E04" w14:paraId="6AA1FF78" w14:textId="77777777" w:rsidTr="0044213C">
        <w:trPr>
          <w:trHeight w:val="423"/>
          <w:jc w:val="center"/>
        </w:trPr>
        <w:tc>
          <w:tcPr>
            <w:tcW w:w="1615" w:type="dxa"/>
            <w:vAlign w:val="top"/>
          </w:tcPr>
          <w:p w14:paraId="6EE5E450" w14:textId="2E8E7B2D" w:rsidR="00F60695" w:rsidRPr="00F97E04" w:rsidRDefault="00E96B8F" w:rsidP="00376E58">
            <w:pPr>
              <w:pStyle w:val="Tabletext"/>
              <w:spacing w:before="60" w:after="60" w:line="240" w:lineRule="atLeast"/>
            </w:pPr>
            <w:r>
              <w:t>RMP</w:t>
            </w:r>
          </w:p>
        </w:tc>
        <w:tc>
          <w:tcPr>
            <w:tcW w:w="4770" w:type="dxa"/>
            <w:vAlign w:val="top"/>
          </w:tcPr>
          <w:p w14:paraId="0474C355" w14:textId="1CFC42C9" w:rsidR="00F60695" w:rsidRPr="00F97E04" w:rsidRDefault="00B233CC" w:rsidP="00376E58">
            <w:pPr>
              <w:pStyle w:val="Tabletext"/>
              <w:spacing w:before="60" w:after="60" w:line="240" w:lineRule="atLeast"/>
            </w:pPr>
            <w:r>
              <w:t>The RMP will include the approach and procedures for managing and tracking MECM system releases, deployment of releases to the system environments, the process for obtaining approval from DOH OHIP for production deployments and release.</w:t>
            </w:r>
          </w:p>
        </w:tc>
        <w:tc>
          <w:tcPr>
            <w:tcW w:w="2971" w:type="dxa"/>
            <w:vAlign w:val="top"/>
          </w:tcPr>
          <w:p w14:paraId="0E764782" w14:textId="1F26CCC2" w:rsidR="00F60695" w:rsidRPr="00F97E04" w:rsidRDefault="003E1B97" w:rsidP="00376E58">
            <w:pPr>
              <w:pStyle w:val="Tabletext"/>
              <w:spacing w:before="60" w:after="60" w:line="240" w:lineRule="atLeast"/>
            </w:pPr>
            <w:r>
              <w:t>34. Release Management Plan</w:t>
            </w:r>
          </w:p>
        </w:tc>
      </w:tr>
      <w:tr w:rsidR="001F3E10" w:rsidRPr="00F97E04" w14:paraId="022213F5" w14:textId="77777777" w:rsidTr="0044213C">
        <w:trPr>
          <w:trHeight w:val="423"/>
          <w:jc w:val="center"/>
        </w:trPr>
        <w:tc>
          <w:tcPr>
            <w:tcW w:w="1615" w:type="dxa"/>
            <w:vAlign w:val="top"/>
          </w:tcPr>
          <w:p w14:paraId="3D8F3420" w14:textId="43040F76" w:rsidR="001F3E10" w:rsidRPr="00F97E04" w:rsidRDefault="001F3E10" w:rsidP="00376E58">
            <w:pPr>
              <w:pStyle w:val="Tabletext"/>
              <w:spacing w:before="60" w:after="60" w:line="240" w:lineRule="atLeast"/>
            </w:pPr>
            <w:r>
              <w:t>RSD</w:t>
            </w:r>
          </w:p>
        </w:tc>
        <w:tc>
          <w:tcPr>
            <w:tcW w:w="4770" w:type="dxa"/>
            <w:vAlign w:val="top"/>
          </w:tcPr>
          <w:p w14:paraId="39CF91EE" w14:textId="3555A6EF" w:rsidR="001F3E10" w:rsidRPr="00F97E04" w:rsidRDefault="001F3E10" w:rsidP="00376E58">
            <w:pPr>
              <w:pStyle w:val="Tabletext"/>
              <w:spacing w:before="60" w:after="60" w:line="240" w:lineRule="atLeast"/>
            </w:pPr>
            <w:r>
              <w:t xml:space="preserve">The RSD gives an overview of the scope, assumptions, and approach to requirements </w:t>
            </w:r>
            <w:r>
              <w:lastRenderedPageBreak/>
              <w:t>gathering associated with the initial design and development of the MECM system for the upcoming release</w:t>
            </w:r>
          </w:p>
        </w:tc>
        <w:tc>
          <w:tcPr>
            <w:tcW w:w="2971" w:type="dxa"/>
            <w:vAlign w:val="top"/>
          </w:tcPr>
          <w:p w14:paraId="6B1E3D49" w14:textId="4D4D8E5C" w:rsidR="001F3E10" w:rsidRPr="003E1B97" w:rsidRDefault="00C664C5" w:rsidP="00376E58">
            <w:pPr>
              <w:pStyle w:val="Tabletext"/>
              <w:spacing w:before="60" w:after="60" w:line="240" w:lineRule="atLeast"/>
            </w:pPr>
            <w:r>
              <w:rPr>
                <w:lang w:eastAsia="en-US" w:bidi="ar-SA"/>
              </w:rPr>
              <w:lastRenderedPageBreak/>
              <w:t>18. Requirements Specification Document (</w:t>
            </w:r>
            <w:r>
              <w:t>RSD)</w:t>
            </w:r>
          </w:p>
        </w:tc>
      </w:tr>
      <w:tr w:rsidR="00481BD8" w:rsidRPr="00F97E04" w14:paraId="226567B3" w14:textId="77777777" w:rsidTr="0044213C">
        <w:trPr>
          <w:trHeight w:val="423"/>
          <w:jc w:val="center"/>
        </w:trPr>
        <w:tc>
          <w:tcPr>
            <w:tcW w:w="1615" w:type="dxa"/>
            <w:vAlign w:val="top"/>
          </w:tcPr>
          <w:p w14:paraId="0F633332" w14:textId="6C3DA99D" w:rsidR="00481BD8" w:rsidRPr="00F97E04" w:rsidRDefault="00930A0E" w:rsidP="00376E58">
            <w:pPr>
              <w:pStyle w:val="Tabletext"/>
              <w:spacing w:before="60" w:after="60" w:line="240" w:lineRule="atLeast"/>
            </w:pPr>
            <w:r>
              <w:t>SADD</w:t>
            </w:r>
          </w:p>
        </w:tc>
        <w:tc>
          <w:tcPr>
            <w:tcW w:w="4770" w:type="dxa"/>
            <w:vAlign w:val="top"/>
          </w:tcPr>
          <w:p w14:paraId="6BAFB32B" w14:textId="22E6256B" w:rsidR="00481BD8" w:rsidRPr="00F97E04" w:rsidRDefault="002B1F56" w:rsidP="00376E58">
            <w:pPr>
              <w:pStyle w:val="Tabletext"/>
              <w:spacing w:before="60" w:after="60" w:line="240" w:lineRule="atLeast"/>
            </w:pPr>
            <w:r>
              <w:t>This design document outlines the various components of MECM architecture.</w:t>
            </w:r>
          </w:p>
        </w:tc>
        <w:tc>
          <w:tcPr>
            <w:tcW w:w="2971" w:type="dxa"/>
            <w:vAlign w:val="top"/>
          </w:tcPr>
          <w:p w14:paraId="4E7966B1" w14:textId="4D32BB17" w:rsidR="00481BD8" w:rsidRPr="00F97E04" w:rsidRDefault="00C40996" w:rsidP="00376E58">
            <w:pPr>
              <w:pStyle w:val="Tabletext"/>
              <w:spacing w:before="60" w:after="60" w:line="240" w:lineRule="atLeast"/>
            </w:pPr>
            <w:r>
              <w:t>16. System Architecture Design Document (SADD)</w:t>
            </w:r>
          </w:p>
        </w:tc>
      </w:tr>
      <w:tr w:rsidR="00376A8C" w:rsidRPr="00F97E04" w14:paraId="41D19813" w14:textId="77777777" w:rsidTr="0044213C">
        <w:trPr>
          <w:trHeight w:val="423"/>
          <w:jc w:val="center"/>
        </w:trPr>
        <w:tc>
          <w:tcPr>
            <w:tcW w:w="1615" w:type="dxa"/>
            <w:vAlign w:val="top"/>
          </w:tcPr>
          <w:p w14:paraId="462F49A8" w14:textId="026A8380" w:rsidR="00376A8C" w:rsidRPr="00F97E04" w:rsidRDefault="00481BD8" w:rsidP="00376E58">
            <w:pPr>
              <w:pStyle w:val="Tabletext"/>
              <w:spacing w:before="60" w:after="60" w:line="240" w:lineRule="atLeast"/>
            </w:pPr>
            <w:r>
              <w:t>System Source Code</w:t>
            </w:r>
          </w:p>
        </w:tc>
        <w:tc>
          <w:tcPr>
            <w:tcW w:w="4770" w:type="dxa"/>
            <w:vAlign w:val="top"/>
          </w:tcPr>
          <w:p w14:paraId="1F298BCC" w14:textId="15383A9A" w:rsidR="00376A8C" w:rsidRPr="00F97E04" w:rsidRDefault="00DA6E0C" w:rsidP="00376E58">
            <w:pPr>
              <w:pStyle w:val="Tabletext"/>
              <w:spacing w:before="60" w:after="60" w:line="240" w:lineRule="atLeast"/>
            </w:pPr>
            <w:r>
              <w:t>This document provides System Source Code details such as software packages, custom framework modules, third-party libraries, application code, database scripts, and configurable application properties that constitute the MECM solution. This document also provides details about the source code repository access provisioning process and build/deployment.</w:t>
            </w:r>
          </w:p>
        </w:tc>
        <w:tc>
          <w:tcPr>
            <w:tcW w:w="2971" w:type="dxa"/>
            <w:vAlign w:val="top"/>
          </w:tcPr>
          <w:p w14:paraId="17E4DBD1" w14:textId="2F501987" w:rsidR="00376A8C" w:rsidRPr="00F97E04" w:rsidRDefault="00C40996" w:rsidP="00376E58">
            <w:pPr>
              <w:pStyle w:val="Tabletext"/>
              <w:spacing w:before="60" w:after="60" w:line="240" w:lineRule="atLeast"/>
            </w:pPr>
            <w:r>
              <w:t>26. System Source Code</w:t>
            </w:r>
          </w:p>
        </w:tc>
      </w:tr>
    </w:tbl>
    <w:p w14:paraId="5C32119D" w14:textId="38642371" w:rsidR="00330E1F" w:rsidRPr="00F97E04" w:rsidRDefault="00330E1F" w:rsidP="00310DFA">
      <w:pPr>
        <w:pStyle w:val="Caption"/>
      </w:pPr>
      <w:bookmarkStart w:id="139" w:name="_Toc198734451"/>
      <w:bookmarkStart w:id="140" w:name="_Toc211268697"/>
      <w:r>
        <w:t xml:space="preserve">Table </w:t>
      </w:r>
      <w:fldSimple w:instr=" STYLEREF 1 \s ">
        <w:r>
          <w:rPr>
            <w:noProof/>
          </w:rPr>
          <w:t>5</w:t>
        </w:r>
      </w:fldSimple>
      <w:r>
        <w:noBreakHyphen/>
      </w:r>
      <w:fldSimple w:instr=" SEQ Table \* ARABIC \s 1 ">
        <w:r>
          <w:rPr>
            <w:noProof/>
          </w:rPr>
          <w:t>2</w:t>
        </w:r>
      </w:fldSimple>
      <w:r>
        <w:t>: Reference Documents, Deliverables, and Artifacts Associated with the Maintenance and Operations Run Book</w:t>
      </w:r>
      <w:bookmarkEnd w:id="139"/>
      <w:bookmarkEnd w:id="140"/>
    </w:p>
    <w:p w14:paraId="5260A67F" w14:textId="141045D1" w:rsidR="006607AC" w:rsidRPr="00843971" w:rsidRDefault="006607AC" w:rsidP="00C144F1">
      <w:pPr>
        <w:spacing w:before="0" w:after="160" w:line="259" w:lineRule="auto"/>
        <w:rPr>
          <w:rFonts w:eastAsiaTheme="majorEastAsia" w:cstheme="majorBidi"/>
          <w:b/>
          <w:bCs/>
          <w:noProof/>
          <w:szCs w:val="28"/>
        </w:rPr>
      </w:pPr>
    </w:p>
    <w:sectPr w:rsidR="006607AC" w:rsidRPr="00843971" w:rsidSect="00431A91">
      <w:headerReference w:type="even" r:id="rId21"/>
      <w:headerReference w:type="default" r:id="rId22"/>
      <w:headerReference w:type="first" r:id="rId23"/>
      <w:footerReference w:type="first" r:id="rId24"/>
      <w:pgSz w:w="12240" w:h="15840"/>
      <w:pgMar w:top="240" w:right="1440" w:bottom="720" w:left="1440"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6B39D" w14:textId="77777777" w:rsidR="00A76C3E" w:rsidRPr="00F97E04" w:rsidRDefault="00A76C3E" w:rsidP="008333A1">
      <w:r w:rsidRPr="00F97E04">
        <w:separator/>
      </w:r>
    </w:p>
    <w:p w14:paraId="6E954F98" w14:textId="77777777" w:rsidR="00A76C3E" w:rsidRPr="00F97E04" w:rsidRDefault="00A76C3E"/>
    <w:p w14:paraId="711B77F2" w14:textId="77777777" w:rsidR="00A76C3E" w:rsidRPr="00F97E04" w:rsidRDefault="00A76C3E" w:rsidP="00111B7D"/>
    <w:p w14:paraId="45D57753" w14:textId="77777777" w:rsidR="00A76C3E" w:rsidRPr="00F97E04" w:rsidRDefault="00A76C3E"/>
  </w:endnote>
  <w:endnote w:type="continuationSeparator" w:id="0">
    <w:p w14:paraId="6A185CAB" w14:textId="77777777" w:rsidR="00A76C3E" w:rsidRPr="00F97E04" w:rsidRDefault="00A76C3E" w:rsidP="008333A1">
      <w:r w:rsidRPr="00F97E04">
        <w:continuationSeparator/>
      </w:r>
    </w:p>
    <w:p w14:paraId="43A7FBFD" w14:textId="77777777" w:rsidR="00A76C3E" w:rsidRPr="00F97E04" w:rsidRDefault="00A76C3E"/>
    <w:p w14:paraId="1E7AFA05" w14:textId="77777777" w:rsidR="00A76C3E" w:rsidRPr="00F97E04" w:rsidRDefault="00A76C3E" w:rsidP="00111B7D"/>
    <w:p w14:paraId="6ED654E0" w14:textId="77777777" w:rsidR="00A76C3E" w:rsidRPr="00F97E04" w:rsidRDefault="00A76C3E"/>
  </w:endnote>
  <w:endnote w:type="continuationNotice" w:id="1">
    <w:p w14:paraId="50645D2B" w14:textId="77777777" w:rsidR="00A76C3E" w:rsidRPr="00F97E04" w:rsidRDefault="00A76C3E" w:rsidP="008333A1"/>
    <w:p w14:paraId="355717FC" w14:textId="77777777" w:rsidR="00A76C3E" w:rsidRPr="00F97E04" w:rsidRDefault="00A76C3E"/>
    <w:p w14:paraId="693FDE75" w14:textId="77777777" w:rsidR="00A76C3E" w:rsidRPr="00F97E04" w:rsidRDefault="00A76C3E" w:rsidP="00111B7D"/>
    <w:p w14:paraId="52462C62" w14:textId="77777777" w:rsidR="00A76C3E" w:rsidRPr="00F97E04" w:rsidRDefault="00A76C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57ECC" w14:textId="77777777" w:rsidR="00953A89" w:rsidRPr="00F97E04" w:rsidRDefault="00953A89">
    <w:pPr>
      <w:spacing w:before="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723343"/>
      <w:docPartObj>
        <w:docPartGallery w:val="Page Numbers (Bottom of Page)"/>
        <w:docPartUnique/>
      </w:docPartObj>
    </w:sdtPr>
    <w:sdtEndPr/>
    <w:sdtContent>
      <w:p w14:paraId="15A6EBDF" w14:textId="77777777" w:rsidR="00A824B4" w:rsidRPr="00F97E04" w:rsidDel="007D3737" w:rsidRDefault="00752D1E" w:rsidP="00850DDC">
        <w:pPr>
          <w:pStyle w:val="FooterSectionMain"/>
        </w:pPr>
        <w:r w:rsidRPr="00F97E04">
          <w:fldChar w:fldCharType="begin"/>
        </w:r>
        <w:r w:rsidRPr="00F97E04">
          <w:instrText xml:space="preserve"> PAGE   \* MERGEFORMAT </w:instrText>
        </w:r>
        <w:r w:rsidRPr="00F97E04">
          <w:fldChar w:fldCharType="separate"/>
        </w:r>
        <w:r w:rsidRPr="00F97E04">
          <w:t>2</w:t>
        </w:r>
        <w:r w:rsidRPr="00F97E04">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1362553"/>
      <w:docPartObj>
        <w:docPartGallery w:val="Page Numbers (Bottom of Page)"/>
        <w:docPartUnique/>
      </w:docPartObj>
    </w:sdtPr>
    <w:sdtEndPr/>
    <w:sdtContent>
      <w:p w14:paraId="779FA1E7" w14:textId="77777777" w:rsidR="007D3737" w:rsidRPr="00F97E04" w:rsidDel="007D3737" w:rsidRDefault="007D3737" w:rsidP="000F2C5F">
        <w:pPr>
          <w:pStyle w:val="FooterSection1"/>
        </w:pPr>
        <w:r w:rsidRPr="00F97E04">
          <w:fldChar w:fldCharType="begin"/>
        </w:r>
        <w:r w:rsidRPr="00F97E04">
          <w:instrText xml:space="preserve"> PAGE   \* MERGEFORMAT </w:instrText>
        </w:r>
        <w:r w:rsidRPr="00F97E04">
          <w:fldChar w:fldCharType="separate"/>
        </w:r>
        <w:r w:rsidRPr="00F97E04">
          <w:t>2</w:t>
        </w:r>
        <w:r w:rsidRPr="00F97E04">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355220"/>
      <w:docPartObj>
        <w:docPartGallery w:val="Page Numbers (Bottom of Page)"/>
        <w:docPartUnique/>
      </w:docPartObj>
    </w:sdtPr>
    <w:sdtEndPr/>
    <w:sdtContent>
      <w:p w14:paraId="6A586242" w14:textId="77777777" w:rsidR="004C02BF" w:rsidRPr="00F97E04" w:rsidDel="007D3737" w:rsidRDefault="004C02BF" w:rsidP="000F2C5F">
        <w:pPr>
          <w:pStyle w:val="FooterSection1"/>
        </w:pPr>
        <w:r w:rsidRPr="00F97E04">
          <w:fldChar w:fldCharType="begin"/>
        </w:r>
        <w:r w:rsidRPr="00F97E04">
          <w:instrText xml:space="preserve"> PAGE   \* MERGEFORMAT </w:instrText>
        </w:r>
        <w:r w:rsidRPr="00F97E04">
          <w:fldChar w:fldCharType="separate"/>
        </w:r>
        <w:r w:rsidRPr="00F97E04">
          <w:t>2</w:t>
        </w:r>
        <w:r w:rsidRPr="00F97E04">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31853" w14:textId="77777777" w:rsidR="00A76C3E" w:rsidRPr="00F97E04" w:rsidRDefault="00A76C3E" w:rsidP="008333A1">
      <w:r w:rsidRPr="00F97E04">
        <w:separator/>
      </w:r>
    </w:p>
    <w:p w14:paraId="4CD8FBB2" w14:textId="77777777" w:rsidR="00A76C3E" w:rsidRPr="00F97E04" w:rsidRDefault="00A76C3E"/>
    <w:p w14:paraId="3B3CC9CF" w14:textId="77777777" w:rsidR="00A76C3E" w:rsidRPr="00F97E04" w:rsidRDefault="00A76C3E" w:rsidP="00111B7D"/>
    <w:p w14:paraId="2616E47D" w14:textId="77777777" w:rsidR="00A76C3E" w:rsidRPr="00F97E04" w:rsidRDefault="00A76C3E"/>
  </w:footnote>
  <w:footnote w:type="continuationSeparator" w:id="0">
    <w:p w14:paraId="0F457613" w14:textId="77777777" w:rsidR="00A76C3E" w:rsidRPr="00F97E04" w:rsidRDefault="00A76C3E" w:rsidP="008333A1">
      <w:r w:rsidRPr="00F97E04">
        <w:continuationSeparator/>
      </w:r>
    </w:p>
    <w:p w14:paraId="76CF6102" w14:textId="77777777" w:rsidR="00A76C3E" w:rsidRPr="00F97E04" w:rsidRDefault="00A76C3E"/>
    <w:p w14:paraId="0CC98D14" w14:textId="77777777" w:rsidR="00A76C3E" w:rsidRPr="00F97E04" w:rsidRDefault="00A76C3E" w:rsidP="00111B7D"/>
    <w:p w14:paraId="2B35FBC7" w14:textId="77777777" w:rsidR="00A76C3E" w:rsidRPr="00F97E04" w:rsidRDefault="00A76C3E"/>
  </w:footnote>
  <w:footnote w:type="continuationNotice" w:id="1">
    <w:p w14:paraId="59D46FA7" w14:textId="77777777" w:rsidR="00A76C3E" w:rsidRPr="00F97E04" w:rsidRDefault="00A76C3E" w:rsidP="008333A1"/>
    <w:p w14:paraId="45CC51B4" w14:textId="77777777" w:rsidR="00A76C3E" w:rsidRPr="00F97E04" w:rsidRDefault="00A76C3E"/>
    <w:p w14:paraId="4A673FC8" w14:textId="77777777" w:rsidR="00A76C3E" w:rsidRPr="00F97E04" w:rsidRDefault="00A76C3E" w:rsidP="00111B7D"/>
    <w:p w14:paraId="7606A9E1" w14:textId="77777777" w:rsidR="00A76C3E" w:rsidRPr="00F97E04" w:rsidRDefault="00A76C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AF5E2" w14:textId="47B7741D" w:rsidR="00953A89" w:rsidRPr="00F97E04" w:rsidRDefault="00953A89">
    <w:pPr>
      <w:spacing w:before="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75C6E" w14:textId="7D7C7EF2" w:rsidR="00A824B4" w:rsidRPr="00F97E04" w:rsidRDefault="00FC3F08" w:rsidP="00DF0F30">
    <w:pPr>
      <w:jc w:val="right"/>
    </w:pPr>
    <w:r w:rsidRPr="00F97E04">
      <w:rPr>
        <w:noProof/>
      </w:rPr>
      <w:drawing>
        <wp:inline distT="0" distB="0" distL="0" distR="0" wp14:anchorId="0EA457F8" wp14:editId="51CF90D8">
          <wp:extent cx="2076450" cy="488950"/>
          <wp:effectExtent l="0" t="0" r="0" b="6350"/>
          <wp:docPr id="770270045" name="Picture 77027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r="40437"/>
                  <a:stretch/>
                </pic:blipFill>
                <pic:spPr bwMode="auto">
                  <a:xfrm>
                    <a:off x="0" y="0"/>
                    <a:ext cx="2076450" cy="48895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67699" w14:textId="04FE9A08" w:rsidR="00332B95" w:rsidRPr="00F97E04" w:rsidRDefault="00C038C7" w:rsidP="000F2C5F">
    <w:pPr>
      <w:jc w:val="right"/>
    </w:pPr>
    <w:r>
      <w:rPr>
        <w:noProof/>
      </w:rPr>
      <w:drawing>
        <wp:inline distT="0" distB="0" distL="0" distR="0" wp14:anchorId="3667D16A" wp14:editId="47D9A54D">
          <wp:extent cx="1370965" cy="457200"/>
          <wp:effectExtent l="0" t="0" r="635" b="0"/>
          <wp:docPr id="854647735"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212CB" w14:textId="3C94EC77" w:rsidR="00701835" w:rsidRPr="00F97E04" w:rsidRDefault="0070183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4F4D1" w14:textId="0C7D76E8" w:rsidR="00701835" w:rsidRPr="00F97E04" w:rsidRDefault="00C038C7" w:rsidP="00E749BE">
    <w:pPr>
      <w:pStyle w:val="Header"/>
      <w:jc w:val="right"/>
    </w:pPr>
    <w:r>
      <w:rPr>
        <w:noProof/>
      </w:rPr>
      <w:drawing>
        <wp:inline distT="0" distB="0" distL="0" distR="0" wp14:anchorId="44475F7F" wp14:editId="01277457">
          <wp:extent cx="1370965" cy="457200"/>
          <wp:effectExtent l="0" t="0" r="635" b="0"/>
          <wp:docPr id="2029213419"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D7C16" w14:textId="1929E9B3" w:rsidR="00701835" w:rsidRPr="00F97E04" w:rsidRDefault="00C038C7" w:rsidP="00C45D19">
    <w:pPr>
      <w:pStyle w:val="Header"/>
      <w:spacing w:before="120" w:line="240" w:lineRule="atLeast"/>
      <w:jc w:val="right"/>
    </w:pPr>
    <w:r>
      <w:rPr>
        <w:noProof/>
      </w:rPr>
      <w:drawing>
        <wp:inline distT="0" distB="0" distL="0" distR="0" wp14:anchorId="77F729B4" wp14:editId="6007C8A3">
          <wp:extent cx="1370965" cy="457200"/>
          <wp:effectExtent l="0" t="0" r="635" b="0"/>
          <wp:docPr id="1927499439"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28D4" w14:textId="61A88075" w:rsidR="00701835" w:rsidRPr="00F97E04" w:rsidRDefault="0070183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8BB42" w14:textId="51AE6D85" w:rsidR="00701835" w:rsidRPr="00F97E04" w:rsidRDefault="00C038C7" w:rsidP="008246F2">
    <w:pPr>
      <w:pStyle w:val="Header"/>
      <w:jc w:val="right"/>
    </w:pPr>
    <w:r>
      <w:rPr>
        <w:noProof/>
      </w:rPr>
      <w:drawing>
        <wp:inline distT="0" distB="0" distL="0" distR="0" wp14:anchorId="2BAC6175" wp14:editId="0F239827">
          <wp:extent cx="1370965" cy="457200"/>
          <wp:effectExtent l="0" t="0" r="635" b="0"/>
          <wp:docPr id="853293655"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6E016" w14:textId="35FD1253" w:rsidR="00701835" w:rsidRPr="00F97E04" w:rsidRDefault="00C038C7" w:rsidP="00E2228E">
    <w:pPr>
      <w:pStyle w:val="Header"/>
      <w:spacing w:before="120" w:line="240" w:lineRule="atLeast"/>
      <w:jc w:val="right"/>
    </w:pPr>
    <w:r>
      <w:rPr>
        <w:noProof/>
      </w:rPr>
      <w:drawing>
        <wp:inline distT="0" distB="0" distL="0" distR="0" wp14:anchorId="48B4D531" wp14:editId="5C6386E0">
          <wp:extent cx="1370965" cy="457200"/>
          <wp:effectExtent l="0" t="0" r="635" b="0"/>
          <wp:docPr id="641210839"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1BFB"/>
    <w:multiLevelType w:val="hybridMultilevel"/>
    <w:tmpl w:val="F44E09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B63933"/>
    <w:multiLevelType w:val="hybridMultilevel"/>
    <w:tmpl w:val="1B46CA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7DB1F8C"/>
    <w:multiLevelType w:val="multilevel"/>
    <w:tmpl w:val="EA3A66B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bCs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B696416"/>
    <w:multiLevelType w:val="hybridMultilevel"/>
    <w:tmpl w:val="DF7659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0D0767A6"/>
    <w:multiLevelType w:val="hybridMultilevel"/>
    <w:tmpl w:val="CECABAB6"/>
    <w:lvl w:ilvl="0" w:tplc="7450AE40">
      <w:start w:val="1"/>
      <w:numFmt w:val="bullet"/>
      <w:lvlText w:val="·"/>
      <w:lvlJc w:val="left"/>
      <w:pPr>
        <w:ind w:left="720" w:hanging="360"/>
      </w:pPr>
      <w:rPr>
        <w:rFonts w:ascii="Symbol" w:hAnsi="Symbol" w:hint="default"/>
      </w:rPr>
    </w:lvl>
    <w:lvl w:ilvl="1" w:tplc="61184BD2">
      <w:start w:val="1"/>
      <w:numFmt w:val="bullet"/>
      <w:lvlText w:val="o"/>
      <w:lvlJc w:val="left"/>
      <w:pPr>
        <w:ind w:left="1440" w:hanging="360"/>
      </w:pPr>
      <w:rPr>
        <w:rFonts w:ascii="Courier New" w:hAnsi="Courier New" w:hint="default"/>
      </w:rPr>
    </w:lvl>
    <w:lvl w:ilvl="2" w:tplc="19E85CB2">
      <w:start w:val="1"/>
      <w:numFmt w:val="bullet"/>
      <w:lvlText w:val=""/>
      <w:lvlJc w:val="left"/>
      <w:pPr>
        <w:ind w:left="2160" w:hanging="360"/>
      </w:pPr>
      <w:rPr>
        <w:rFonts w:ascii="Wingdings" w:hAnsi="Wingdings" w:hint="default"/>
      </w:rPr>
    </w:lvl>
    <w:lvl w:ilvl="3" w:tplc="77380F3A">
      <w:start w:val="1"/>
      <w:numFmt w:val="bullet"/>
      <w:lvlText w:val=""/>
      <w:lvlJc w:val="left"/>
      <w:pPr>
        <w:ind w:left="2880" w:hanging="360"/>
      </w:pPr>
      <w:rPr>
        <w:rFonts w:ascii="Symbol" w:hAnsi="Symbol" w:hint="default"/>
      </w:rPr>
    </w:lvl>
    <w:lvl w:ilvl="4" w:tplc="6C2423AE">
      <w:start w:val="1"/>
      <w:numFmt w:val="bullet"/>
      <w:lvlText w:val="o"/>
      <w:lvlJc w:val="left"/>
      <w:pPr>
        <w:ind w:left="3600" w:hanging="360"/>
      </w:pPr>
      <w:rPr>
        <w:rFonts w:ascii="Courier New" w:hAnsi="Courier New" w:hint="default"/>
      </w:rPr>
    </w:lvl>
    <w:lvl w:ilvl="5" w:tplc="4B50BD4E">
      <w:start w:val="1"/>
      <w:numFmt w:val="bullet"/>
      <w:lvlText w:val=""/>
      <w:lvlJc w:val="left"/>
      <w:pPr>
        <w:ind w:left="4320" w:hanging="360"/>
      </w:pPr>
      <w:rPr>
        <w:rFonts w:ascii="Wingdings" w:hAnsi="Wingdings" w:hint="default"/>
      </w:rPr>
    </w:lvl>
    <w:lvl w:ilvl="6" w:tplc="DB92F4F0">
      <w:start w:val="1"/>
      <w:numFmt w:val="bullet"/>
      <w:lvlText w:val=""/>
      <w:lvlJc w:val="left"/>
      <w:pPr>
        <w:ind w:left="5040" w:hanging="360"/>
      </w:pPr>
      <w:rPr>
        <w:rFonts w:ascii="Symbol" w:hAnsi="Symbol" w:hint="default"/>
      </w:rPr>
    </w:lvl>
    <w:lvl w:ilvl="7" w:tplc="3BFECE3A">
      <w:start w:val="1"/>
      <w:numFmt w:val="bullet"/>
      <w:lvlText w:val="o"/>
      <w:lvlJc w:val="left"/>
      <w:pPr>
        <w:ind w:left="5760" w:hanging="360"/>
      </w:pPr>
      <w:rPr>
        <w:rFonts w:ascii="Courier New" w:hAnsi="Courier New" w:hint="default"/>
      </w:rPr>
    </w:lvl>
    <w:lvl w:ilvl="8" w:tplc="29586130">
      <w:start w:val="1"/>
      <w:numFmt w:val="bullet"/>
      <w:lvlText w:val=""/>
      <w:lvlJc w:val="left"/>
      <w:pPr>
        <w:ind w:left="6480" w:hanging="360"/>
      </w:pPr>
      <w:rPr>
        <w:rFonts w:ascii="Wingdings" w:hAnsi="Wingdings" w:hint="default"/>
      </w:rPr>
    </w:lvl>
  </w:abstractNum>
  <w:abstractNum w:abstractNumId="5" w15:restartNumberingAfterBreak="0">
    <w:nsid w:val="108E40DC"/>
    <w:multiLevelType w:val="hybridMultilevel"/>
    <w:tmpl w:val="E8665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4249EB"/>
    <w:multiLevelType w:val="hybridMultilevel"/>
    <w:tmpl w:val="1E60AA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402C49"/>
    <w:multiLevelType w:val="multilevel"/>
    <w:tmpl w:val="69880B1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1574EC1"/>
    <w:multiLevelType w:val="multilevel"/>
    <w:tmpl w:val="06C2B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9A3A33"/>
    <w:multiLevelType w:val="hybridMultilevel"/>
    <w:tmpl w:val="054EF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CC2105"/>
    <w:multiLevelType w:val="hybridMultilevel"/>
    <w:tmpl w:val="E0384B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005C79"/>
    <w:multiLevelType w:val="hybridMultilevel"/>
    <w:tmpl w:val="A44811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50F6078"/>
    <w:multiLevelType w:val="hybridMultilevel"/>
    <w:tmpl w:val="B498CECA"/>
    <w:lvl w:ilvl="0" w:tplc="A888000A">
      <w:start w:val="1"/>
      <w:numFmt w:val="decimal"/>
      <w:pStyle w:val="Bullet2Numbered"/>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54744F9"/>
    <w:multiLevelType w:val="hybridMultilevel"/>
    <w:tmpl w:val="7EF4C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D80AFA"/>
    <w:multiLevelType w:val="hybridMultilevel"/>
    <w:tmpl w:val="AE1A9384"/>
    <w:lvl w:ilvl="0" w:tplc="B6C08114">
      <w:start w:val="1"/>
      <w:numFmt w:val="bullet"/>
      <w:lvlText w:val=""/>
      <w:lvlJc w:val="left"/>
      <w:pPr>
        <w:ind w:left="1040" w:hanging="360"/>
      </w:pPr>
      <w:rPr>
        <w:rFonts w:ascii="Symbol" w:hAnsi="Symbol"/>
      </w:rPr>
    </w:lvl>
    <w:lvl w:ilvl="1" w:tplc="3D26468E">
      <w:start w:val="1"/>
      <w:numFmt w:val="bullet"/>
      <w:lvlText w:val=""/>
      <w:lvlJc w:val="left"/>
      <w:pPr>
        <w:ind w:left="1040" w:hanging="360"/>
      </w:pPr>
      <w:rPr>
        <w:rFonts w:ascii="Symbol" w:hAnsi="Symbol"/>
      </w:rPr>
    </w:lvl>
    <w:lvl w:ilvl="2" w:tplc="1A2682C8">
      <w:start w:val="1"/>
      <w:numFmt w:val="bullet"/>
      <w:lvlText w:val=""/>
      <w:lvlJc w:val="left"/>
      <w:pPr>
        <w:ind w:left="1040" w:hanging="360"/>
      </w:pPr>
      <w:rPr>
        <w:rFonts w:ascii="Symbol" w:hAnsi="Symbol"/>
      </w:rPr>
    </w:lvl>
    <w:lvl w:ilvl="3" w:tplc="9E64EEA4">
      <w:start w:val="1"/>
      <w:numFmt w:val="bullet"/>
      <w:lvlText w:val=""/>
      <w:lvlJc w:val="left"/>
      <w:pPr>
        <w:ind w:left="1040" w:hanging="360"/>
      </w:pPr>
      <w:rPr>
        <w:rFonts w:ascii="Symbol" w:hAnsi="Symbol"/>
      </w:rPr>
    </w:lvl>
    <w:lvl w:ilvl="4" w:tplc="89C0311A">
      <w:start w:val="1"/>
      <w:numFmt w:val="bullet"/>
      <w:lvlText w:val=""/>
      <w:lvlJc w:val="left"/>
      <w:pPr>
        <w:ind w:left="1040" w:hanging="360"/>
      </w:pPr>
      <w:rPr>
        <w:rFonts w:ascii="Symbol" w:hAnsi="Symbol"/>
      </w:rPr>
    </w:lvl>
    <w:lvl w:ilvl="5" w:tplc="2F9E1636">
      <w:start w:val="1"/>
      <w:numFmt w:val="bullet"/>
      <w:lvlText w:val=""/>
      <w:lvlJc w:val="left"/>
      <w:pPr>
        <w:ind w:left="1040" w:hanging="360"/>
      </w:pPr>
      <w:rPr>
        <w:rFonts w:ascii="Symbol" w:hAnsi="Symbol"/>
      </w:rPr>
    </w:lvl>
    <w:lvl w:ilvl="6" w:tplc="7D34B1B0">
      <w:start w:val="1"/>
      <w:numFmt w:val="bullet"/>
      <w:lvlText w:val=""/>
      <w:lvlJc w:val="left"/>
      <w:pPr>
        <w:ind w:left="1040" w:hanging="360"/>
      </w:pPr>
      <w:rPr>
        <w:rFonts w:ascii="Symbol" w:hAnsi="Symbol"/>
      </w:rPr>
    </w:lvl>
    <w:lvl w:ilvl="7" w:tplc="50066226">
      <w:start w:val="1"/>
      <w:numFmt w:val="bullet"/>
      <w:lvlText w:val=""/>
      <w:lvlJc w:val="left"/>
      <w:pPr>
        <w:ind w:left="1040" w:hanging="360"/>
      </w:pPr>
      <w:rPr>
        <w:rFonts w:ascii="Symbol" w:hAnsi="Symbol"/>
      </w:rPr>
    </w:lvl>
    <w:lvl w:ilvl="8" w:tplc="9FEEEC6A">
      <w:start w:val="1"/>
      <w:numFmt w:val="bullet"/>
      <w:lvlText w:val=""/>
      <w:lvlJc w:val="left"/>
      <w:pPr>
        <w:ind w:left="1040" w:hanging="360"/>
      </w:pPr>
      <w:rPr>
        <w:rFonts w:ascii="Symbol" w:hAnsi="Symbol"/>
      </w:rPr>
    </w:lvl>
  </w:abstractNum>
  <w:abstractNum w:abstractNumId="15" w15:restartNumberingAfterBreak="0">
    <w:nsid w:val="2D473887"/>
    <w:multiLevelType w:val="hybridMultilevel"/>
    <w:tmpl w:val="C994AE4C"/>
    <w:lvl w:ilvl="0" w:tplc="247E48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DA65E3"/>
    <w:multiLevelType w:val="hybridMultilevel"/>
    <w:tmpl w:val="8B66659C"/>
    <w:lvl w:ilvl="0" w:tplc="9E2EB3C2">
      <w:start w:val="1"/>
      <w:numFmt w:val="bullet"/>
      <w:lvlText w:val="·"/>
      <w:lvlJc w:val="left"/>
      <w:pPr>
        <w:ind w:left="720" w:hanging="360"/>
      </w:pPr>
      <w:rPr>
        <w:rFonts w:ascii="Symbol" w:hAnsi="Symbol" w:hint="default"/>
      </w:rPr>
    </w:lvl>
    <w:lvl w:ilvl="1" w:tplc="85F0A872">
      <w:start w:val="1"/>
      <w:numFmt w:val="bullet"/>
      <w:lvlText w:val="o"/>
      <w:lvlJc w:val="left"/>
      <w:pPr>
        <w:ind w:left="1440" w:hanging="360"/>
      </w:pPr>
      <w:rPr>
        <w:rFonts w:ascii="Courier New" w:hAnsi="Courier New" w:hint="default"/>
      </w:rPr>
    </w:lvl>
    <w:lvl w:ilvl="2" w:tplc="886053AC">
      <w:start w:val="1"/>
      <w:numFmt w:val="bullet"/>
      <w:lvlText w:val=""/>
      <w:lvlJc w:val="left"/>
      <w:pPr>
        <w:ind w:left="2160" w:hanging="360"/>
      </w:pPr>
      <w:rPr>
        <w:rFonts w:ascii="Wingdings" w:hAnsi="Wingdings" w:hint="default"/>
      </w:rPr>
    </w:lvl>
    <w:lvl w:ilvl="3" w:tplc="6A06FD9E">
      <w:start w:val="1"/>
      <w:numFmt w:val="bullet"/>
      <w:lvlText w:val=""/>
      <w:lvlJc w:val="left"/>
      <w:pPr>
        <w:ind w:left="2880" w:hanging="360"/>
      </w:pPr>
      <w:rPr>
        <w:rFonts w:ascii="Symbol" w:hAnsi="Symbol" w:hint="default"/>
      </w:rPr>
    </w:lvl>
    <w:lvl w:ilvl="4" w:tplc="5DD4F5CE">
      <w:start w:val="1"/>
      <w:numFmt w:val="bullet"/>
      <w:lvlText w:val="o"/>
      <w:lvlJc w:val="left"/>
      <w:pPr>
        <w:ind w:left="3600" w:hanging="360"/>
      </w:pPr>
      <w:rPr>
        <w:rFonts w:ascii="Courier New" w:hAnsi="Courier New" w:hint="default"/>
      </w:rPr>
    </w:lvl>
    <w:lvl w:ilvl="5" w:tplc="782A7ED8">
      <w:start w:val="1"/>
      <w:numFmt w:val="bullet"/>
      <w:lvlText w:val=""/>
      <w:lvlJc w:val="left"/>
      <w:pPr>
        <w:ind w:left="4320" w:hanging="360"/>
      </w:pPr>
      <w:rPr>
        <w:rFonts w:ascii="Wingdings" w:hAnsi="Wingdings" w:hint="default"/>
      </w:rPr>
    </w:lvl>
    <w:lvl w:ilvl="6" w:tplc="BBAC2512">
      <w:start w:val="1"/>
      <w:numFmt w:val="bullet"/>
      <w:lvlText w:val=""/>
      <w:lvlJc w:val="left"/>
      <w:pPr>
        <w:ind w:left="5040" w:hanging="360"/>
      </w:pPr>
      <w:rPr>
        <w:rFonts w:ascii="Symbol" w:hAnsi="Symbol" w:hint="default"/>
      </w:rPr>
    </w:lvl>
    <w:lvl w:ilvl="7" w:tplc="83C0BC6E">
      <w:start w:val="1"/>
      <w:numFmt w:val="bullet"/>
      <w:lvlText w:val="o"/>
      <w:lvlJc w:val="left"/>
      <w:pPr>
        <w:ind w:left="5760" w:hanging="360"/>
      </w:pPr>
      <w:rPr>
        <w:rFonts w:ascii="Courier New" w:hAnsi="Courier New" w:hint="default"/>
      </w:rPr>
    </w:lvl>
    <w:lvl w:ilvl="8" w:tplc="4600DD70">
      <w:start w:val="1"/>
      <w:numFmt w:val="bullet"/>
      <w:lvlText w:val=""/>
      <w:lvlJc w:val="left"/>
      <w:pPr>
        <w:ind w:left="6480" w:hanging="360"/>
      </w:pPr>
      <w:rPr>
        <w:rFonts w:ascii="Wingdings" w:hAnsi="Wingdings" w:hint="default"/>
      </w:rPr>
    </w:lvl>
  </w:abstractNum>
  <w:abstractNum w:abstractNumId="17" w15:restartNumberingAfterBreak="0">
    <w:nsid w:val="2F482BAB"/>
    <w:multiLevelType w:val="hybridMultilevel"/>
    <w:tmpl w:val="1C2C4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2CB5039"/>
    <w:multiLevelType w:val="hybridMultilevel"/>
    <w:tmpl w:val="DD7ED7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34E616A8"/>
    <w:multiLevelType w:val="hybridMultilevel"/>
    <w:tmpl w:val="E1109E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50B32A3"/>
    <w:multiLevelType w:val="multilevel"/>
    <w:tmpl w:val="0409001F"/>
    <w:styleLink w:val="PMOStyl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9FD6F19"/>
    <w:multiLevelType w:val="multilevel"/>
    <w:tmpl w:val="A6EE7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6E037D"/>
    <w:multiLevelType w:val="hybridMultilevel"/>
    <w:tmpl w:val="1C24FB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FB95E8D"/>
    <w:multiLevelType w:val="multilevel"/>
    <w:tmpl w:val="1CE26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000044F"/>
    <w:multiLevelType w:val="hybridMultilevel"/>
    <w:tmpl w:val="05FA98F6"/>
    <w:lvl w:ilvl="0" w:tplc="151E5F7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B0186C"/>
    <w:multiLevelType w:val="hybridMultilevel"/>
    <w:tmpl w:val="21C84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9223EE"/>
    <w:multiLevelType w:val="hybridMultilevel"/>
    <w:tmpl w:val="D5188C12"/>
    <w:lvl w:ilvl="0" w:tplc="2D9E680E">
      <w:start w:val="1"/>
      <w:numFmt w:val="bullet"/>
      <w:pStyle w:val="ListBullet2"/>
      <w:lvlText w:val="o"/>
      <w:lvlJc w:val="left"/>
      <w:pPr>
        <w:ind w:left="1080" w:hanging="360"/>
      </w:pPr>
      <w:rPr>
        <w:rFonts w:ascii="Courier New" w:hAnsi="Courier New" w:cs="Courier New" w:hint="default"/>
      </w:rPr>
    </w:lvl>
    <w:lvl w:ilvl="1" w:tplc="9996AC12">
      <w:start w:val="1"/>
      <w:numFmt w:val="bullet"/>
      <w:lvlText w:val="o"/>
      <w:lvlJc w:val="left"/>
      <w:pPr>
        <w:ind w:left="108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7356F14"/>
    <w:multiLevelType w:val="hybridMultilevel"/>
    <w:tmpl w:val="47FE57A0"/>
    <w:lvl w:ilvl="0" w:tplc="19787C9C">
      <w:start w:val="1"/>
      <w:numFmt w:val="bullet"/>
      <w:pStyle w:val="Bullet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7D7E99"/>
    <w:multiLevelType w:val="hybridMultilevel"/>
    <w:tmpl w:val="BE7ACF2C"/>
    <w:lvl w:ilvl="0" w:tplc="689818A6">
      <w:start w:val="1"/>
      <w:numFmt w:val="bullet"/>
      <w:lvlText w:val=""/>
      <w:lvlJc w:val="left"/>
      <w:pPr>
        <w:ind w:left="720" w:hanging="360"/>
      </w:pPr>
      <w:rPr>
        <w:rFonts w:ascii="Symbol" w:hAnsi="Symbol" w:hint="default"/>
      </w:rPr>
    </w:lvl>
    <w:lvl w:ilvl="1" w:tplc="E39A3792">
      <w:start w:val="1"/>
      <w:numFmt w:val="bullet"/>
      <w:lvlText w:val="o"/>
      <w:lvlJc w:val="left"/>
      <w:pPr>
        <w:ind w:left="1440" w:hanging="360"/>
      </w:pPr>
      <w:rPr>
        <w:rFonts w:ascii="Courier New" w:hAnsi="Courier New" w:hint="default"/>
      </w:rPr>
    </w:lvl>
    <w:lvl w:ilvl="2" w:tplc="2ACAEC32">
      <w:start w:val="1"/>
      <w:numFmt w:val="bullet"/>
      <w:lvlText w:val=""/>
      <w:lvlJc w:val="left"/>
      <w:pPr>
        <w:ind w:left="2160" w:hanging="360"/>
      </w:pPr>
      <w:rPr>
        <w:rFonts w:ascii="Wingdings" w:hAnsi="Wingdings" w:hint="default"/>
      </w:rPr>
    </w:lvl>
    <w:lvl w:ilvl="3" w:tplc="E6EC88D4">
      <w:start w:val="1"/>
      <w:numFmt w:val="bullet"/>
      <w:lvlText w:val=""/>
      <w:lvlJc w:val="left"/>
      <w:pPr>
        <w:ind w:left="2880" w:hanging="360"/>
      </w:pPr>
      <w:rPr>
        <w:rFonts w:ascii="Symbol" w:hAnsi="Symbol" w:hint="default"/>
      </w:rPr>
    </w:lvl>
    <w:lvl w:ilvl="4" w:tplc="B9C0ACF8">
      <w:start w:val="1"/>
      <w:numFmt w:val="bullet"/>
      <w:lvlText w:val="o"/>
      <w:lvlJc w:val="left"/>
      <w:pPr>
        <w:ind w:left="3600" w:hanging="360"/>
      </w:pPr>
      <w:rPr>
        <w:rFonts w:ascii="Courier New" w:hAnsi="Courier New" w:hint="default"/>
      </w:rPr>
    </w:lvl>
    <w:lvl w:ilvl="5" w:tplc="4FEEE006">
      <w:start w:val="1"/>
      <w:numFmt w:val="bullet"/>
      <w:lvlText w:val=""/>
      <w:lvlJc w:val="left"/>
      <w:pPr>
        <w:ind w:left="4320" w:hanging="360"/>
      </w:pPr>
      <w:rPr>
        <w:rFonts w:ascii="Wingdings" w:hAnsi="Wingdings" w:hint="default"/>
      </w:rPr>
    </w:lvl>
    <w:lvl w:ilvl="6" w:tplc="C8DAE548">
      <w:start w:val="1"/>
      <w:numFmt w:val="bullet"/>
      <w:lvlText w:val=""/>
      <w:lvlJc w:val="left"/>
      <w:pPr>
        <w:ind w:left="5040" w:hanging="360"/>
      </w:pPr>
      <w:rPr>
        <w:rFonts w:ascii="Symbol" w:hAnsi="Symbol" w:hint="default"/>
      </w:rPr>
    </w:lvl>
    <w:lvl w:ilvl="7" w:tplc="BC660D6E">
      <w:start w:val="1"/>
      <w:numFmt w:val="bullet"/>
      <w:lvlText w:val="o"/>
      <w:lvlJc w:val="left"/>
      <w:pPr>
        <w:ind w:left="5760" w:hanging="360"/>
      </w:pPr>
      <w:rPr>
        <w:rFonts w:ascii="Courier New" w:hAnsi="Courier New" w:hint="default"/>
      </w:rPr>
    </w:lvl>
    <w:lvl w:ilvl="8" w:tplc="B956ACFC">
      <w:start w:val="1"/>
      <w:numFmt w:val="bullet"/>
      <w:lvlText w:val=""/>
      <w:lvlJc w:val="left"/>
      <w:pPr>
        <w:ind w:left="6480" w:hanging="360"/>
      </w:pPr>
      <w:rPr>
        <w:rFonts w:ascii="Wingdings" w:hAnsi="Wingdings" w:hint="default"/>
      </w:rPr>
    </w:lvl>
  </w:abstractNum>
  <w:abstractNum w:abstractNumId="29" w15:restartNumberingAfterBreak="0">
    <w:nsid w:val="4E9E5088"/>
    <w:multiLevelType w:val="hybridMultilevel"/>
    <w:tmpl w:val="6C5438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0" w15:restartNumberingAfterBreak="0">
    <w:nsid w:val="50D547C6"/>
    <w:multiLevelType w:val="hybridMultilevel"/>
    <w:tmpl w:val="751AF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6902A8F"/>
    <w:multiLevelType w:val="hybridMultilevel"/>
    <w:tmpl w:val="F51CCB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6C041B0"/>
    <w:multiLevelType w:val="hybridMultilevel"/>
    <w:tmpl w:val="A1048E06"/>
    <w:lvl w:ilvl="0" w:tplc="0854CE6C">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F1670C"/>
    <w:multiLevelType w:val="multilevel"/>
    <w:tmpl w:val="E48A2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D2F7C04"/>
    <w:multiLevelType w:val="hybridMultilevel"/>
    <w:tmpl w:val="EAA65F1C"/>
    <w:lvl w:ilvl="0" w:tplc="73ACE83C">
      <w:numFmt w:val="bullet"/>
      <w:lvlText w:val="•"/>
      <w:lvlJc w:val="left"/>
      <w:pPr>
        <w:ind w:left="720" w:hanging="720"/>
      </w:pPr>
      <w:rPr>
        <w:rFonts w:ascii="Verdana" w:eastAsia="Verdana" w:hAnsi="Verdana" w:cs="Verdan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3C92CB7"/>
    <w:multiLevelType w:val="hybridMultilevel"/>
    <w:tmpl w:val="5B16F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EE4904"/>
    <w:multiLevelType w:val="hybridMultilevel"/>
    <w:tmpl w:val="FDE863BA"/>
    <w:lvl w:ilvl="0" w:tplc="40F41CAE">
      <w:start w:val="1"/>
      <w:numFmt w:val="bullet"/>
      <w:pStyle w:val="BulletNEW"/>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4D5A12"/>
    <w:multiLevelType w:val="hybridMultilevel"/>
    <w:tmpl w:val="53F4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314AE9"/>
    <w:multiLevelType w:val="hybridMultilevel"/>
    <w:tmpl w:val="1DDAA7A4"/>
    <w:lvl w:ilvl="0" w:tplc="D56E8016">
      <w:start w:val="1"/>
      <w:numFmt w:val="bullet"/>
      <w:pStyle w:val="Tablesub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70395">
    <w:abstractNumId w:val="20"/>
  </w:num>
  <w:num w:numId="2" w16cid:durableId="1795444767">
    <w:abstractNumId w:val="38"/>
  </w:num>
  <w:num w:numId="3" w16cid:durableId="287860207">
    <w:abstractNumId w:val="27"/>
  </w:num>
  <w:num w:numId="4" w16cid:durableId="2107966100">
    <w:abstractNumId w:val="12"/>
  </w:num>
  <w:num w:numId="5" w16cid:durableId="1096093173">
    <w:abstractNumId w:val="36"/>
  </w:num>
  <w:num w:numId="6" w16cid:durableId="1671446091">
    <w:abstractNumId w:val="32"/>
  </w:num>
  <w:num w:numId="7" w16cid:durableId="494883565">
    <w:abstractNumId w:val="7"/>
  </w:num>
  <w:num w:numId="8" w16cid:durableId="206307839">
    <w:abstractNumId w:val="22"/>
  </w:num>
  <w:num w:numId="9" w16cid:durableId="1405420857">
    <w:abstractNumId w:val="33"/>
  </w:num>
  <w:num w:numId="10" w16cid:durableId="1130706931">
    <w:abstractNumId w:val="3"/>
  </w:num>
  <w:num w:numId="11" w16cid:durableId="2130514796">
    <w:abstractNumId w:val="29"/>
  </w:num>
  <w:num w:numId="12" w16cid:durableId="544369646">
    <w:abstractNumId w:val="18"/>
  </w:num>
  <w:num w:numId="13" w16cid:durableId="1783770360">
    <w:abstractNumId w:val="34"/>
  </w:num>
  <w:num w:numId="14" w16cid:durableId="465052863">
    <w:abstractNumId w:val="37"/>
  </w:num>
  <w:num w:numId="15" w16cid:durableId="1423843186">
    <w:abstractNumId w:val="15"/>
  </w:num>
  <w:num w:numId="16" w16cid:durableId="34472871">
    <w:abstractNumId w:val="17"/>
  </w:num>
  <w:num w:numId="17" w16cid:durableId="807287053">
    <w:abstractNumId w:val="19"/>
  </w:num>
  <w:num w:numId="18" w16cid:durableId="1479153168">
    <w:abstractNumId w:val="0"/>
  </w:num>
  <w:num w:numId="19" w16cid:durableId="1565414481">
    <w:abstractNumId w:val="24"/>
  </w:num>
  <w:num w:numId="20" w16cid:durableId="619536130">
    <w:abstractNumId w:val="31"/>
  </w:num>
  <w:num w:numId="21" w16cid:durableId="2055692563">
    <w:abstractNumId w:val="35"/>
  </w:num>
  <w:num w:numId="22" w16cid:durableId="386687779">
    <w:abstractNumId w:val="7"/>
  </w:num>
  <w:num w:numId="23" w16cid:durableId="897862328">
    <w:abstractNumId w:val="7"/>
    <w:lvlOverride w:ilvl="0">
      <w:startOverride w:val="6"/>
    </w:lvlOverride>
    <w:lvlOverride w:ilvl="1">
      <w:startOverride w:val="3"/>
    </w:lvlOverride>
    <w:lvlOverride w:ilvl="2">
      <w:startOverride w:val="1"/>
    </w:lvlOverride>
  </w:num>
  <w:num w:numId="24" w16cid:durableId="1954701182">
    <w:abstractNumId w:val="7"/>
    <w:lvlOverride w:ilvl="0">
      <w:startOverride w:val="6"/>
    </w:lvlOverride>
    <w:lvlOverride w:ilvl="1">
      <w:startOverride w:val="2"/>
    </w:lvlOverride>
    <w:lvlOverride w:ilvl="2">
      <w:startOverride w:val="1"/>
    </w:lvlOverride>
  </w:num>
  <w:num w:numId="25" w16cid:durableId="1018314910">
    <w:abstractNumId w:val="26"/>
  </w:num>
  <w:num w:numId="26" w16cid:durableId="660616769">
    <w:abstractNumId w:val="13"/>
  </w:num>
  <w:num w:numId="27" w16cid:durableId="1959097428">
    <w:abstractNumId w:val="9"/>
  </w:num>
  <w:num w:numId="28" w16cid:durableId="243296589">
    <w:abstractNumId w:val="4"/>
  </w:num>
  <w:num w:numId="29" w16cid:durableId="510224219">
    <w:abstractNumId w:val="11"/>
  </w:num>
  <w:num w:numId="30" w16cid:durableId="877818606">
    <w:abstractNumId w:val="28"/>
  </w:num>
  <w:num w:numId="31" w16cid:durableId="732318741">
    <w:abstractNumId w:val="16"/>
  </w:num>
  <w:num w:numId="32" w16cid:durableId="1845053937">
    <w:abstractNumId w:val="21"/>
  </w:num>
  <w:num w:numId="33" w16cid:durableId="1890192451">
    <w:abstractNumId w:val="2"/>
  </w:num>
  <w:num w:numId="34" w16cid:durableId="1159542428">
    <w:abstractNumId w:val="25"/>
  </w:num>
  <w:num w:numId="35" w16cid:durableId="2119371129">
    <w:abstractNumId w:val="5"/>
  </w:num>
  <w:num w:numId="36" w16cid:durableId="1556696519">
    <w:abstractNumId w:val="6"/>
  </w:num>
  <w:num w:numId="37" w16cid:durableId="19205479">
    <w:abstractNumId w:val="30"/>
  </w:num>
  <w:num w:numId="38" w16cid:durableId="1143615947">
    <w:abstractNumId w:val="1"/>
  </w:num>
  <w:num w:numId="39" w16cid:durableId="510998046">
    <w:abstractNumId w:val="23"/>
  </w:num>
  <w:num w:numId="40" w16cid:durableId="1850869893">
    <w:abstractNumId w:val="8"/>
  </w:num>
  <w:num w:numId="41" w16cid:durableId="504131355">
    <w:abstractNumId w:val="14"/>
  </w:num>
  <w:num w:numId="42" w16cid:durableId="529876203">
    <w:abstractNumId w:val="10"/>
  </w:num>
  <w:num w:numId="43" w16cid:durableId="1016687361">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tDQwNTIyNTAwNrMwNLBU0lEKTi0uzszPAykwqwUAgy3afSwAAAA="/>
  </w:docVars>
  <w:rsids>
    <w:rsidRoot w:val="00AA0BBC"/>
    <w:rsid w:val="0000017F"/>
    <w:rsid w:val="00000260"/>
    <w:rsid w:val="000004D2"/>
    <w:rsid w:val="000006D2"/>
    <w:rsid w:val="0000079C"/>
    <w:rsid w:val="00000BBD"/>
    <w:rsid w:val="00000E3B"/>
    <w:rsid w:val="000011C2"/>
    <w:rsid w:val="000011DF"/>
    <w:rsid w:val="00001690"/>
    <w:rsid w:val="00001BEF"/>
    <w:rsid w:val="00001C00"/>
    <w:rsid w:val="00001E73"/>
    <w:rsid w:val="00001FC4"/>
    <w:rsid w:val="00002437"/>
    <w:rsid w:val="0000255E"/>
    <w:rsid w:val="000026E3"/>
    <w:rsid w:val="00002A6A"/>
    <w:rsid w:val="00002AAF"/>
    <w:rsid w:val="00002BF9"/>
    <w:rsid w:val="00002D49"/>
    <w:rsid w:val="0000318D"/>
    <w:rsid w:val="00003872"/>
    <w:rsid w:val="00003AC3"/>
    <w:rsid w:val="00003E09"/>
    <w:rsid w:val="000041D3"/>
    <w:rsid w:val="000041EB"/>
    <w:rsid w:val="000042F2"/>
    <w:rsid w:val="00004B9F"/>
    <w:rsid w:val="00004C57"/>
    <w:rsid w:val="00004E7A"/>
    <w:rsid w:val="00004F0A"/>
    <w:rsid w:val="000050D7"/>
    <w:rsid w:val="000050FB"/>
    <w:rsid w:val="00005226"/>
    <w:rsid w:val="000054B3"/>
    <w:rsid w:val="00005744"/>
    <w:rsid w:val="00005857"/>
    <w:rsid w:val="00005AB3"/>
    <w:rsid w:val="00005D42"/>
    <w:rsid w:val="00005D49"/>
    <w:rsid w:val="00005E4E"/>
    <w:rsid w:val="00006446"/>
    <w:rsid w:val="00006464"/>
    <w:rsid w:val="00006913"/>
    <w:rsid w:val="00006D97"/>
    <w:rsid w:val="00006E06"/>
    <w:rsid w:val="00006F8F"/>
    <w:rsid w:val="00006F96"/>
    <w:rsid w:val="00006FEA"/>
    <w:rsid w:val="00007115"/>
    <w:rsid w:val="00007490"/>
    <w:rsid w:val="000076A0"/>
    <w:rsid w:val="00007AB5"/>
    <w:rsid w:val="00007C22"/>
    <w:rsid w:val="00007C70"/>
    <w:rsid w:val="00007DFE"/>
    <w:rsid w:val="00010314"/>
    <w:rsid w:val="0001063F"/>
    <w:rsid w:val="00010847"/>
    <w:rsid w:val="00010A7D"/>
    <w:rsid w:val="00010E6B"/>
    <w:rsid w:val="00010E9D"/>
    <w:rsid w:val="0001146F"/>
    <w:rsid w:val="00011C39"/>
    <w:rsid w:val="00011E17"/>
    <w:rsid w:val="00011F10"/>
    <w:rsid w:val="0001206B"/>
    <w:rsid w:val="00012078"/>
    <w:rsid w:val="00012391"/>
    <w:rsid w:val="000124D9"/>
    <w:rsid w:val="00012733"/>
    <w:rsid w:val="00012D5E"/>
    <w:rsid w:val="00012F39"/>
    <w:rsid w:val="00013119"/>
    <w:rsid w:val="000132C1"/>
    <w:rsid w:val="00013689"/>
    <w:rsid w:val="00013F01"/>
    <w:rsid w:val="000142E9"/>
    <w:rsid w:val="000142F8"/>
    <w:rsid w:val="0001436E"/>
    <w:rsid w:val="0001442F"/>
    <w:rsid w:val="00014456"/>
    <w:rsid w:val="000148BA"/>
    <w:rsid w:val="000148DD"/>
    <w:rsid w:val="00014B7C"/>
    <w:rsid w:val="00014FCD"/>
    <w:rsid w:val="000157B3"/>
    <w:rsid w:val="000158A9"/>
    <w:rsid w:val="00015A28"/>
    <w:rsid w:val="00015B38"/>
    <w:rsid w:val="00015B53"/>
    <w:rsid w:val="00015BFF"/>
    <w:rsid w:val="00015C0B"/>
    <w:rsid w:val="00015D94"/>
    <w:rsid w:val="00016065"/>
    <w:rsid w:val="000160AA"/>
    <w:rsid w:val="000163F0"/>
    <w:rsid w:val="00016B51"/>
    <w:rsid w:val="00016BF3"/>
    <w:rsid w:val="00016CE6"/>
    <w:rsid w:val="00017289"/>
    <w:rsid w:val="000179EF"/>
    <w:rsid w:val="00017FB7"/>
    <w:rsid w:val="0002005E"/>
    <w:rsid w:val="00020551"/>
    <w:rsid w:val="00020C30"/>
    <w:rsid w:val="00020C6B"/>
    <w:rsid w:val="00020DFD"/>
    <w:rsid w:val="00020F22"/>
    <w:rsid w:val="0002224B"/>
    <w:rsid w:val="00022853"/>
    <w:rsid w:val="00022918"/>
    <w:rsid w:val="00022982"/>
    <w:rsid w:val="00023696"/>
    <w:rsid w:val="000238A2"/>
    <w:rsid w:val="00023B7A"/>
    <w:rsid w:val="00023D1D"/>
    <w:rsid w:val="00023FC3"/>
    <w:rsid w:val="000241B9"/>
    <w:rsid w:val="000244B1"/>
    <w:rsid w:val="00024529"/>
    <w:rsid w:val="00024B67"/>
    <w:rsid w:val="00025036"/>
    <w:rsid w:val="000251F2"/>
    <w:rsid w:val="0002521F"/>
    <w:rsid w:val="00025438"/>
    <w:rsid w:val="000257C4"/>
    <w:rsid w:val="00025FD6"/>
    <w:rsid w:val="00026008"/>
    <w:rsid w:val="0002607E"/>
    <w:rsid w:val="00026721"/>
    <w:rsid w:val="000267DE"/>
    <w:rsid w:val="000268C3"/>
    <w:rsid w:val="00026983"/>
    <w:rsid w:val="00026D9D"/>
    <w:rsid w:val="000271B0"/>
    <w:rsid w:val="000277E3"/>
    <w:rsid w:val="000279E3"/>
    <w:rsid w:val="00027B63"/>
    <w:rsid w:val="00027BB4"/>
    <w:rsid w:val="00027CD4"/>
    <w:rsid w:val="00027F13"/>
    <w:rsid w:val="000307E9"/>
    <w:rsid w:val="000309DE"/>
    <w:rsid w:val="00030A91"/>
    <w:rsid w:val="00030C4C"/>
    <w:rsid w:val="0003123A"/>
    <w:rsid w:val="00031247"/>
    <w:rsid w:val="00031370"/>
    <w:rsid w:val="00031420"/>
    <w:rsid w:val="0003152E"/>
    <w:rsid w:val="00031625"/>
    <w:rsid w:val="00031ADD"/>
    <w:rsid w:val="00031DD2"/>
    <w:rsid w:val="000321FE"/>
    <w:rsid w:val="00032340"/>
    <w:rsid w:val="0003263F"/>
    <w:rsid w:val="000327CC"/>
    <w:rsid w:val="00032D5B"/>
    <w:rsid w:val="00032D7C"/>
    <w:rsid w:val="00032E03"/>
    <w:rsid w:val="000334D0"/>
    <w:rsid w:val="0003357A"/>
    <w:rsid w:val="00033C6E"/>
    <w:rsid w:val="00033E4B"/>
    <w:rsid w:val="00033FEB"/>
    <w:rsid w:val="00035487"/>
    <w:rsid w:val="000355B6"/>
    <w:rsid w:val="000356EB"/>
    <w:rsid w:val="0003597A"/>
    <w:rsid w:val="00035C0A"/>
    <w:rsid w:val="00035D98"/>
    <w:rsid w:val="000362D5"/>
    <w:rsid w:val="00036AF2"/>
    <w:rsid w:val="00036DC2"/>
    <w:rsid w:val="00037048"/>
    <w:rsid w:val="00037194"/>
    <w:rsid w:val="000373B9"/>
    <w:rsid w:val="000374D9"/>
    <w:rsid w:val="00037541"/>
    <w:rsid w:val="00037809"/>
    <w:rsid w:val="00040045"/>
    <w:rsid w:val="00040074"/>
    <w:rsid w:val="00040128"/>
    <w:rsid w:val="00040271"/>
    <w:rsid w:val="00040368"/>
    <w:rsid w:val="00040687"/>
    <w:rsid w:val="00040878"/>
    <w:rsid w:val="00040B37"/>
    <w:rsid w:val="0004100B"/>
    <w:rsid w:val="0004109D"/>
    <w:rsid w:val="00041123"/>
    <w:rsid w:val="0004115E"/>
    <w:rsid w:val="0004117A"/>
    <w:rsid w:val="00041307"/>
    <w:rsid w:val="0004138B"/>
    <w:rsid w:val="000414F6"/>
    <w:rsid w:val="0004173E"/>
    <w:rsid w:val="0004179D"/>
    <w:rsid w:val="00041A5F"/>
    <w:rsid w:val="00041C29"/>
    <w:rsid w:val="00041EB1"/>
    <w:rsid w:val="00042289"/>
    <w:rsid w:val="000422D3"/>
    <w:rsid w:val="00042391"/>
    <w:rsid w:val="000424FF"/>
    <w:rsid w:val="0004253B"/>
    <w:rsid w:val="000426C8"/>
    <w:rsid w:val="000426D0"/>
    <w:rsid w:val="00042761"/>
    <w:rsid w:val="00042AD5"/>
    <w:rsid w:val="00042E19"/>
    <w:rsid w:val="0004323C"/>
    <w:rsid w:val="00043472"/>
    <w:rsid w:val="000446F3"/>
    <w:rsid w:val="00044FDB"/>
    <w:rsid w:val="000457BF"/>
    <w:rsid w:val="0004585E"/>
    <w:rsid w:val="0004591E"/>
    <w:rsid w:val="000461F4"/>
    <w:rsid w:val="00046B37"/>
    <w:rsid w:val="00046B7D"/>
    <w:rsid w:val="00046D2A"/>
    <w:rsid w:val="00046D3E"/>
    <w:rsid w:val="00046DAC"/>
    <w:rsid w:val="00046DFF"/>
    <w:rsid w:val="00047073"/>
    <w:rsid w:val="0004708F"/>
    <w:rsid w:val="0004748A"/>
    <w:rsid w:val="0004772E"/>
    <w:rsid w:val="0004797D"/>
    <w:rsid w:val="00047BF6"/>
    <w:rsid w:val="00047EB3"/>
    <w:rsid w:val="00047F00"/>
    <w:rsid w:val="00047F51"/>
    <w:rsid w:val="00047FF5"/>
    <w:rsid w:val="000500F8"/>
    <w:rsid w:val="0005023D"/>
    <w:rsid w:val="000504F2"/>
    <w:rsid w:val="00050F5D"/>
    <w:rsid w:val="00051267"/>
    <w:rsid w:val="00051E49"/>
    <w:rsid w:val="00052200"/>
    <w:rsid w:val="0005249C"/>
    <w:rsid w:val="00052745"/>
    <w:rsid w:val="00052A34"/>
    <w:rsid w:val="00052EB4"/>
    <w:rsid w:val="00052F6E"/>
    <w:rsid w:val="00053332"/>
    <w:rsid w:val="000534AB"/>
    <w:rsid w:val="000535AD"/>
    <w:rsid w:val="0005371D"/>
    <w:rsid w:val="000537E4"/>
    <w:rsid w:val="00053850"/>
    <w:rsid w:val="00053C39"/>
    <w:rsid w:val="00053CAC"/>
    <w:rsid w:val="00053DFA"/>
    <w:rsid w:val="00053F64"/>
    <w:rsid w:val="000543FF"/>
    <w:rsid w:val="00054734"/>
    <w:rsid w:val="000548B7"/>
    <w:rsid w:val="000548BD"/>
    <w:rsid w:val="000549E3"/>
    <w:rsid w:val="00054A91"/>
    <w:rsid w:val="00054B35"/>
    <w:rsid w:val="00054DC7"/>
    <w:rsid w:val="00054E4F"/>
    <w:rsid w:val="00054FB2"/>
    <w:rsid w:val="0005515F"/>
    <w:rsid w:val="000552CB"/>
    <w:rsid w:val="000553FC"/>
    <w:rsid w:val="000555BC"/>
    <w:rsid w:val="0005562D"/>
    <w:rsid w:val="00055C6B"/>
    <w:rsid w:val="000561ED"/>
    <w:rsid w:val="00056AC7"/>
    <w:rsid w:val="00057267"/>
    <w:rsid w:val="00057424"/>
    <w:rsid w:val="00057613"/>
    <w:rsid w:val="0005767B"/>
    <w:rsid w:val="00057A67"/>
    <w:rsid w:val="00057C66"/>
    <w:rsid w:val="00057D24"/>
    <w:rsid w:val="00057D86"/>
    <w:rsid w:val="00057EC8"/>
    <w:rsid w:val="0006044B"/>
    <w:rsid w:val="0006052F"/>
    <w:rsid w:val="000608B3"/>
    <w:rsid w:val="00060B17"/>
    <w:rsid w:val="00060E1B"/>
    <w:rsid w:val="00060E4F"/>
    <w:rsid w:val="00060F48"/>
    <w:rsid w:val="00061043"/>
    <w:rsid w:val="00061178"/>
    <w:rsid w:val="000611C6"/>
    <w:rsid w:val="0006133C"/>
    <w:rsid w:val="00061687"/>
    <w:rsid w:val="000616CA"/>
    <w:rsid w:val="00061D07"/>
    <w:rsid w:val="0006210D"/>
    <w:rsid w:val="000626C2"/>
    <w:rsid w:val="000628F0"/>
    <w:rsid w:val="00062E49"/>
    <w:rsid w:val="00063029"/>
    <w:rsid w:val="0006310D"/>
    <w:rsid w:val="0006323F"/>
    <w:rsid w:val="00063312"/>
    <w:rsid w:val="000635F5"/>
    <w:rsid w:val="00063646"/>
    <w:rsid w:val="00064091"/>
    <w:rsid w:val="00064182"/>
    <w:rsid w:val="00064387"/>
    <w:rsid w:val="000645BA"/>
    <w:rsid w:val="00064626"/>
    <w:rsid w:val="0006475B"/>
    <w:rsid w:val="000647F5"/>
    <w:rsid w:val="00064803"/>
    <w:rsid w:val="00064879"/>
    <w:rsid w:val="000648A2"/>
    <w:rsid w:val="0006497B"/>
    <w:rsid w:val="00064EDF"/>
    <w:rsid w:val="00064FE1"/>
    <w:rsid w:val="00065091"/>
    <w:rsid w:val="00065321"/>
    <w:rsid w:val="00065756"/>
    <w:rsid w:val="0006598F"/>
    <w:rsid w:val="00065D3A"/>
    <w:rsid w:val="000665A8"/>
    <w:rsid w:val="00066785"/>
    <w:rsid w:val="00066A6D"/>
    <w:rsid w:val="00067503"/>
    <w:rsid w:val="00067895"/>
    <w:rsid w:val="00067AB7"/>
    <w:rsid w:val="00067DFA"/>
    <w:rsid w:val="00067F10"/>
    <w:rsid w:val="00070276"/>
    <w:rsid w:val="000703B0"/>
    <w:rsid w:val="0007041B"/>
    <w:rsid w:val="000704AF"/>
    <w:rsid w:val="0007076F"/>
    <w:rsid w:val="00070DA4"/>
    <w:rsid w:val="00070F3D"/>
    <w:rsid w:val="000712E7"/>
    <w:rsid w:val="0007176B"/>
    <w:rsid w:val="000719E4"/>
    <w:rsid w:val="00071A82"/>
    <w:rsid w:val="00071EE6"/>
    <w:rsid w:val="00071F34"/>
    <w:rsid w:val="0007235B"/>
    <w:rsid w:val="000726C5"/>
    <w:rsid w:val="00072F4E"/>
    <w:rsid w:val="00072FCE"/>
    <w:rsid w:val="000731D4"/>
    <w:rsid w:val="0007324D"/>
    <w:rsid w:val="00073317"/>
    <w:rsid w:val="0007338D"/>
    <w:rsid w:val="0007347B"/>
    <w:rsid w:val="0007347C"/>
    <w:rsid w:val="0007373A"/>
    <w:rsid w:val="00073862"/>
    <w:rsid w:val="0007387B"/>
    <w:rsid w:val="00073A04"/>
    <w:rsid w:val="00073DE8"/>
    <w:rsid w:val="0007411D"/>
    <w:rsid w:val="000742C7"/>
    <w:rsid w:val="000743C8"/>
    <w:rsid w:val="00074689"/>
    <w:rsid w:val="00074916"/>
    <w:rsid w:val="00074A76"/>
    <w:rsid w:val="00074A9B"/>
    <w:rsid w:val="00074AA3"/>
    <w:rsid w:val="00074B6F"/>
    <w:rsid w:val="000750F8"/>
    <w:rsid w:val="000754DB"/>
    <w:rsid w:val="0007568A"/>
    <w:rsid w:val="000762A3"/>
    <w:rsid w:val="000763EF"/>
    <w:rsid w:val="0007648A"/>
    <w:rsid w:val="000764F6"/>
    <w:rsid w:val="0007691A"/>
    <w:rsid w:val="00076AC3"/>
    <w:rsid w:val="00076EE6"/>
    <w:rsid w:val="00077330"/>
    <w:rsid w:val="000778C6"/>
    <w:rsid w:val="00077D43"/>
    <w:rsid w:val="00077ED4"/>
    <w:rsid w:val="000802C0"/>
    <w:rsid w:val="00080600"/>
    <w:rsid w:val="00080686"/>
    <w:rsid w:val="00080DD7"/>
    <w:rsid w:val="00080E02"/>
    <w:rsid w:val="00080E8C"/>
    <w:rsid w:val="0008157D"/>
    <w:rsid w:val="0008157F"/>
    <w:rsid w:val="00081737"/>
    <w:rsid w:val="00081E84"/>
    <w:rsid w:val="0008254B"/>
    <w:rsid w:val="000825C6"/>
    <w:rsid w:val="000825EE"/>
    <w:rsid w:val="00082859"/>
    <w:rsid w:val="00082922"/>
    <w:rsid w:val="00082D4C"/>
    <w:rsid w:val="00082F1A"/>
    <w:rsid w:val="00082F97"/>
    <w:rsid w:val="0008304B"/>
    <w:rsid w:val="0008313C"/>
    <w:rsid w:val="0008350B"/>
    <w:rsid w:val="00083E4A"/>
    <w:rsid w:val="00084073"/>
    <w:rsid w:val="00084362"/>
    <w:rsid w:val="000846EE"/>
    <w:rsid w:val="0008496B"/>
    <w:rsid w:val="00084BA2"/>
    <w:rsid w:val="00084F7B"/>
    <w:rsid w:val="0008567D"/>
    <w:rsid w:val="0008583C"/>
    <w:rsid w:val="00086069"/>
    <w:rsid w:val="000864C9"/>
    <w:rsid w:val="0008680E"/>
    <w:rsid w:val="00086A25"/>
    <w:rsid w:val="00086F8E"/>
    <w:rsid w:val="00087323"/>
    <w:rsid w:val="0008744B"/>
    <w:rsid w:val="000874F0"/>
    <w:rsid w:val="00087571"/>
    <w:rsid w:val="0008785D"/>
    <w:rsid w:val="00087B26"/>
    <w:rsid w:val="00090477"/>
    <w:rsid w:val="000906D6"/>
    <w:rsid w:val="0009087C"/>
    <w:rsid w:val="00090DB1"/>
    <w:rsid w:val="0009113C"/>
    <w:rsid w:val="000911C2"/>
    <w:rsid w:val="000915B0"/>
    <w:rsid w:val="000915F6"/>
    <w:rsid w:val="0009194F"/>
    <w:rsid w:val="00091987"/>
    <w:rsid w:val="00091A91"/>
    <w:rsid w:val="000926EE"/>
    <w:rsid w:val="0009290B"/>
    <w:rsid w:val="00092CA1"/>
    <w:rsid w:val="00092D20"/>
    <w:rsid w:val="00092E85"/>
    <w:rsid w:val="00093102"/>
    <w:rsid w:val="000934EB"/>
    <w:rsid w:val="00093A70"/>
    <w:rsid w:val="00093F9D"/>
    <w:rsid w:val="00094574"/>
    <w:rsid w:val="000945DB"/>
    <w:rsid w:val="0009489A"/>
    <w:rsid w:val="000949F0"/>
    <w:rsid w:val="00094BC1"/>
    <w:rsid w:val="00094C1C"/>
    <w:rsid w:val="00094E4D"/>
    <w:rsid w:val="000950DA"/>
    <w:rsid w:val="000951DC"/>
    <w:rsid w:val="0009562B"/>
    <w:rsid w:val="0009576F"/>
    <w:rsid w:val="00095959"/>
    <w:rsid w:val="00095DE3"/>
    <w:rsid w:val="0009616A"/>
    <w:rsid w:val="00096A96"/>
    <w:rsid w:val="000971A7"/>
    <w:rsid w:val="00097397"/>
    <w:rsid w:val="0009741A"/>
    <w:rsid w:val="0009787D"/>
    <w:rsid w:val="00097D02"/>
    <w:rsid w:val="00097DD6"/>
    <w:rsid w:val="000A009B"/>
    <w:rsid w:val="000A0477"/>
    <w:rsid w:val="000A04F9"/>
    <w:rsid w:val="000A05B2"/>
    <w:rsid w:val="000A0809"/>
    <w:rsid w:val="000A0A0A"/>
    <w:rsid w:val="000A10E4"/>
    <w:rsid w:val="000A1252"/>
    <w:rsid w:val="000A1476"/>
    <w:rsid w:val="000A16FE"/>
    <w:rsid w:val="000A1C78"/>
    <w:rsid w:val="000A1DF1"/>
    <w:rsid w:val="000A1E49"/>
    <w:rsid w:val="000A20B8"/>
    <w:rsid w:val="000A2116"/>
    <w:rsid w:val="000A21C7"/>
    <w:rsid w:val="000A28F5"/>
    <w:rsid w:val="000A29C3"/>
    <w:rsid w:val="000A2EDC"/>
    <w:rsid w:val="000A2FB8"/>
    <w:rsid w:val="000A32F0"/>
    <w:rsid w:val="000A3634"/>
    <w:rsid w:val="000A3F64"/>
    <w:rsid w:val="000A4354"/>
    <w:rsid w:val="000A45EC"/>
    <w:rsid w:val="000A46B0"/>
    <w:rsid w:val="000A4794"/>
    <w:rsid w:val="000A4A33"/>
    <w:rsid w:val="000A4CDC"/>
    <w:rsid w:val="000A51B6"/>
    <w:rsid w:val="000A5276"/>
    <w:rsid w:val="000A5905"/>
    <w:rsid w:val="000A5985"/>
    <w:rsid w:val="000A6660"/>
    <w:rsid w:val="000A693F"/>
    <w:rsid w:val="000A6A86"/>
    <w:rsid w:val="000A6BB2"/>
    <w:rsid w:val="000A6E5B"/>
    <w:rsid w:val="000A6E94"/>
    <w:rsid w:val="000A71E3"/>
    <w:rsid w:val="000A7303"/>
    <w:rsid w:val="000A7633"/>
    <w:rsid w:val="000A7A85"/>
    <w:rsid w:val="000A7CF8"/>
    <w:rsid w:val="000A7ED2"/>
    <w:rsid w:val="000B0105"/>
    <w:rsid w:val="000B0645"/>
    <w:rsid w:val="000B074B"/>
    <w:rsid w:val="000B0812"/>
    <w:rsid w:val="000B0A00"/>
    <w:rsid w:val="000B0B2E"/>
    <w:rsid w:val="000B0B95"/>
    <w:rsid w:val="000B0C18"/>
    <w:rsid w:val="000B0F80"/>
    <w:rsid w:val="000B14D5"/>
    <w:rsid w:val="000B16DC"/>
    <w:rsid w:val="000B1735"/>
    <w:rsid w:val="000B180D"/>
    <w:rsid w:val="000B1991"/>
    <w:rsid w:val="000B1AF9"/>
    <w:rsid w:val="000B1D26"/>
    <w:rsid w:val="000B1D74"/>
    <w:rsid w:val="000B1D7E"/>
    <w:rsid w:val="000B202F"/>
    <w:rsid w:val="000B2044"/>
    <w:rsid w:val="000B240B"/>
    <w:rsid w:val="000B247D"/>
    <w:rsid w:val="000B250B"/>
    <w:rsid w:val="000B2AF7"/>
    <w:rsid w:val="000B323B"/>
    <w:rsid w:val="000B33DE"/>
    <w:rsid w:val="000B3625"/>
    <w:rsid w:val="000B3AC5"/>
    <w:rsid w:val="000B3EF3"/>
    <w:rsid w:val="000B4074"/>
    <w:rsid w:val="000B4225"/>
    <w:rsid w:val="000B440B"/>
    <w:rsid w:val="000B4939"/>
    <w:rsid w:val="000B49A4"/>
    <w:rsid w:val="000B4AD8"/>
    <w:rsid w:val="000B4BC1"/>
    <w:rsid w:val="000B4DC0"/>
    <w:rsid w:val="000B51EE"/>
    <w:rsid w:val="000B5269"/>
    <w:rsid w:val="000B56D9"/>
    <w:rsid w:val="000B56F2"/>
    <w:rsid w:val="000B592F"/>
    <w:rsid w:val="000B5B35"/>
    <w:rsid w:val="000B5B55"/>
    <w:rsid w:val="000B5C50"/>
    <w:rsid w:val="000B5CAB"/>
    <w:rsid w:val="000B5CC0"/>
    <w:rsid w:val="000B5D32"/>
    <w:rsid w:val="000B5E1A"/>
    <w:rsid w:val="000B623F"/>
    <w:rsid w:val="000B6286"/>
    <w:rsid w:val="000B62DC"/>
    <w:rsid w:val="000B63E1"/>
    <w:rsid w:val="000B6487"/>
    <w:rsid w:val="000B665A"/>
    <w:rsid w:val="000B6AE1"/>
    <w:rsid w:val="000B6AF0"/>
    <w:rsid w:val="000B6CFC"/>
    <w:rsid w:val="000B6E86"/>
    <w:rsid w:val="000B719E"/>
    <w:rsid w:val="000B78A2"/>
    <w:rsid w:val="000B7902"/>
    <w:rsid w:val="000B7B8C"/>
    <w:rsid w:val="000B7BE9"/>
    <w:rsid w:val="000B7D8D"/>
    <w:rsid w:val="000B7EFA"/>
    <w:rsid w:val="000C0422"/>
    <w:rsid w:val="000C05C4"/>
    <w:rsid w:val="000C09F7"/>
    <w:rsid w:val="000C0A37"/>
    <w:rsid w:val="000C0B0D"/>
    <w:rsid w:val="000C0BC7"/>
    <w:rsid w:val="000C0C8A"/>
    <w:rsid w:val="000C0F1C"/>
    <w:rsid w:val="000C124C"/>
    <w:rsid w:val="000C1496"/>
    <w:rsid w:val="000C1962"/>
    <w:rsid w:val="000C1A36"/>
    <w:rsid w:val="000C1AA2"/>
    <w:rsid w:val="000C2332"/>
    <w:rsid w:val="000C29C1"/>
    <w:rsid w:val="000C2B0C"/>
    <w:rsid w:val="000C3132"/>
    <w:rsid w:val="000C313E"/>
    <w:rsid w:val="000C342C"/>
    <w:rsid w:val="000C356A"/>
    <w:rsid w:val="000C3876"/>
    <w:rsid w:val="000C38A6"/>
    <w:rsid w:val="000C39EC"/>
    <w:rsid w:val="000C3B1D"/>
    <w:rsid w:val="000C3F29"/>
    <w:rsid w:val="000C4751"/>
    <w:rsid w:val="000C479F"/>
    <w:rsid w:val="000C4B00"/>
    <w:rsid w:val="000C4B82"/>
    <w:rsid w:val="000C4D42"/>
    <w:rsid w:val="000C4D6C"/>
    <w:rsid w:val="000C4F40"/>
    <w:rsid w:val="000C4F59"/>
    <w:rsid w:val="000C521B"/>
    <w:rsid w:val="000C5463"/>
    <w:rsid w:val="000C65DC"/>
    <w:rsid w:val="000C6A4D"/>
    <w:rsid w:val="000C6AF4"/>
    <w:rsid w:val="000C6CB4"/>
    <w:rsid w:val="000C6E52"/>
    <w:rsid w:val="000C7009"/>
    <w:rsid w:val="000C7236"/>
    <w:rsid w:val="000C7321"/>
    <w:rsid w:val="000C76A9"/>
    <w:rsid w:val="000C7DD2"/>
    <w:rsid w:val="000C7E1A"/>
    <w:rsid w:val="000C7E43"/>
    <w:rsid w:val="000D0058"/>
    <w:rsid w:val="000D04E4"/>
    <w:rsid w:val="000D05AD"/>
    <w:rsid w:val="000D09D2"/>
    <w:rsid w:val="000D0BAE"/>
    <w:rsid w:val="000D0BC1"/>
    <w:rsid w:val="000D0EE0"/>
    <w:rsid w:val="000D1068"/>
    <w:rsid w:val="000D117B"/>
    <w:rsid w:val="000D1245"/>
    <w:rsid w:val="000D1553"/>
    <w:rsid w:val="000D183B"/>
    <w:rsid w:val="000D18B0"/>
    <w:rsid w:val="000D240E"/>
    <w:rsid w:val="000D254B"/>
    <w:rsid w:val="000D2583"/>
    <w:rsid w:val="000D26F7"/>
    <w:rsid w:val="000D3089"/>
    <w:rsid w:val="000D318C"/>
    <w:rsid w:val="000D327A"/>
    <w:rsid w:val="000D3843"/>
    <w:rsid w:val="000D38E7"/>
    <w:rsid w:val="000D3A03"/>
    <w:rsid w:val="000D4347"/>
    <w:rsid w:val="000D49AC"/>
    <w:rsid w:val="000D4D9A"/>
    <w:rsid w:val="000D5290"/>
    <w:rsid w:val="000D571C"/>
    <w:rsid w:val="000D5766"/>
    <w:rsid w:val="000D57CA"/>
    <w:rsid w:val="000D59D4"/>
    <w:rsid w:val="000D5C7A"/>
    <w:rsid w:val="000D5F03"/>
    <w:rsid w:val="000D6137"/>
    <w:rsid w:val="000D63F6"/>
    <w:rsid w:val="000D644E"/>
    <w:rsid w:val="000D6504"/>
    <w:rsid w:val="000D6921"/>
    <w:rsid w:val="000D6D9E"/>
    <w:rsid w:val="000D70E9"/>
    <w:rsid w:val="000D74DD"/>
    <w:rsid w:val="000D7788"/>
    <w:rsid w:val="000D78B4"/>
    <w:rsid w:val="000D7A54"/>
    <w:rsid w:val="000E0119"/>
    <w:rsid w:val="000E0254"/>
    <w:rsid w:val="000E0A3D"/>
    <w:rsid w:val="000E0D31"/>
    <w:rsid w:val="000E0DAB"/>
    <w:rsid w:val="000E1091"/>
    <w:rsid w:val="000E10A5"/>
    <w:rsid w:val="000E10D4"/>
    <w:rsid w:val="000E1275"/>
    <w:rsid w:val="000E12C1"/>
    <w:rsid w:val="000E1408"/>
    <w:rsid w:val="000E1559"/>
    <w:rsid w:val="000E1DDE"/>
    <w:rsid w:val="000E1DE6"/>
    <w:rsid w:val="000E20CB"/>
    <w:rsid w:val="000E2897"/>
    <w:rsid w:val="000E2EBD"/>
    <w:rsid w:val="000E371E"/>
    <w:rsid w:val="000E382E"/>
    <w:rsid w:val="000E38A2"/>
    <w:rsid w:val="000E396E"/>
    <w:rsid w:val="000E3F6D"/>
    <w:rsid w:val="000E3FB5"/>
    <w:rsid w:val="000E42A5"/>
    <w:rsid w:val="000E4532"/>
    <w:rsid w:val="000E4603"/>
    <w:rsid w:val="000E4714"/>
    <w:rsid w:val="000E482C"/>
    <w:rsid w:val="000E493D"/>
    <w:rsid w:val="000E4E87"/>
    <w:rsid w:val="000E5333"/>
    <w:rsid w:val="000E58A5"/>
    <w:rsid w:val="000E5B3D"/>
    <w:rsid w:val="000E5D31"/>
    <w:rsid w:val="000E5FC6"/>
    <w:rsid w:val="000E6018"/>
    <w:rsid w:val="000E6346"/>
    <w:rsid w:val="000E68D0"/>
    <w:rsid w:val="000E696A"/>
    <w:rsid w:val="000E6A28"/>
    <w:rsid w:val="000E6A29"/>
    <w:rsid w:val="000E6F51"/>
    <w:rsid w:val="000E6FA2"/>
    <w:rsid w:val="000E6FBC"/>
    <w:rsid w:val="000E72AF"/>
    <w:rsid w:val="000E7737"/>
    <w:rsid w:val="000E7899"/>
    <w:rsid w:val="000E7B45"/>
    <w:rsid w:val="000E7C6D"/>
    <w:rsid w:val="000E7D7D"/>
    <w:rsid w:val="000E7D84"/>
    <w:rsid w:val="000F00E8"/>
    <w:rsid w:val="000F0620"/>
    <w:rsid w:val="000F07DC"/>
    <w:rsid w:val="000F0B17"/>
    <w:rsid w:val="000F1409"/>
    <w:rsid w:val="000F1853"/>
    <w:rsid w:val="000F18D3"/>
    <w:rsid w:val="000F19D4"/>
    <w:rsid w:val="000F202A"/>
    <w:rsid w:val="000F2AF1"/>
    <w:rsid w:val="000F2C5F"/>
    <w:rsid w:val="000F3170"/>
    <w:rsid w:val="000F326F"/>
    <w:rsid w:val="000F333D"/>
    <w:rsid w:val="000F3A85"/>
    <w:rsid w:val="000F3B5D"/>
    <w:rsid w:val="000F41DF"/>
    <w:rsid w:val="000F48A1"/>
    <w:rsid w:val="000F4ADB"/>
    <w:rsid w:val="000F4B16"/>
    <w:rsid w:val="000F4C47"/>
    <w:rsid w:val="000F4CAA"/>
    <w:rsid w:val="000F50D2"/>
    <w:rsid w:val="000F51F5"/>
    <w:rsid w:val="000F53DB"/>
    <w:rsid w:val="000F5442"/>
    <w:rsid w:val="000F563F"/>
    <w:rsid w:val="000F5758"/>
    <w:rsid w:val="000F5E37"/>
    <w:rsid w:val="000F61AC"/>
    <w:rsid w:val="000F6337"/>
    <w:rsid w:val="000F6697"/>
    <w:rsid w:val="000F6A91"/>
    <w:rsid w:val="000F7162"/>
    <w:rsid w:val="000F733D"/>
    <w:rsid w:val="000F7F78"/>
    <w:rsid w:val="00100109"/>
    <w:rsid w:val="001001BE"/>
    <w:rsid w:val="0010026C"/>
    <w:rsid w:val="001002F9"/>
    <w:rsid w:val="001005D7"/>
    <w:rsid w:val="00100729"/>
    <w:rsid w:val="0010073D"/>
    <w:rsid w:val="00100C60"/>
    <w:rsid w:val="00101B19"/>
    <w:rsid w:val="00101CFA"/>
    <w:rsid w:val="00101E49"/>
    <w:rsid w:val="00102411"/>
    <w:rsid w:val="0010250D"/>
    <w:rsid w:val="00102B06"/>
    <w:rsid w:val="00102BA8"/>
    <w:rsid w:val="00102C13"/>
    <w:rsid w:val="00102D2A"/>
    <w:rsid w:val="00102EC2"/>
    <w:rsid w:val="001031BE"/>
    <w:rsid w:val="00103208"/>
    <w:rsid w:val="0010335D"/>
    <w:rsid w:val="00103498"/>
    <w:rsid w:val="001035F9"/>
    <w:rsid w:val="00103B94"/>
    <w:rsid w:val="00103BCB"/>
    <w:rsid w:val="0010400D"/>
    <w:rsid w:val="0010423C"/>
    <w:rsid w:val="00104435"/>
    <w:rsid w:val="001044C7"/>
    <w:rsid w:val="00104687"/>
    <w:rsid w:val="001046EC"/>
    <w:rsid w:val="00104757"/>
    <w:rsid w:val="0010476C"/>
    <w:rsid w:val="00104C5F"/>
    <w:rsid w:val="00104FF1"/>
    <w:rsid w:val="00105373"/>
    <w:rsid w:val="001053F7"/>
    <w:rsid w:val="0010542C"/>
    <w:rsid w:val="00105440"/>
    <w:rsid w:val="00105484"/>
    <w:rsid w:val="001063C4"/>
    <w:rsid w:val="00106551"/>
    <w:rsid w:val="00106565"/>
    <w:rsid w:val="00106719"/>
    <w:rsid w:val="00106A17"/>
    <w:rsid w:val="00106D33"/>
    <w:rsid w:val="00107068"/>
    <w:rsid w:val="00107127"/>
    <w:rsid w:val="001071B5"/>
    <w:rsid w:val="001075BE"/>
    <w:rsid w:val="0010764C"/>
    <w:rsid w:val="0010766D"/>
    <w:rsid w:val="00107BD7"/>
    <w:rsid w:val="00107D00"/>
    <w:rsid w:val="00107F67"/>
    <w:rsid w:val="00110171"/>
    <w:rsid w:val="00110203"/>
    <w:rsid w:val="00110539"/>
    <w:rsid w:val="00110D7D"/>
    <w:rsid w:val="00110F5E"/>
    <w:rsid w:val="001114D5"/>
    <w:rsid w:val="00111639"/>
    <w:rsid w:val="001117CB"/>
    <w:rsid w:val="00111811"/>
    <w:rsid w:val="00111B7D"/>
    <w:rsid w:val="00112886"/>
    <w:rsid w:val="00112BFB"/>
    <w:rsid w:val="00112CAB"/>
    <w:rsid w:val="00112DED"/>
    <w:rsid w:val="00112E7D"/>
    <w:rsid w:val="00113090"/>
    <w:rsid w:val="0011324D"/>
    <w:rsid w:val="00113251"/>
    <w:rsid w:val="001134B9"/>
    <w:rsid w:val="00113574"/>
    <w:rsid w:val="0011359F"/>
    <w:rsid w:val="00113BC8"/>
    <w:rsid w:val="00113FF0"/>
    <w:rsid w:val="001144F4"/>
    <w:rsid w:val="00114573"/>
    <w:rsid w:val="00114B6F"/>
    <w:rsid w:val="00114BA1"/>
    <w:rsid w:val="00114CAE"/>
    <w:rsid w:val="00114F84"/>
    <w:rsid w:val="00115156"/>
    <w:rsid w:val="001153DB"/>
    <w:rsid w:val="0011566E"/>
    <w:rsid w:val="00115C90"/>
    <w:rsid w:val="00115DF7"/>
    <w:rsid w:val="00115F75"/>
    <w:rsid w:val="00115FE7"/>
    <w:rsid w:val="001161C7"/>
    <w:rsid w:val="0011692C"/>
    <w:rsid w:val="00116DFB"/>
    <w:rsid w:val="0011722A"/>
    <w:rsid w:val="0011725E"/>
    <w:rsid w:val="00117A5A"/>
    <w:rsid w:val="00117AC6"/>
    <w:rsid w:val="00117DBB"/>
    <w:rsid w:val="00117DEE"/>
    <w:rsid w:val="00117EE2"/>
    <w:rsid w:val="001201E9"/>
    <w:rsid w:val="00120325"/>
    <w:rsid w:val="00120429"/>
    <w:rsid w:val="00120961"/>
    <w:rsid w:val="001211A0"/>
    <w:rsid w:val="00121561"/>
    <w:rsid w:val="0012160F"/>
    <w:rsid w:val="00121704"/>
    <w:rsid w:val="0012174C"/>
    <w:rsid w:val="0012185B"/>
    <w:rsid w:val="00121B66"/>
    <w:rsid w:val="00121D3A"/>
    <w:rsid w:val="00121E47"/>
    <w:rsid w:val="001221D1"/>
    <w:rsid w:val="00122273"/>
    <w:rsid w:val="001222F2"/>
    <w:rsid w:val="001229EE"/>
    <w:rsid w:val="00122B94"/>
    <w:rsid w:val="00122C6E"/>
    <w:rsid w:val="00122DB4"/>
    <w:rsid w:val="00122ECA"/>
    <w:rsid w:val="00123037"/>
    <w:rsid w:val="00123040"/>
    <w:rsid w:val="001236A6"/>
    <w:rsid w:val="00123715"/>
    <w:rsid w:val="00123B36"/>
    <w:rsid w:val="00124098"/>
    <w:rsid w:val="00124679"/>
    <w:rsid w:val="001248DB"/>
    <w:rsid w:val="00124B60"/>
    <w:rsid w:val="00124BBF"/>
    <w:rsid w:val="00124BE3"/>
    <w:rsid w:val="00124C04"/>
    <w:rsid w:val="00124D78"/>
    <w:rsid w:val="00124DFE"/>
    <w:rsid w:val="00124F09"/>
    <w:rsid w:val="00125285"/>
    <w:rsid w:val="00125449"/>
    <w:rsid w:val="0012586C"/>
    <w:rsid w:val="0012629F"/>
    <w:rsid w:val="0012690B"/>
    <w:rsid w:val="00126B1F"/>
    <w:rsid w:val="00126D53"/>
    <w:rsid w:val="00126D5F"/>
    <w:rsid w:val="00126DDC"/>
    <w:rsid w:val="00126E3B"/>
    <w:rsid w:val="001276B7"/>
    <w:rsid w:val="00127715"/>
    <w:rsid w:val="00127730"/>
    <w:rsid w:val="00127986"/>
    <w:rsid w:val="00127A99"/>
    <w:rsid w:val="00127DB2"/>
    <w:rsid w:val="00127DC9"/>
    <w:rsid w:val="00127E76"/>
    <w:rsid w:val="00127EBA"/>
    <w:rsid w:val="001300BB"/>
    <w:rsid w:val="001300F8"/>
    <w:rsid w:val="00130191"/>
    <w:rsid w:val="001301AC"/>
    <w:rsid w:val="001301E3"/>
    <w:rsid w:val="001305B1"/>
    <w:rsid w:val="0013074C"/>
    <w:rsid w:val="0013095C"/>
    <w:rsid w:val="00130D90"/>
    <w:rsid w:val="001315E2"/>
    <w:rsid w:val="00131625"/>
    <w:rsid w:val="00131650"/>
    <w:rsid w:val="001318A2"/>
    <w:rsid w:val="001319CB"/>
    <w:rsid w:val="00131B2B"/>
    <w:rsid w:val="00131B5E"/>
    <w:rsid w:val="001320A3"/>
    <w:rsid w:val="0013223E"/>
    <w:rsid w:val="0013241C"/>
    <w:rsid w:val="0013248B"/>
    <w:rsid w:val="00132576"/>
    <w:rsid w:val="0013288C"/>
    <w:rsid w:val="001328CF"/>
    <w:rsid w:val="00132D19"/>
    <w:rsid w:val="00133062"/>
    <w:rsid w:val="0013357E"/>
    <w:rsid w:val="00133DF3"/>
    <w:rsid w:val="00133FC9"/>
    <w:rsid w:val="00134111"/>
    <w:rsid w:val="001343BA"/>
    <w:rsid w:val="00134D0D"/>
    <w:rsid w:val="0013507C"/>
    <w:rsid w:val="00135103"/>
    <w:rsid w:val="00135171"/>
    <w:rsid w:val="00135564"/>
    <w:rsid w:val="00135718"/>
    <w:rsid w:val="0013571C"/>
    <w:rsid w:val="001357EF"/>
    <w:rsid w:val="00135BB5"/>
    <w:rsid w:val="00135BFF"/>
    <w:rsid w:val="00135DF6"/>
    <w:rsid w:val="00135E68"/>
    <w:rsid w:val="00135EA7"/>
    <w:rsid w:val="001360DD"/>
    <w:rsid w:val="001360FF"/>
    <w:rsid w:val="00136418"/>
    <w:rsid w:val="0013646E"/>
    <w:rsid w:val="00136549"/>
    <w:rsid w:val="00136957"/>
    <w:rsid w:val="00137686"/>
    <w:rsid w:val="0013776F"/>
    <w:rsid w:val="00137C34"/>
    <w:rsid w:val="00137F2C"/>
    <w:rsid w:val="0014012A"/>
    <w:rsid w:val="0014022E"/>
    <w:rsid w:val="001404EC"/>
    <w:rsid w:val="00140650"/>
    <w:rsid w:val="0014075D"/>
    <w:rsid w:val="00140901"/>
    <w:rsid w:val="00140AFB"/>
    <w:rsid w:val="00140DCD"/>
    <w:rsid w:val="00140EA9"/>
    <w:rsid w:val="001413A7"/>
    <w:rsid w:val="00141724"/>
    <w:rsid w:val="00141904"/>
    <w:rsid w:val="0014219B"/>
    <w:rsid w:val="001423EE"/>
    <w:rsid w:val="00142711"/>
    <w:rsid w:val="00142959"/>
    <w:rsid w:val="00142C6C"/>
    <w:rsid w:val="00143137"/>
    <w:rsid w:val="0014314D"/>
    <w:rsid w:val="00143298"/>
    <w:rsid w:val="001432BC"/>
    <w:rsid w:val="00143509"/>
    <w:rsid w:val="00143570"/>
    <w:rsid w:val="0014361C"/>
    <w:rsid w:val="00143800"/>
    <w:rsid w:val="00143946"/>
    <w:rsid w:val="00143A6F"/>
    <w:rsid w:val="00144943"/>
    <w:rsid w:val="00144AB0"/>
    <w:rsid w:val="00144B79"/>
    <w:rsid w:val="00144BF3"/>
    <w:rsid w:val="00145C17"/>
    <w:rsid w:val="00145D13"/>
    <w:rsid w:val="00145F5E"/>
    <w:rsid w:val="001460B9"/>
    <w:rsid w:val="001466BF"/>
    <w:rsid w:val="001467E0"/>
    <w:rsid w:val="001467EC"/>
    <w:rsid w:val="001469DA"/>
    <w:rsid w:val="00146A36"/>
    <w:rsid w:val="00146A5F"/>
    <w:rsid w:val="00146AAB"/>
    <w:rsid w:val="00146BBF"/>
    <w:rsid w:val="00146FB1"/>
    <w:rsid w:val="00147204"/>
    <w:rsid w:val="001472D8"/>
    <w:rsid w:val="00147322"/>
    <w:rsid w:val="0014773A"/>
    <w:rsid w:val="0014783A"/>
    <w:rsid w:val="00147911"/>
    <w:rsid w:val="00147AB0"/>
    <w:rsid w:val="00147BC5"/>
    <w:rsid w:val="00147E65"/>
    <w:rsid w:val="00147EA4"/>
    <w:rsid w:val="00147F6E"/>
    <w:rsid w:val="00150300"/>
    <w:rsid w:val="00150315"/>
    <w:rsid w:val="00150714"/>
    <w:rsid w:val="00150912"/>
    <w:rsid w:val="00150E0A"/>
    <w:rsid w:val="00150FD9"/>
    <w:rsid w:val="0015122D"/>
    <w:rsid w:val="00151412"/>
    <w:rsid w:val="0015160A"/>
    <w:rsid w:val="001517A4"/>
    <w:rsid w:val="00151E13"/>
    <w:rsid w:val="001521D1"/>
    <w:rsid w:val="00152330"/>
    <w:rsid w:val="00152392"/>
    <w:rsid w:val="00152D97"/>
    <w:rsid w:val="00152EDA"/>
    <w:rsid w:val="00152EE7"/>
    <w:rsid w:val="001536FE"/>
    <w:rsid w:val="00153886"/>
    <w:rsid w:val="00153892"/>
    <w:rsid w:val="00153B1B"/>
    <w:rsid w:val="00153CAD"/>
    <w:rsid w:val="00153CF0"/>
    <w:rsid w:val="00153F35"/>
    <w:rsid w:val="00154344"/>
    <w:rsid w:val="00154710"/>
    <w:rsid w:val="001547F4"/>
    <w:rsid w:val="00154BBA"/>
    <w:rsid w:val="00154FE3"/>
    <w:rsid w:val="0015567A"/>
    <w:rsid w:val="00155A52"/>
    <w:rsid w:val="00155C2D"/>
    <w:rsid w:val="00155D43"/>
    <w:rsid w:val="00155E36"/>
    <w:rsid w:val="00155FE8"/>
    <w:rsid w:val="00155FEC"/>
    <w:rsid w:val="001561E1"/>
    <w:rsid w:val="00156212"/>
    <w:rsid w:val="0015635B"/>
    <w:rsid w:val="00156389"/>
    <w:rsid w:val="00156782"/>
    <w:rsid w:val="00156DB3"/>
    <w:rsid w:val="001570DC"/>
    <w:rsid w:val="0015753C"/>
    <w:rsid w:val="001576DC"/>
    <w:rsid w:val="001577F5"/>
    <w:rsid w:val="0015793F"/>
    <w:rsid w:val="00157B34"/>
    <w:rsid w:val="00157B43"/>
    <w:rsid w:val="00157C89"/>
    <w:rsid w:val="00157E0F"/>
    <w:rsid w:val="00160022"/>
    <w:rsid w:val="00160115"/>
    <w:rsid w:val="001604A0"/>
    <w:rsid w:val="0016051C"/>
    <w:rsid w:val="00160938"/>
    <w:rsid w:val="001609C6"/>
    <w:rsid w:val="00160D73"/>
    <w:rsid w:val="00160F10"/>
    <w:rsid w:val="00160F5E"/>
    <w:rsid w:val="00160F68"/>
    <w:rsid w:val="00161044"/>
    <w:rsid w:val="00161358"/>
    <w:rsid w:val="00161523"/>
    <w:rsid w:val="00161896"/>
    <w:rsid w:val="00161BB7"/>
    <w:rsid w:val="00161CB4"/>
    <w:rsid w:val="00161F9A"/>
    <w:rsid w:val="0016217A"/>
    <w:rsid w:val="0016233E"/>
    <w:rsid w:val="00162895"/>
    <w:rsid w:val="00162AEC"/>
    <w:rsid w:val="00162B20"/>
    <w:rsid w:val="00162D3A"/>
    <w:rsid w:val="0016313B"/>
    <w:rsid w:val="0016326D"/>
    <w:rsid w:val="001636B2"/>
    <w:rsid w:val="0016378E"/>
    <w:rsid w:val="00163A4D"/>
    <w:rsid w:val="00163A86"/>
    <w:rsid w:val="001642C5"/>
    <w:rsid w:val="001648BA"/>
    <w:rsid w:val="001649F6"/>
    <w:rsid w:val="00164CD5"/>
    <w:rsid w:val="00165080"/>
    <w:rsid w:val="0016568F"/>
    <w:rsid w:val="0016579D"/>
    <w:rsid w:val="0016585A"/>
    <w:rsid w:val="00165870"/>
    <w:rsid w:val="00165A79"/>
    <w:rsid w:val="00165E07"/>
    <w:rsid w:val="001660EB"/>
    <w:rsid w:val="0016610B"/>
    <w:rsid w:val="0016625A"/>
    <w:rsid w:val="001665A0"/>
    <w:rsid w:val="00166621"/>
    <w:rsid w:val="00166752"/>
    <w:rsid w:val="00166873"/>
    <w:rsid w:val="00166F08"/>
    <w:rsid w:val="00167052"/>
    <w:rsid w:val="001677E3"/>
    <w:rsid w:val="00167856"/>
    <w:rsid w:val="00167AD9"/>
    <w:rsid w:val="00167DA4"/>
    <w:rsid w:val="00167E42"/>
    <w:rsid w:val="00167EDA"/>
    <w:rsid w:val="001702AD"/>
    <w:rsid w:val="001702EC"/>
    <w:rsid w:val="00170328"/>
    <w:rsid w:val="001706C2"/>
    <w:rsid w:val="00170776"/>
    <w:rsid w:val="00170C46"/>
    <w:rsid w:val="00170DF0"/>
    <w:rsid w:val="00170DF2"/>
    <w:rsid w:val="00170EF6"/>
    <w:rsid w:val="001710B2"/>
    <w:rsid w:val="00171543"/>
    <w:rsid w:val="0017170B"/>
    <w:rsid w:val="00171735"/>
    <w:rsid w:val="001723AF"/>
    <w:rsid w:val="001724A1"/>
    <w:rsid w:val="00172594"/>
    <w:rsid w:val="00172D78"/>
    <w:rsid w:val="001730A2"/>
    <w:rsid w:val="0017319B"/>
    <w:rsid w:val="00173399"/>
    <w:rsid w:val="0017347D"/>
    <w:rsid w:val="001736F8"/>
    <w:rsid w:val="001738F7"/>
    <w:rsid w:val="00173A2A"/>
    <w:rsid w:val="00173E24"/>
    <w:rsid w:val="001742CA"/>
    <w:rsid w:val="00174DDD"/>
    <w:rsid w:val="0017532A"/>
    <w:rsid w:val="0017545A"/>
    <w:rsid w:val="001754B6"/>
    <w:rsid w:val="001754CD"/>
    <w:rsid w:val="001754D5"/>
    <w:rsid w:val="001759FD"/>
    <w:rsid w:val="00175B59"/>
    <w:rsid w:val="00175BB9"/>
    <w:rsid w:val="00176219"/>
    <w:rsid w:val="00176754"/>
    <w:rsid w:val="001768AB"/>
    <w:rsid w:val="00176C68"/>
    <w:rsid w:val="00176F71"/>
    <w:rsid w:val="00176FC2"/>
    <w:rsid w:val="001770F5"/>
    <w:rsid w:val="001771F0"/>
    <w:rsid w:val="00177B4B"/>
    <w:rsid w:val="00177C5F"/>
    <w:rsid w:val="00177C7B"/>
    <w:rsid w:val="00177ED8"/>
    <w:rsid w:val="001802A0"/>
    <w:rsid w:val="00180364"/>
    <w:rsid w:val="001803E1"/>
    <w:rsid w:val="001806B5"/>
    <w:rsid w:val="001806CA"/>
    <w:rsid w:val="001809D2"/>
    <w:rsid w:val="00180CD3"/>
    <w:rsid w:val="001812CA"/>
    <w:rsid w:val="001812F0"/>
    <w:rsid w:val="001815DA"/>
    <w:rsid w:val="00181B7D"/>
    <w:rsid w:val="00181BA1"/>
    <w:rsid w:val="00182186"/>
    <w:rsid w:val="00182422"/>
    <w:rsid w:val="001826D6"/>
    <w:rsid w:val="00182B62"/>
    <w:rsid w:val="001832CB"/>
    <w:rsid w:val="00183362"/>
    <w:rsid w:val="00183407"/>
    <w:rsid w:val="0018388A"/>
    <w:rsid w:val="00183993"/>
    <w:rsid w:val="00183BD3"/>
    <w:rsid w:val="00183CA2"/>
    <w:rsid w:val="00183ED5"/>
    <w:rsid w:val="00183F9A"/>
    <w:rsid w:val="001843E7"/>
    <w:rsid w:val="0018460D"/>
    <w:rsid w:val="001849C9"/>
    <w:rsid w:val="00184D95"/>
    <w:rsid w:val="00184F5E"/>
    <w:rsid w:val="0018519A"/>
    <w:rsid w:val="00185258"/>
    <w:rsid w:val="0018543D"/>
    <w:rsid w:val="00185760"/>
    <w:rsid w:val="00185E50"/>
    <w:rsid w:val="001862A0"/>
    <w:rsid w:val="00186663"/>
    <w:rsid w:val="001867C2"/>
    <w:rsid w:val="00186AB7"/>
    <w:rsid w:val="00186CEA"/>
    <w:rsid w:val="00186E80"/>
    <w:rsid w:val="00187690"/>
    <w:rsid w:val="00187A29"/>
    <w:rsid w:val="00187B0A"/>
    <w:rsid w:val="00187C20"/>
    <w:rsid w:val="00187F6B"/>
    <w:rsid w:val="0019019A"/>
    <w:rsid w:val="001901FA"/>
    <w:rsid w:val="001908C4"/>
    <w:rsid w:val="001908D1"/>
    <w:rsid w:val="00190EAC"/>
    <w:rsid w:val="0019121B"/>
    <w:rsid w:val="00191277"/>
    <w:rsid w:val="00191454"/>
    <w:rsid w:val="0019148C"/>
    <w:rsid w:val="00191831"/>
    <w:rsid w:val="00191889"/>
    <w:rsid w:val="00191947"/>
    <w:rsid w:val="00191AC5"/>
    <w:rsid w:val="00191D84"/>
    <w:rsid w:val="00191E74"/>
    <w:rsid w:val="001920D1"/>
    <w:rsid w:val="00192287"/>
    <w:rsid w:val="0019241D"/>
    <w:rsid w:val="001924EE"/>
    <w:rsid w:val="001925EC"/>
    <w:rsid w:val="00192BCE"/>
    <w:rsid w:val="00192C32"/>
    <w:rsid w:val="00192C41"/>
    <w:rsid w:val="00193506"/>
    <w:rsid w:val="00193521"/>
    <w:rsid w:val="001938A5"/>
    <w:rsid w:val="00193E45"/>
    <w:rsid w:val="0019412C"/>
    <w:rsid w:val="001942C0"/>
    <w:rsid w:val="00194D2F"/>
    <w:rsid w:val="00194DAB"/>
    <w:rsid w:val="00194F3F"/>
    <w:rsid w:val="0019507F"/>
    <w:rsid w:val="0019524E"/>
    <w:rsid w:val="001954D5"/>
    <w:rsid w:val="001954EC"/>
    <w:rsid w:val="00195534"/>
    <w:rsid w:val="001958D5"/>
    <w:rsid w:val="00195AF7"/>
    <w:rsid w:val="00195B20"/>
    <w:rsid w:val="00195F46"/>
    <w:rsid w:val="0019628A"/>
    <w:rsid w:val="001962B4"/>
    <w:rsid w:val="001962DE"/>
    <w:rsid w:val="00196541"/>
    <w:rsid w:val="00196A6C"/>
    <w:rsid w:val="00196D18"/>
    <w:rsid w:val="00197203"/>
    <w:rsid w:val="001972ED"/>
    <w:rsid w:val="001974EE"/>
    <w:rsid w:val="00197C48"/>
    <w:rsid w:val="001A05B5"/>
    <w:rsid w:val="001A07F9"/>
    <w:rsid w:val="001A0A17"/>
    <w:rsid w:val="001A0A6A"/>
    <w:rsid w:val="001A0E3F"/>
    <w:rsid w:val="001A1088"/>
    <w:rsid w:val="001A175E"/>
    <w:rsid w:val="001A225D"/>
    <w:rsid w:val="001A24EF"/>
    <w:rsid w:val="001A26B0"/>
    <w:rsid w:val="001A2939"/>
    <w:rsid w:val="001A2C69"/>
    <w:rsid w:val="001A2CB8"/>
    <w:rsid w:val="001A32E7"/>
    <w:rsid w:val="001A35BB"/>
    <w:rsid w:val="001A373E"/>
    <w:rsid w:val="001A3765"/>
    <w:rsid w:val="001A380C"/>
    <w:rsid w:val="001A3A68"/>
    <w:rsid w:val="001A3D46"/>
    <w:rsid w:val="001A3D5A"/>
    <w:rsid w:val="001A3FFD"/>
    <w:rsid w:val="001A43DA"/>
    <w:rsid w:val="001A464A"/>
    <w:rsid w:val="001A5370"/>
    <w:rsid w:val="001A54A1"/>
    <w:rsid w:val="001A54C5"/>
    <w:rsid w:val="001A58F3"/>
    <w:rsid w:val="001A59CF"/>
    <w:rsid w:val="001A5AAB"/>
    <w:rsid w:val="001A5B35"/>
    <w:rsid w:val="001A5D65"/>
    <w:rsid w:val="001A5EEF"/>
    <w:rsid w:val="001A6022"/>
    <w:rsid w:val="001A630A"/>
    <w:rsid w:val="001A63AF"/>
    <w:rsid w:val="001A64EA"/>
    <w:rsid w:val="001A65EC"/>
    <w:rsid w:val="001A6C17"/>
    <w:rsid w:val="001A6EAE"/>
    <w:rsid w:val="001A708E"/>
    <w:rsid w:val="001A7A15"/>
    <w:rsid w:val="001A7EF9"/>
    <w:rsid w:val="001B0084"/>
    <w:rsid w:val="001B0345"/>
    <w:rsid w:val="001B06D0"/>
    <w:rsid w:val="001B09C5"/>
    <w:rsid w:val="001B0B23"/>
    <w:rsid w:val="001B1303"/>
    <w:rsid w:val="001B16A8"/>
    <w:rsid w:val="001B19E3"/>
    <w:rsid w:val="001B1BDF"/>
    <w:rsid w:val="001B1E4C"/>
    <w:rsid w:val="001B20B2"/>
    <w:rsid w:val="001B262A"/>
    <w:rsid w:val="001B2899"/>
    <w:rsid w:val="001B2933"/>
    <w:rsid w:val="001B2BE5"/>
    <w:rsid w:val="001B2C7C"/>
    <w:rsid w:val="001B3214"/>
    <w:rsid w:val="001B3246"/>
    <w:rsid w:val="001B366F"/>
    <w:rsid w:val="001B36DE"/>
    <w:rsid w:val="001B36EE"/>
    <w:rsid w:val="001B3A4A"/>
    <w:rsid w:val="001B3C3C"/>
    <w:rsid w:val="001B3C5A"/>
    <w:rsid w:val="001B4309"/>
    <w:rsid w:val="001B4773"/>
    <w:rsid w:val="001B4AFA"/>
    <w:rsid w:val="001B4B3C"/>
    <w:rsid w:val="001B4B85"/>
    <w:rsid w:val="001B4C88"/>
    <w:rsid w:val="001B4E16"/>
    <w:rsid w:val="001B5369"/>
    <w:rsid w:val="001B55DE"/>
    <w:rsid w:val="001B55E8"/>
    <w:rsid w:val="001B58CD"/>
    <w:rsid w:val="001B5C74"/>
    <w:rsid w:val="001B5DEC"/>
    <w:rsid w:val="001B6075"/>
    <w:rsid w:val="001B648B"/>
    <w:rsid w:val="001B64AE"/>
    <w:rsid w:val="001B6724"/>
    <w:rsid w:val="001B69A2"/>
    <w:rsid w:val="001B6BC6"/>
    <w:rsid w:val="001B6E2A"/>
    <w:rsid w:val="001B6EA4"/>
    <w:rsid w:val="001B6F6A"/>
    <w:rsid w:val="001B7032"/>
    <w:rsid w:val="001B7456"/>
    <w:rsid w:val="001B773B"/>
    <w:rsid w:val="001B7AD5"/>
    <w:rsid w:val="001B7BE1"/>
    <w:rsid w:val="001C008A"/>
    <w:rsid w:val="001C038B"/>
    <w:rsid w:val="001C0B1A"/>
    <w:rsid w:val="001C1030"/>
    <w:rsid w:val="001C112B"/>
    <w:rsid w:val="001C160E"/>
    <w:rsid w:val="001C1D56"/>
    <w:rsid w:val="001C1E4A"/>
    <w:rsid w:val="001C28B7"/>
    <w:rsid w:val="001C2C6F"/>
    <w:rsid w:val="001C2EE9"/>
    <w:rsid w:val="001C3215"/>
    <w:rsid w:val="001C3412"/>
    <w:rsid w:val="001C3815"/>
    <w:rsid w:val="001C388F"/>
    <w:rsid w:val="001C3E70"/>
    <w:rsid w:val="001C3E93"/>
    <w:rsid w:val="001C439B"/>
    <w:rsid w:val="001C4565"/>
    <w:rsid w:val="001C49A6"/>
    <w:rsid w:val="001C4D0C"/>
    <w:rsid w:val="001C4DAE"/>
    <w:rsid w:val="001C522B"/>
    <w:rsid w:val="001C5456"/>
    <w:rsid w:val="001C549B"/>
    <w:rsid w:val="001C5514"/>
    <w:rsid w:val="001C551D"/>
    <w:rsid w:val="001C59A5"/>
    <w:rsid w:val="001C59B3"/>
    <w:rsid w:val="001C5B4B"/>
    <w:rsid w:val="001C5E7A"/>
    <w:rsid w:val="001C662C"/>
    <w:rsid w:val="001C6786"/>
    <w:rsid w:val="001C6AF5"/>
    <w:rsid w:val="001C6F92"/>
    <w:rsid w:val="001C71A0"/>
    <w:rsid w:val="001C74AB"/>
    <w:rsid w:val="001C7802"/>
    <w:rsid w:val="001C7B29"/>
    <w:rsid w:val="001C7DA8"/>
    <w:rsid w:val="001D0003"/>
    <w:rsid w:val="001D0339"/>
    <w:rsid w:val="001D0EB8"/>
    <w:rsid w:val="001D16BC"/>
    <w:rsid w:val="001D1DFF"/>
    <w:rsid w:val="001D2023"/>
    <w:rsid w:val="001D2102"/>
    <w:rsid w:val="001D21CB"/>
    <w:rsid w:val="001D226F"/>
    <w:rsid w:val="001D255C"/>
    <w:rsid w:val="001D26F5"/>
    <w:rsid w:val="001D2835"/>
    <w:rsid w:val="001D2989"/>
    <w:rsid w:val="001D29A7"/>
    <w:rsid w:val="001D2B81"/>
    <w:rsid w:val="001D2BF6"/>
    <w:rsid w:val="001D2C41"/>
    <w:rsid w:val="001D3121"/>
    <w:rsid w:val="001D31D7"/>
    <w:rsid w:val="001D3BB7"/>
    <w:rsid w:val="001D3C56"/>
    <w:rsid w:val="001D3CB3"/>
    <w:rsid w:val="001D3F9D"/>
    <w:rsid w:val="001D439D"/>
    <w:rsid w:val="001D44FF"/>
    <w:rsid w:val="001D4513"/>
    <w:rsid w:val="001D4724"/>
    <w:rsid w:val="001D4726"/>
    <w:rsid w:val="001D47B1"/>
    <w:rsid w:val="001D48A6"/>
    <w:rsid w:val="001D495B"/>
    <w:rsid w:val="001D4AE3"/>
    <w:rsid w:val="001D4E98"/>
    <w:rsid w:val="001D4F65"/>
    <w:rsid w:val="001D5A3E"/>
    <w:rsid w:val="001D5D00"/>
    <w:rsid w:val="001D5E5C"/>
    <w:rsid w:val="001D5EE7"/>
    <w:rsid w:val="001D5F73"/>
    <w:rsid w:val="001D605A"/>
    <w:rsid w:val="001D6108"/>
    <w:rsid w:val="001D6852"/>
    <w:rsid w:val="001D6936"/>
    <w:rsid w:val="001D6C47"/>
    <w:rsid w:val="001D7096"/>
    <w:rsid w:val="001D7475"/>
    <w:rsid w:val="001D7656"/>
    <w:rsid w:val="001D7A37"/>
    <w:rsid w:val="001D7BF0"/>
    <w:rsid w:val="001D7D87"/>
    <w:rsid w:val="001D7E4D"/>
    <w:rsid w:val="001E0675"/>
    <w:rsid w:val="001E0D8C"/>
    <w:rsid w:val="001E0DAF"/>
    <w:rsid w:val="001E0DE7"/>
    <w:rsid w:val="001E0EDD"/>
    <w:rsid w:val="001E1154"/>
    <w:rsid w:val="001E1288"/>
    <w:rsid w:val="001E129F"/>
    <w:rsid w:val="001E147D"/>
    <w:rsid w:val="001E1505"/>
    <w:rsid w:val="001E154E"/>
    <w:rsid w:val="001E169A"/>
    <w:rsid w:val="001E1D29"/>
    <w:rsid w:val="001E1F83"/>
    <w:rsid w:val="001E2532"/>
    <w:rsid w:val="001E27BC"/>
    <w:rsid w:val="001E2921"/>
    <w:rsid w:val="001E2991"/>
    <w:rsid w:val="001E2AA6"/>
    <w:rsid w:val="001E2DFA"/>
    <w:rsid w:val="001E2E51"/>
    <w:rsid w:val="001E2E56"/>
    <w:rsid w:val="001E2F55"/>
    <w:rsid w:val="001E2FAE"/>
    <w:rsid w:val="001E353E"/>
    <w:rsid w:val="001E3B1A"/>
    <w:rsid w:val="001E3C4C"/>
    <w:rsid w:val="001E3C68"/>
    <w:rsid w:val="001E3C7E"/>
    <w:rsid w:val="001E3C86"/>
    <w:rsid w:val="001E402C"/>
    <w:rsid w:val="001E4036"/>
    <w:rsid w:val="001E4BBE"/>
    <w:rsid w:val="001E4BCE"/>
    <w:rsid w:val="001E4DB2"/>
    <w:rsid w:val="001E4EEA"/>
    <w:rsid w:val="001E5136"/>
    <w:rsid w:val="001E5242"/>
    <w:rsid w:val="001E5589"/>
    <w:rsid w:val="001E59D4"/>
    <w:rsid w:val="001E60D4"/>
    <w:rsid w:val="001E61D9"/>
    <w:rsid w:val="001E62DB"/>
    <w:rsid w:val="001E641C"/>
    <w:rsid w:val="001E6426"/>
    <w:rsid w:val="001E6615"/>
    <w:rsid w:val="001E68D7"/>
    <w:rsid w:val="001E6EE9"/>
    <w:rsid w:val="001E7108"/>
    <w:rsid w:val="001E710E"/>
    <w:rsid w:val="001E711C"/>
    <w:rsid w:val="001E7470"/>
    <w:rsid w:val="001E75B4"/>
    <w:rsid w:val="001E796A"/>
    <w:rsid w:val="001E79E9"/>
    <w:rsid w:val="001E7DDE"/>
    <w:rsid w:val="001E7EB6"/>
    <w:rsid w:val="001F044E"/>
    <w:rsid w:val="001F09F4"/>
    <w:rsid w:val="001F0B62"/>
    <w:rsid w:val="001F0B6C"/>
    <w:rsid w:val="001F0FFE"/>
    <w:rsid w:val="001F17AC"/>
    <w:rsid w:val="001F18C8"/>
    <w:rsid w:val="001F21E8"/>
    <w:rsid w:val="001F2368"/>
    <w:rsid w:val="001F2595"/>
    <w:rsid w:val="001F2A03"/>
    <w:rsid w:val="001F2A0F"/>
    <w:rsid w:val="001F2A3C"/>
    <w:rsid w:val="001F2C3A"/>
    <w:rsid w:val="001F3071"/>
    <w:rsid w:val="001F30C4"/>
    <w:rsid w:val="001F3137"/>
    <w:rsid w:val="001F32D0"/>
    <w:rsid w:val="001F3312"/>
    <w:rsid w:val="001F398F"/>
    <w:rsid w:val="001F3E10"/>
    <w:rsid w:val="001F4436"/>
    <w:rsid w:val="001F4AA9"/>
    <w:rsid w:val="001F4B0A"/>
    <w:rsid w:val="001F4B26"/>
    <w:rsid w:val="001F4FFE"/>
    <w:rsid w:val="001F5018"/>
    <w:rsid w:val="001F5217"/>
    <w:rsid w:val="001F5522"/>
    <w:rsid w:val="001F5821"/>
    <w:rsid w:val="001F5876"/>
    <w:rsid w:val="001F591C"/>
    <w:rsid w:val="001F5941"/>
    <w:rsid w:val="001F5A81"/>
    <w:rsid w:val="001F5B58"/>
    <w:rsid w:val="001F5CA6"/>
    <w:rsid w:val="001F60A3"/>
    <w:rsid w:val="001F6A5D"/>
    <w:rsid w:val="001F6BEB"/>
    <w:rsid w:val="001F6CBD"/>
    <w:rsid w:val="001F7026"/>
    <w:rsid w:val="001F71C6"/>
    <w:rsid w:val="001F725C"/>
    <w:rsid w:val="001F7266"/>
    <w:rsid w:val="001F78F3"/>
    <w:rsid w:val="001F798B"/>
    <w:rsid w:val="001F7BCE"/>
    <w:rsid w:val="001F7F75"/>
    <w:rsid w:val="00200057"/>
    <w:rsid w:val="002004F2"/>
    <w:rsid w:val="00200510"/>
    <w:rsid w:val="002005F4"/>
    <w:rsid w:val="002007C0"/>
    <w:rsid w:val="00200CBC"/>
    <w:rsid w:val="00200FF5"/>
    <w:rsid w:val="002011DE"/>
    <w:rsid w:val="0020126D"/>
    <w:rsid w:val="0020135E"/>
    <w:rsid w:val="00201373"/>
    <w:rsid w:val="00201479"/>
    <w:rsid w:val="002015C4"/>
    <w:rsid w:val="002018C6"/>
    <w:rsid w:val="002019A5"/>
    <w:rsid w:val="00201BF7"/>
    <w:rsid w:val="00201E86"/>
    <w:rsid w:val="002021F3"/>
    <w:rsid w:val="002022FB"/>
    <w:rsid w:val="002023B9"/>
    <w:rsid w:val="002023F3"/>
    <w:rsid w:val="0020255E"/>
    <w:rsid w:val="002025FB"/>
    <w:rsid w:val="002027EF"/>
    <w:rsid w:val="00202814"/>
    <w:rsid w:val="00202D14"/>
    <w:rsid w:val="00202D3D"/>
    <w:rsid w:val="00202EA2"/>
    <w:rsid w:val="002035E0"/>
    <w:rsid w:val="00203684"/>
    <w:rsid w:val="00203818"/>
    <w:rsid w:val="00203941"/>
    <w:rsid w:val="00203CB9"/>
    <w:rsid w:val="00203E19"/>
    <w:rsid w:val="00204075"/>
    <w:rsid w:val="0020474F"/>
    <w:rsid w:val="002047E5"/>
    <w:rsid w:val="0020489A"/>
    <w:rsid w:val="002049D6"/>
    <w:rsid w:val="00204E4E"/>
    <w:rsid w:val="00204FCA"/>
    <w:rsid w:val="002054A9"/>
    <w:rsid w:val="002055FC"/>
    <w:rsid w:val="00205601"/>
    <w:rsid w:val="002059EE"/>
    <w:rsid w:val="00205B35"/>
    <w:rsid w:val="00205ED9"/>
    <w:rsid w:val="00206101"/>
    <w:rsid w:val="0020671B"/>
    <w:rsid w:val="00206944"/>
    <w:rsid w:val="00206962"/>
    <w:rsid w:val="00207157"/>
    <w:rsid w:val="002073FD"/>
    <w:rsid w:val="0020741C"/>
    <w:rsid w:val="00207588"/>
    <w:rsid w:val="00207B24"/>
    <w:rsid w:val="00207D36"/>
    <w:rsid w:val="00207E1F"/>
    <w:rsid w:val="00210231"/>
    <w:rsid w:val="002102AE"/>
    <w:rsid w:val="002102E1"/>
    <w:rsid w:val="00210B87"/>
    <w:rsid w:val="00210D1A"/>
    <w:rsid w:val="002111C0"/>
    <w:rsid w:val="00211342"/>
    <w:rsid w:val="00211497"/>
    <w:rsid w:val="002116AE"/>
    <w:rsid w:val="00211C3B"/>
    <w:rsid w:val="00212003"/>
    <w:rsid w:val="00212144"/>
    <w:rsid w:val="002124AF"/>
    <w:rsid w:val="0021268C"/>
    <w:rsid w:val="002128B7"/>
    <w:rsid w:val="00212C29"/>
    <w:rsid w:val="00212E46"/>
    <w:rsid w:val="00213042"/>
    <w:rsid w:val="002130D5"/>
    <w:rsid w:val="00213131"/>
    <w:rsid w:val="00213628"/>
    <w:rsid w:val="00213736"/>
    <w:rsid w:val="00213922"/>
    <w:rsid w:val="00213A69"/>
    <w:rsid w:val="00213B41"/>
    <w:rsid w:val="00213D50"/>
    <w:rsid w:val="00213EC1"/>
    <w:rsid w:val="00213EC4"/>
    <w:rsid w:val="00213F7F"/>
    <w:rsid w:val="00214628"/>
    <w:rsid w:val="00214803"/>
    <w:rsid w:val="00214A9A"/>
    <w:rsid w:val="00214CF4"/>
    <w:rsid w:val="00214F20"/>
    <w:rsid w:val="002151C2"/>
    <w:rsid w:val="002153AA"/>
    <w:rsid w:val="00215B13"/>
    <w:rsid w:val="00215CB5"/>
    <w:rsid w:val="00215D57"/>
    <w:rsid w:val="00215FE5"/>
    <w:rsid w:val="0021610F"/>
    <w:rsid w:val="00216140"/>
    <w:rsid w:val="0021627E"/>
    <w:rsid w:val="00216325"/>
    <w:rsid w:val="0021647D"/>
    <w:rsid w:val="00216AF0"/>
    <w:rsid w:val="0021724C"/>
    <w:rsid w:val="00217446"/>
    <w:rsid w:val="00217476"/>
    <w:rsid w:val="002176A9"/>
    <w:rsid w:val="00217C24"/>
    <w:rsid w:val="00217EF5"/>
    <w:rsid w:val="002203F3"/>
    <w:rsid w:val="002209EC"/>
    <w:rsid w:val="00220B45"/>
    <w:rsid w:val="00220BA0"/>
    <w:rsid w:val="00220C36"/>
    <w:rsid w:val="00220E5C"/>
    <w:rsid w:val="0022121A"/>
    <w:rsid w:val="00221ADB"/>
    <w:rsid w:val="00221BF4"/>
    <w:rsid w:val="00221D3B"/>
    <w:rsid w:val="002220E9"/>
    <w:rsid w:val="0022210A"/>
    <w:rsid w:val="00222166"/>
    <w:rsid w:val="0022266C"/>
    <w:rsid w:val="00222D33"/>
    <w:rsid w:val="002233BD"/>
    <w:rsid w:val="002237BF"/>
    <w:rsid w:val="002239E6"/>
    <w:rsid w:val="00223A61"/>
    <w:rsid w:val="00223AB1"/>
    <w:rsid w:val="00223B0C"/>
    <w:rsid w:val="00223EFA"/>
    <w:rsid w:val="00223FE8"/>
    <w:rsid w:val="002240BE"/>
    <w:rsid w:val="00224381"/>
    <w:rsid w:val="002247A7"/>
    <w:rsid w:val="00224945"/>
    <w:rsid w:val="00224AEC"/>
    <w:rsid w:val="00224DCF"/>
    <w:rsid w:val="00224F32"/>
    <w:rsid w:val="00225673"/>
    <w:rsid w:val="002257A9"/>
    <w:rsid w:val="002258DC"/>
    <w:rsid w:val="00225D20"/>
    <w:rsid w:val="002261FC"/>
    <w:rsid w:val="00226243"/>
    <w:rsid w:val="00226B00"/>
    <w:rsid w:val="00226C77"/>
    <w:rsid w:val="00226E58"/>
    <w:rsid w:val="0022744E"/>
    <w:rsid w:val="002274BE"/>
    <w:rsid w:val="002274D3"/>
    <w:rsid w:val="002275AE"/>
    <w:rsid w:val="00227C5E"/>
    <w:rsid w:val="00227D05"/>
    <w:rsid w:val="00227DE6"/>
    <w:rsid w:val="002300E0"/>
    <w:rsid w:val="0023015B"/>
    <w:rsid w:val="0023034F"/>
    <w:rsid w:val="0023037C"/>
    <w:rsid w:val="00230471"/>
    <w:rsid w:val="00230B08"/>
    <w:rsid w:val="00230BC0"/>
    <w:rsid w:val="002310EF"/>
    <w:rsid w:val="0023186F"/>
    <w:rsid w:val="00231B11"/>
    <w:rsid w:val="00231B15"/>
    <w:rsid w:val="00231CD7"/>
    <w:rsid w:val="00231CE2"/>
    <w:rsid w:val="00232267"/>
    <w:rsid w:val="00232739"/>
    <w:rsid w:val="0023279A"/>
    <w:rsid w:val="00232935"/>
    <w:rsid w:val="00232DF5"/>
    <w:rsid w:val="002331F7"/>
    <w:rsid w:val="0023321E"/>
    <w:rsid w:val="0023327D"/>
    <w:rsid w:val="002334C8"/>
    <w:rsid w:val="002336DB"/>
    <w:rsid w:val="00233E15"/>
    <w:rsid w:val="00233FFA"/>
    <w:rsid w:val="00234209"/>
    <w:rsid w:val="00234310"/>
    <w:rsid w:val="002343F8"/>
    <w:rsid w:val="002344A4"/>
    <w:rsid w:val="00234890"/>
    <w:rsid w:val="002351A8"/>
    <w:rsid w:val="0023548E"/>
    <w:rsid w:val="00235490"/>
    <w:rsid w:val="002354D2"/>
    <w:rsid w:val="0023554A"/>
    <w:rsid w:val="002355DB"/>
    <w:rsid w:val="00235A83"/>
    <w:rsid w:val="00236BAE"/>
    <w:rsid w:val="00236EEA"/>
    <w:rsid w:val="00236F5B"/>
    <w:rsid w:val="002379DC"/>
    <w:rsid w:val="00237E9A"/>
    <w:rsid w:val="00237F74"/>
    <w:rsid w:val="0024096A"/>
    <w:rsid w:val="00240A0A"/>
    <w:rsid w:val="00240F41"/>
    <w:rsid w:val="00240FF2"/>
    <w:rsid w:val="00241564"/>
    <w:rsid w:val="0024161C"/>
    <w:rsid w:val="00241DA9"/>
    <w:rsid w:val="00242688"/>
    <w:rsid w:val="00242A78"/>
    <w:rsid w:val="00242D13"/>
    <w:rsid w:val="00242E2E"/>
    <w:rsid w:val="00243055"/>
    <w:rsid w:val="00243277"/>
    <w:rsid w:val="0024327C"/>
    <w:rsid w:val="002433FC"/>
    <w:rsid w:val="00243909"/>
    <w:rsid w:val="00243BF0"/>
    <w:rsid w:val="00243C3C"/>
    <w:rsid w:val="00243D88"/>
    <w:rsid w:val="00243F59"/>
    <w:rsid w:val="00243F77"/>
    <w:rsid w:val="0024416F"/>
    <w:rsid w:val="00244855"/>
    <w:rsid w:val="00244856"/>
    <w:rsid w:val="00244A4E"/>
    <w:rsid w:val="00244F5D"/>
    <w:rsid w:val="0024515F"/>
    <w:rsid w:val="00245735"/>
    <w:rsid w:val="00245850"/>
    <w:rsid w:val="002459C2"/>
    <w:rsid w:val="002459E2"/>
    <w:rsid w:val="00245B3A"/>
    <w:rsid w:val="00245CF1"/>
    <w:rsid w:val="00245FEF"/>
    <w:rsid w:val="0024620C"/>
    <w:rsid w:val="002462B9"/>
    <w:rsid w:val="002462BC"/>
    <w:rsid w:val="002463FA"/>
    <w:rsid w:val="00246627"/>
    <w:rsid w:val="002466A6"/>
    <w:rsid w:val="00246A25"/>
    <w:rsid w:val="00246D37"/>
    <w:rsid w:val="002474EB"/>
    <w:rsid w:val="002475FF"/>
    <w:rsid w:val="0024799C"/>
    <w:rsid w:val="002479D2"/>
    <w:rsid w:val="00247B77"/>
    <w:rsid w:val="0025037B"/>
    <w:rsid w:val="00250499"/>
    <w:rsid w:val="002506CD"/>
    <w:rsid w:val="00250749"/>
    <w:rsid w:val="00250909"/>
    <w:rsid w:val="00250940"/>
    <w:rsid w:val="00250AE2"/>
    <w:rsid w:val="00250B73"/>
    <w:rsid w:val="00250C55"/>
    <w:rsid w:val="00250D78"/>
    <w:rsid w:val="00250FDE"/>
    <w:rsid w:val="002512AD"/>
    <w:rsid w:val="00251320"/>
    <w:rsid w:val="0025194A"/>
    <w:rsid w:val="00251AC5"/>
    <w:rsid w:val="00251EE8"/>
    <w:rsid w:val="0025207A"/>
    <w:rsid w:val="00252217"/>
    <w:rsid w:val="00252247"/>
    <w:rsid w:val="0025233B"/>
    <w:rsid w:val="00252377"/>
    <w:rsid w:val="002523FA"/>
    <w:rsid w:val="00252864"/>
    <w:rsid w:val="0025289F"/>
    <w:rsid w:val="002529A3"/>
    <w:rsid w:val="002529CD"/>
    <w:rsid w:val="002529F9"/>
    <w:rsid w:val="00252F4F"/>
    <w:rsid w:val="00252FB4"/>
    <w:rsid w:val="002531AC"/>
    <w:rsid w:val="00253253"/>
    <w:rsid w:val="00253314"/>
    <w:rsid w:val="00253901"/>
    <w:rsid w:val="00253BC6"/>
    <w:rsid w:val="00253F86"/>
    <w:rsid w:val="00253FD0"/>
    <w:rsid w:val="00254071"/>
    <w:rsid w:val="002540DB"/>
    <w:rsid w:val="002541DA"/>
    <w:rsid w:val="00254542"/>
    <w:rsid w:val="00254837"/>
    <w:rsid w:val="00254DEF"/>
    <w:rsid w:val="00255368"/>
    <w:rsid w:val="002553CD"/>
    <w:rsid w:val="002554CE"/>
    <w:rsid w:val="00255807"/>
    <w:rsid w:val="00255C3C"/>
    <w:rsid w:val="00255C75"/>
    <w:rsid w:val="0025636C"/>
    <w:rsid w:val="00256530"/>
    <w:rsid w:val="00256C82"/>
    <w:rsid w:val="002572EE"/>
    <w:rsid w:val="002575EE"/>
    <w:rsid w:val="002576D9"/>
    <w:rsid w:val="0025794F"/>
    <w:rsid w:val="00257B26"/>
    <w:rsid w:val="00257DBE"/>
    <w:rsid w:val="00257F20"/>
    <w:rsid w:val="00260147"/>
    <w:rsid w:val="002606FE"/>
    <w:rsid w:val="002607E1"/>
    <w:rsid w:val="00260939"/>
    <w:rsid w:val="00260B89"/>
    <w:rsid w:val="00260DD9"/>
    <w:rsid w:val="00260FF9"/>
    <w:rsid w:val="0026144D"/>
    <w:rsid w:val="0026202B"/>
    <w:rsid w:val="002622DE"/>
    <w:rsid w:val="002624A9"/>
    <w:rsid w:val="00262567"/>
    <w:rsid w:val="00263541"/>
    <w:rsid w:val="00263642"/>
    <w:rsid w:val="00263859"/>
    <w:rsid w:val="00263899"/>
    <w:rsid w:val="00263A9A"/>
    <w:rsid w:val="00263BAD"/>
    <w:rsid w:val="00263C19"/>
    <w:rsid w:val="00263CC6"/>
    <w:rsid w:val="00263D75"/>
    <w:rsid w:val="00263EB4"/>
    <w:rsid w:val="00264400"/>
    <w:rsid w:val="00264411"/>
    <w:rsid w:val="00264519"/>
    <w:rsid w:val="00264553"/>
    <w:rsid w:val="002645DE"/>
    <w:rsid w:val="00264930"/>
    <w:rsid w:val="00264C3E"/>
    <w:rsid w:val="00265104"/>
    <w:rsid w:val="002651F0"/>
    <w:rsid w:val="002652A5"/>
    <w:rsid w:val="002653A3"/>
    <w:rsid w:val="00265440"/>
    <w:rsid w:val="002654A6"/>
    <w:rsid w:val="002654FB"/>
    <w:rsid w:val="002659F4"/>
    <w:rsid w:val="00265A58"/>
    <w:rsid w:val="00265E46"/>
    <w:rsid w:val="00265F32"/>
    <w:rsid w:val="00266322"/>
    <w:rsid w:val="002663FA"/>
    <w:rsid w:val="00266667"/>
    <w:rsid w:val="00266690"/>
    <w:rsid w:val="002672A6"/>
    <w:rsid w:val="00267869"/>
    <w:rsid w:val="00267929"/>
    <w:rsid w:val="00267AD8"/>
    <w:rsid w:val="00267BE4"/>
    <w:rsid w:val="00267C54"/>
    <w:rsid w:val="0027015E"/>
    <w:rsid w:val="00270263"/>
    <w:rsid w:val="00270504"/>
    <w:rsid w:val="00270581"/>
    <w:rsid w:val="0027059B"/>
    <w:rsid w:val="00270624"/>
    <w:rsid w:val="002707A3"/>
    <w:rsid w:val="0027090B"/>
    <w:rsid w:val="00270A26"/>
    <w:rsid w:val="00270AA6"/>
    <w:rsid w:val="00270DFA"/>
    <w:rsid w:val="002710B0"/>
    <w:rsid w:val="00271487"/>
    <w:rsid w:val="0027152F"/>
    <w:rsid w:val="00271632"/>
    <w:rsid w:val="00272039"/>
    <w:rsid w:val="0027204A"/>
    <w:rsid w:val="00272054"/>
    <w:rsid w:val="002720C3"/>
    <w:rsid w:val="00272661"/>
    <w:rsid w:val="00272D5C"/>
    <w:rsid w:val="0027310C"/>
    <w:rsid w:val="0027350A"/>
    <w:rsid w:val="002735AF"/>
    <w:rsid w:val="00273F97"/>
    <w:rsid w:val="002740A9"/>
    <w:rsid w:val="002740EA"/>
    <w:rsid w:val="00274243"/>
    <w:rsid w:val="0027433B"/>
    <w:rsid w:val="002748D3"/>
    <w:rsid w:val="00274B49"/>
    <w:rsid w:val="00275474"/>
    <w:rsid w:val="0027547F"/>
    <w:rsid w:val="00275571"/>
    <w:rsid w:val="002757D8"/>
    <w:rsid w:val="002758AC"/>
    <w:rsid w:val="00275B44"/>
    <w:rsid w:val="00275BD1"/>
    <w:rsid w:val="00275C75"/>
    <w:rsid w:val="00275D6F"/>
    <w:rsid w:val="00275F28"/>
    <w:rsid w:val="00276029"/>
    <w:rsid w:val="00276070"/>
    <w:rsid w:val="0027627A"/>
    <w:rsid w:val="0027651E"/>
    <w:rsid w:val="00276710"/>
    <w:rsid w:val="0027674A"/>
    <w:rsid w:val="00276801"/>
    <w:rsid w:val="00276B14"/>
    <w:rsid w:val="00276EA0"/>
    <w:rsid w:val="002770DB"/>
    <w:rsid w:val="00277651"/>
    <w:rsid w:val="002778B9"/>
    <w:rsid w:val="00280020"/>
    <w:rsid w:val="0028039F"/>
    <w:rsid w:val="002806AF"/>
    <w:rsid w:val="00280708"/>
    <w:rsid w:val="0028091C"/>
    <w:rsid w:val="00280EE4"/>
    <w:rsid w:val="002812A6"/>
    <w:rsid w:val="002813B0"/>
    <w:rsid w:val="00281606"/>
    <w:rsid w:val="00281CF3"/>
    <w:rsid w:val="00281E61"/>
    <w:rsid w:val="00282017"/>
    <w:rsid w:val="00282023"/>
    <w:rsid w:val="002827F1"/>
    <w:rsid w:val="00282C35"/>
    <w:rsid w:val="0028310E"/>
    <w:rsid w:val="002831B2"/>
    <w:rsid w:val="0028352D"/>
    <w:rsid w:val="00283688"/>
    <w:rsid w:val="00283C29"/>
    <w:rsid w:val="00284003"/>
    <w:rsid w:val="002840CB"/>
    <w:rsid w:val="002840E2"/>
    <w:rsid w:val="002840EF"/>
    <w:rsid w:val="00284A55"/>
    <w:rsid w:val="002856A8"/>
    <w:rsid w:val="00285A37"/>
    <w:rsid w:val="00285D6F"/>
    <w:rsid w:val="00285E9C"/>
    <w:rsid w:val="00285ED5"/>
    <w:rsid w:val="002860E8"/>
    <w:rsid w:val="002861BE"/>
    <w:rsid w:val="002862A4"/>
    <w:rsid w:val="00286879"/>
    <w:rsid w:val="00286880"/>
    <w:rsid w:val="00286BF0"/>
    <w:rsid w:val="00286F47"/>
    <w:rsid w:val="00287304"/>
    <w:rsid w:val="00287691"/>
    <w:rsid w:val="002877FA"/>
    <w:rsid w:val="0028792A"/>
    <w:rsid w:val="00287F80"/>
    <w:rsid w:val="00287FA9"/>
    <w:rsid w:val="002901C9"/>
    <w:rsid w:val="002905E9"/>
    <w:rsid w:val="00290A47"/>
    <w:rsid w:val="00290FD7"/>
    <w:rsid w:val="00291093"/>
    <w:rsid w:val="0029137A"/>
    <w:rsid w:val="0029141D"/>
    <w:rsid w:val="002916AA"/>
    <w:rsid w:val="00291B12"/>
    <w:rsid w:val="00291BC6"/>
    <w:rsid w:val="00291C54"/>
    <w:rsid w:val="00291D45"/>
    <w:rsid w:val="00291D51"/>
    <w:rsid w:val="00291FB6"/>
    <w:rsid w:val="00292935"/>
    <w:rsid w:val="00292BC4"/>
    <w:rsid w:val="00292FA9"/>
    <w:rsid w:val="0029302A"/>
    <w:rsid w:val="0029317D"/>
    <w:rsid w:val="0029327A"/>
    <w:rsid w:val="00293675"/>
    <w:rsid w:val="00293AFC"/>
    <w:rsid w:val="00293FCE"/>
    <w:rsid w:val="002943CC"/>
    <w:rsid w:val="0029446D"/>
    <w:rsid w:val="00294697"/>
    <w:rsid w:val="00294B9E"/>
    <w:rsid w:val="00294E3F"/>
    <w:rsid w:val="00295593"/>
    <w:rsid w:val="002958D7"/>
    <w:rsid w:val="00295D9B"/>
    <w:rsid w:val="002962E2"/>
    <w:rsid w:val="0029641A"/>
    <w:rsid w:val="00296588"/>
    <w:rsid w:val="002965B5"/>
    <w:rsid w:val="00296610"/>
    <w:rsid w:val="00296617"/>
    <w:rsid w:val="002966BF"/>
    <w:rsid w:val="00296844"/>
    <w:rsid w:val="00296A1A"/>
    <w:rsid w:val="00296B3C"/>
    <w:rsid w:val="00296C9F"/>
    <w:rsid w:val="00296F90"/>
    <w:rsid w:val="002970D8"/>
    <w:rsid w:val="00297249"/>
    <w:rsid w:val="002973AA"/>
    <w:rsid w:val="0029787C"/>
    <w:rsid w:val="00297DD1"/>
    <w:rsid w:val="00297E23"/>
    <w:rsid w:val="00297F42"/>
    <w:rsid w:val="00297FFE"/>
    <w:rsid w:val="002A00DD"/>
    <w:rsid w:val="002A0205"/>
    <w:rsid w:val="002A0D7E"/>
    <w:rsid w:val="002A11B4"/>
    <w:rsid w:val="002A15FD"/>
    <w:rsid w:val="002A179F"/>
    <w:rsid w:val="002A1BF3"/>
    <w:rsid w:val="002A1E9B"/>
    <w:rsid w:val="002A21CF"/>
    <w:rsid w:val="002A241C"/>
    <w:rsid w:val="002A2423"/>
    <w:rsid w:val="002A2453"/>
    <w:rsid w:val="002A24AE"/>
    <w:rsid w:val="002A27CD"/>
    <w:rsid w:val="002A2B77"/>
    <w:rsid w:val="002A2EF8"/>
    <w:rsid w:val="002A307B"/>
    <w:rsid w:val="002A3191"/>
    <w:rsid w:val="002A31EC"/>
    <w:rsid w:val="002A323D"/>
    <w:rsid w:val="002A33B5"/>
    <w:rsid w:val="002A3969"/>
    <w:rsid w:val="002A3BD0"/>
    <w:rsid w:val="002A3CE5"/>
    <w:rsid w:val="002A3D98"/>
    <w:rsid w:val="002A43F8"/>
    <w:rsid w:val="002A4411"/>
    <w:rsid w:val="002A4556"/>
    <w:rsid w:val="002A461F"/>
    <w:rsid w:val="002A4ADC"/>
    <w:rsid w:val="002A4B0C"/>
    <w:rsid w:val="002A4BB9"/>
    <w:rsid w:val="002A4EA0"/>
    <w:rsid w:val="002A518B"/>
    <w:rsid w:val="002A564B"/>
    <w:rsid w:val="002A5653"/>
    <w:rsid w:val="002A56C1"/>
    <w:rsid w:val="002A572A"/>
    <w:rsid w:val="002A5E2A"/>
    <w:rsid w:val="002A5F02"/>
    <w:rsid w:val="002A6318"/>
    <w:rsid w:val="002A651F"/>
    <w:rsid w:val="002A654D"/>
    <w:rsid w:val="002A6652"/>
    <w:rsid w:val="002A66D3"/>
    <w:rsid w:val="002A6AA1"/>
    <w:rsid w:val="002A6E1A"/>
    <w:rsid w:val="002A6E27"/>
    <w:rsid w:val="002A6FBB"/>
    <w:rsid w:val="002A7321"/>
    <w:rsid w:val="002A737F"/>
    <w:rsid w:val="002A7420"/>
    <w:rsid w:val="002A74BB"/>
    <w:rsid w:val="002A7919"/>
    <w:rsid w:val="002A794A"/>
    <w:rsid w:val="002A7AAC"/>
    <w:rsid w:val="002A7B13"/>
    <w:rsid w:val="002B028C"/>
    <w:rsid w:val="002B04B0"/>
    <w:rsid w:val="002B07C9"/>
    <w:rsid w:val="002B0AFF"/>
    <w:rsid w:val="002B1505"/>
    <w:rsid w:val="002B17E3"/>
    <w:rsid w:val="002B1946"/>
    <w:rsid w:val="002B1AB3"/>
    <w:rsid w:val="002B1B74"/>
    <w:rsid w:val="002B1F56"/>
    <w:rsid w:val="002B24F1"/>
    <w:rsid w:val="002B2A79"/>
    <w:rsid w:val="002B2B46"/>
    <w:rsid w:val="002B2F66"/>
    <w:rsid w:val="002B3036"/>
    <w:rsid w:val="002B31EA"/>
    <w:rsid w:val="002B343E"/>
    <w:rsid w:val="002B3464"/>
    <w:rsid w:val="002B3579"/>
    <w:rsid w:val="002B3777"/>
    <w:rsid w:val="002B3C3C"/>
    <w:rsid w:val="002B3D7A"/>
    <w:rsid w:val="002B3EBD"/>
    <w:rsid w:val="002B43F4"/>
    <w:rsid w:val="002B45E6"/>
    <w:rsid w:val="002B4745"/>
    <w:rsid w:val="002B4B49"/>
    <w:rsid w:val="002B5BF3"/>
    <w:rsid w:val="002B5D26"/>
    <w:rsid w:val="002B5DEA"/>
    <w:rsid w:val="002B61AA"/>
    <w:rsid w:val="002B6448"/>
    <w:rsid w:val="002B655B"/>
    <w:rsid w:val="002B664E"/>
    <w:rsid w:val="002B6D59"/>
    <w:rsid w:val="002B6D73"/>
    <w:rsid w:val="002B6DCE"/>
    <w:rsid w:val="002B6DE8"/>
    <w:rsid w:val="002B6E5F"/>
    <w:rsid w:val="002B7242"/>
    <w:rsid w:val="002B7381"/>
    <w:rsid w:val="002B75D0"/>
    <w:rsid w:val="002B7A95"/>
    <w:rsid w:val="002B7AD3"/>
    <w:rsid w:val="002B7C6F"/>
    <w:rsid w:val="002B7E10"/>
    <w:rsid w:val="002C0060"/>
    <w:rsid w:val="002C0081"/>
    <w:rsid w:val="002C0183"/>
    <w:rsid w:val="002C0396"/>
    <w:rsid w:val="002C0566"/>
    <w:rsid w:val="002C073A"/>
    <w:rsid w:val="002C08DE"/>
    <w:rsid w:val="002C0A3D"/>
    <w:rsid w:val="002C0E5B"/>
    <w:rsid w:val="002C0FF7"/>
    <w:rsid w:val="002C1300"/>
    <w:rsid w:val="002C1459"/>
    <w:rsid w:val="002C16A8"/>
    <w:rsid w:val="002C1B7C"/>
    <w:rsid w:val="002C1C0F"/>
    <w:rsid w:val="002C1D08"/>
    <w:rsid w:val="002C1E06"/>
    <w:rsid w:val="002C1FDD"/>
    <w:rsid w:val="002C21F1"/>
    <w:rsid w:val="002C239E"/>
    <w:rsid w:val="002C2AEB"/>
    <w:rsid w:val="002C2F99"/>
    <w:rsid w:val="002C32AB"/>
    <w:rsid w:val="002C3607"/>
    <w:rsid w:val="002C36F5"/>
    <w:rsid w:val="002C3B29"/>
    <w:rsid w:val="002C4320"/>
    <w:rsid w:val="002C51D6"/>
    <w:rsid w:val="002C531E"/>
    <w:rsid w:val="002C5448"/>
    <w:rsid w:val="002C5689"/>
    <w:rsid w:val="002C597E"/>
    <w:rsid w:val="002C5AE4"/>
    <w:rsid w:val="002C5FBD"/>
    <w:rsid w:val="002C5FC0"/>
    <w:rsid w:val="002C633E"/>
    <w:rsid w:val="002C6373"/>
    <w:rsid w:val="002C6466"/>
    <w:rsid w:val="002C6789"/>
    <w:rsid w:val="002C6933"/>
    <w:rsid w:val="002C6DB0"/>
    <w:rsid w:val="002C6EA3"/>
    <w:rsid w:val="002C74B4"/>
    <w:rsid w:val="002C769A"/>
    <w:rsid w:val="002C76BC"/>
    <w:rsid w:val="002C7779"/>
    <w:rsid w:val="002C793D"/>
    <w:rsid w:val="002C7F79"/>
    <w:rsid w:val="002D0007"/>
    <w:rsid w:val="002D0224"/>
    <w:rsid w:val="002D04DC"/>
    <w:rsid w:val="002D0868"/>
    <w:rsid w:val="002D0C6D"/>
    <w:rsid w:val="002D0D21"/>
    <w:rsid w:val="002D12A8"/>
    <w:rsid w:val="002D144B"/>
    <w:rsid w:val="002D1B0E"/>
    <w:rsid w:val="002D1C04"/>
    <w:rsid w:val="002D203B"/>
    <w:rsid w:val="002D2057"/>
    <w:rsid w:val="002D2081"/>
    <w:rsid w:val="002D23A7"/>
    <w:rsid w:val="002D286D"/>
    <w:rsid w:val="002D2892"/>
    <w:rsid w:val="002D2B0E"/>
    <w:rsid w:val="002D2D79"/>
    <w:rsid w:val="002D2D89"/>
    <w:rsid w:val="002D2F2A"/>
    <w:rsid w:val="002D2F91"/>
    <w:rsid w:val="002D30CC"/>
    <w:rsid w:val="002D355D"/>
    <w:rsid w:val="002D388F"/>
    <w:rsid w:val="002D3BA9"/>
    <w:rsid w:val="002D3BAD"/>
    <w:rsid w:val="002D3BB2"/>
    <w:rsid w:val="002D3BF4"/>
    <w:rsid w:val="002D3C9D"/>
    <w:rsid w:val="002D3CE1"/>
    <w:rsid w:val="002D401A"/>
    <w:rsid w:val="002D4021"/>
    <w:rsid w:val="002D4093"/>
    <w:rsid w:val="002D4288"/>
    <w:rsid w:val="002D4319"/>
    <w:rsid w:val="002D433C"/>
    <w:rsid w:val="002D437F"/>
    <w:rsid w:val="002D443D"/>
    <w:rsid w:val="002D4704"/>
    <w:rsid w:val="002D48FF"/>
    <w:rsid w:val="002D4F4A"/>
    <w:rsid w:val="002D517D"/>
    <w:rsid w:val="002D52EA"/>
    <w:rsid w:val="002D5348"/>
    <w:rsid w:val="002D5867"/>
    <w:rsid w:val="002D59EA"/>
    <w:rsid w:val="002D5BAE"/>
    <w:rsid w:val="002D5CA5"/>
    <w:rsid w:val="002D6260"/>
    <w:rsid w:val="002D644C"/>
    <w:rsid w:val="002D6514"/>
    <w:rsid w:val="002D66D7"/>
    <w:rsid w:val="002D689B"/>
    <w:rsid w:val="002D6D40"/>
    <w:rsid w:val="002D70CE"/>
    <w:rsid w:val="002D7326"/>
    <w:rsid w:val="002D739B"/>
    <w:rsid w:val="002D7415"/>
    <w:rsid w:val="002D7634"/>
    <w:rsid w:val="002D7881"/>
    <w:rsid w:val="002D79B6"/>
    <w:rsid w:val="002D79C2"/>
    <w:rsid w:val="002D7A12"/>
    <w:rsid w:val="002E0097"/>
    <w:rsid w:val="002E02F1"/>
    <w:rsid w:val="002E040A"/>
    <w:rsid w:val="002E072E"/>
    <w:rsid w:val="002E075A"/>
    <w:rsid w:val="002E093D"/>
    <w:rsid w:val="002E0A9C"/>
    <w:rsid w:val="002E0B13"/>
    <w:rsid w:val="002E0D58"/>
    <w:rsid w:val="002E1076"/>
    <w:rsid w:val="002E1166"/>
    <w:rsid w:val="002E11A5"/>
    <w:rsid w:val="002E1202"/>
    <w:rsid w:val="002E1235"/>
    <w:rsid w:val="002E145F"/>
    <w:rsid w:val="002E163B"/>
    <w:rsid w:val="002E2337"/>
    <w:rsid w:val="002E2474"/>
    <w:rsid w:val="002E273F"/>
    <w:rsid w:val="002E28D4"/>
    <w:rsid w:val="002E2904"/>
    <w:rsid w:val="002E29B9"/>
    <w:rsid w:val="002E2AA2"/>
    <w:rsid w:val="002E2AF4"/>
    <w:rsid w:val="002E2C05"/>
    <w:rsid w:val="002E2C6A"/>
    <w:rsid w:val="002E2C95"/>
    <w:rsid w:val="002E312C"/>
    <w:rsid w:val="002E357C"/>
    <w:rsid w:val="002E37A6"/>
    <w:rsid w:val="002E3876"/>
    <w:rsid w:val="002E38EE"/>
    <w:rsid w:val="002E3A82"/>
    <w:rsid w:val="002E3F68"/>
    <w:rsid w:val="002E41F5"/>
    <w:rsid w:val="002E42EF"/>
    <w:rsid w:val="002E4316"/>
    <w:rsid w:val="002E466A"/>
    <w:rsid w:val="002E48D0"/>
    <w:rsid w:val="002E4921"/>
    <w:rsid w:val="002E50C4"/>
    <w:rsid w:val="002E517C"/>
    <w:rsid w:val="002E5375"/>
    <w:rsid w:val="002E5A4E"/>
    <w:rsid w:val="002E5AAE"/>
    <w:rsid w:val="002E5AAF"/>
    <w:rsid w:val="002E5B72"/>
    <w:rsid w:val="002E600B"/>
    <w:rsid w:val="002E635F"/>
    <w:rsid w:val="002E662B"/>
    <w:rsid w:val="002E6B05"/>
    <w:rsid w:val="002E6B07"/>
    <w:rsid w:val="002E70ED"/>
    <w:rsid w:val="002E7120"/>
    <w:rsid w:val="002E71E8"/>
    <w:rsid w:val="002E780F"/>
    <w:rsid w:val="002E790D"/>
    <w:rsid w:val="002E7BEC"/>
    <w:rsid w:val="002E7C94"/>
    <w:rsid w:val="002E7CDD"/>
    <w:rsid w:val="002F04BB"/>
    <w:rsid w:val="002F075D"/>
    <w:rsid w:val="002F0A66"/>
    <w:rsid w:val="002F0B3C"/>
    <w:rsid w:val="002F0F90"/>
    <w:rsid w:val="002F0F93"/>
    <w:rsid w:val="002F0F98"/>
    <w:rsid w:val="002F13D9"/>
    <w:rsid w:val="002F154D"/>
    <w:rsid w:val="002F2150"/>
    <w:rsid w:val="002F21A5"/>
    <w:rsid w:val="002F2309"/>
    <w:rsid w:val="002F2639"/>
    <w:rsid w:val="002F2936"/>
    <w:rsid w:val="002F29AA"/>
    <w:rsid w:val="002F2C28"/>
    <w:rsid w:val="002F2D72"/>
    <w:rsid w:val="002F2E5A"/>
    <w:rsid w:val="002F2EB3"/>
    <w:rsid w:val="002F367D"/>
    <w:rsid w:val="002F3763"/>
    <w:rsid w:val="002F3968"/>
    <w:rsid w:val="002F39C0"/>
    <w:rsid w:val="002F3CE8"/>
    <w:rsid w:val="002F3D9D"/>
    <w:rsid w:val="002F4A79"/>
    <w:rsid w:val="002F4B46"/>
    <w:rsid w:val="002F4C38"/>
    <w:rsid w:val="002F4DFD"/>
    <w:rsid w:val="002F510A"/>
    <w:rsid w:val="002F51CF"/>
    <w:rsid w:val="002F53BC"/>
    <w:rsid w:val="002F5A49"/>
    <w:rsid w:val="002F5E79"/>
    <w:rsid w:val="002F60DB"/>
    <w:rsid w:val="002F6655"/>
    <w:rsid w:val="002F67E0"/>
    <w:rsid w:val="002F6C49"/>
    <w:rsid w:val="002F6C5B"/>
    <w:rsid w:val="002F6DAA"/>
    <w:rsid w:val="002F6DEC"/>
    <w:rsid w:val="002F6FB2"/>
    <w:rsid w:val="002F70B4"/>
    <w:rsid w:val="002F770F"/>
    <w:rsid w:val="002F7797"/>
    <w:rsid w:val="002F77D4"/>
    <w:rsid w:val="002F78F8"/>
    <w:rsid w:val="002F7CEE"/>
    <w:rsid w:val="002F7D09"/>
    <w:rsid w:val="00300419"/>
    <w:rsid w:val="00300488"/>
    <w:rsid w:val="00300494"/>
    <w:rsid w:val="00300875"/>
    <w:rsid w:val="00300F7D"/>
    <w:rsid w:val="00301097"/>
    <w:rsid w:val="0030110D"/>
    <w:rsid w:val="003015F2"/>
    <w:rsid w:val="00301687"/>
    <w:rsid w:val="00301977"/>
    <w:rsid w:val="00301988"/>
    <w:rsid w:val="00302114"/>
    <w:rsid w:val="003021F8"/>
    <w:rsid w:val="003022A0"/>
    <w:rsid w:val="00302557"/>
    <w:rsid w:val="00302784"/>
    <w:rsid w:val="00302790"/>
    <w:rsid w:val="00302DEB"/>
    <w:rsid w:val="00302EC2"/>
    <w:rsid w:val="00302EF5"/>
    <w:rsid w:val="0030320C"/>
    <w:rsid w:val="00303291"/>
    <w:rsid w:val="00303310"/>
    <w:rsid w:val="003036D1"/>
    <w:rsid w:val="003037D8"/>
    <w:rsid w:val="003039DB"/>
    <w:rsid w:val="00303C5B"/>
    <w:rsid w:val="00303CC5"/>
    <w:rsid w:val="00304059"/>
    <w:rsid w:val="0030422D"/>
    <w:rsid w:val="00304C77"/>
    <w:rsid w:val="00304F3F"/>
    <w:rsid w:val="003055CF"/>
    <w:rsid w:val="00305D4B"/>
    <w:rsid w:val="00305FA7"/>
    <w:rsid w:val="0030609E"/>
    <w:rsid w:val="00306155"/>
    <w:rsid w:val="00306342"/>
    <w:rsid w:val="003064B6"/>
    <w:rsid w:val="003066B8"/>
    <w:rsid w:val="00306717"/>
    <w:rsid w:val="00306DCB"/>
    <w:rsid w:val="00306E45"/>
    <w:rsid w:val="003072F5"/>
    <w:rsid w:val="003078E1"/>
    <w:rsid w:val="00307A7A"/>
    <w:rsid w:val="00307B59"/>
    <w:rsid w:val="00307C09"/>
    <w:rsid w:val="00307FAF"/>
    <w:rsid w:val="003103AB"/>
    <w:rsid w:val="003106EB"/>
    <w:rsid w:val="003107E4"/>
    <w:rsid w:val="00310819"/>
    <w:rsid w:val="0031085D"/>
    <w:rsid w:val="00310B93"/>
    <w:rsid w:val="00310DFA"/>
    <w:rsid w:val="00311133"/>
    <w:rsid w:val="003111B2"/>
    <w:rsid w:val="00311274"/>
    <w:rsid w:val="003112EB"/>
    <w:rsid w:val="0031133F"/>
    <w:rsid w:val="00311536"/>
    <w:rsid w:val="00312133"/>
    <w:rsid w:val="003121B5"/>
    <w:rsid w:val="00312207"/>
    <w:rsid w:val="00312384"/>
    <w:rsid w:val="00312399"/>
    <w:rsid w:val="00312621"/>
    <w:rsid w:val="0031265F"/>
    <w:rsid w:val="00312844"/>
    <w:rsid w:val="00312BA0"/>
    <w:rsid w:val="00312FB1"/>
    <w:rsid w:val="00312FFB"/>
    <w:rsid w:val="00313123"/>
    <w:rsid w:val="00313156"/>
    <w:rsid w:val="00313297"/>
    <w:rsid w:val="00313D38"/>
    <w:rsid w:val="00313DEE"/>
    <w:rsid w:val="00313EDA"/>
    <w:rsid w:val="003140BB"/>
    <w:rsid w:val="00314495"/>
    <w:rsid w:val="0031458F"/>
    <w:rsid w:val="00314592"/>
    <w:rsid w:val="003145A2"/>
    <w:rsid w:val="00314AFA"/>
    <w:rsid w:val="00314AFF"/>
    <w:rsid w:val="00314B50"/>
    <w:rsid w:val="00314EA5"/>
    <w:rsid w:val="0031508B"/>
    <w:rsid w:val="003150CE"/>
    <w:rsid w:val="0031511D"/>
    <w:rsid w:val="003152A4"/>
    <w:rsid w:val="00315629"/>
    <w:rsid w:val="003159A9"/>
    <w:rsid w:val="00315CB0"/>
    <w:rsid w:val="00316009"/>
    <w:rsid w:val="0031616A"/>
    <w:rsid w:val="0031629F"/>
    <w:rsid w:val="003162AE"/>
    <w:rsid w:val="003162EC"/>
    <w:rsid w:val="00316682"/>
    <w:rsid w:val="003168C1"/>
    <w:rsid w:val="003168C8"/>
    <w:rsid w:val="0031696B"/>
    <w:rsid w:val="00316B3C"/>
    <w:rsid w:val="00316DE2"/>
    <w:rsid w:val="00316F3F"/>
    <w:rsid w:val="0031716D"/>
    <w:rsid w:val="00317430"/>
    <w:rsid w:val="003175FA"/>
    <w:rsid w:val="00317AB6"/>
    <w:rsid w:val="00317E2F"/>
    <w:rsid w:val="00320038"/>
    <w:rsid w:val="0032017C"/>
    <w:rsid w:val="003201EB"/>
    <w:rsid w:val="00320580"/>
    <w:rsid w:val="00320722"/>
    <w:rsid w:val="003209AB"/>
    <w:rsid w:val="00320ABD"/>
    <w:rsid w:val="00320B09"/>
    <w:rsid w:val="00320D62"/>
    <w:rsid w:val="00321124"/>
    <w:rsid w:val="00321179"/>
    <w:rsid w:val="0032134D"/>
    <w:rsid w:val="003215C2"/>
    <w:rsid w:val="00321ACD"/>
    <w:rsid w:val="00321BB3"/>
    <w:rsid w:val="00321C9A"/>
    <w:rsid w:val="00321CAB"/>
    <w:rsid w:val="00321EE3"/>
    <w:rsid w:val="00322510"/>
    <w:rsid w:val="003228C0"/>
    <w:rsid w:val="0032294B"/>
    <w:rsid w:val="00322A70"/>
    <w:rsid w:val="00322AAA"/>
    <w:rsid w:val="00322BA4"/>
    <w:rsid w:val="00322D9A"/>
    <w:rsid w:val="00322DCC"/>
    <w:rsid w:val="00322FEE"/>
    <w:rsid w:val="003230A6"/>
    <w:rsid w:val="003235B9"/>
    <w:rsid w:val="00323A04"/>
    <w:rsid w:val="00323E32"/>
    <w:rsid w:val="003242AB"/>
    <w:rsid w:val="003242C3"/>
    <w:rsid w:val="003243CC"/>
    <w:rsid w:val="00324834"/>
    <w:rsid w:val="00324902"/>
    <w:rsid w:val="00324A67"/>
    <w:rsid w:val="00324EC8"/>
    <w:rsid w:val="003250F5"/>
    <w:rsid w:val="0032510D"/>
    <w:rsid w:val="0032522C"/>
    <w:rsid w:val="003252A7"/>
    <w:rsid w:val="0032548E"/>
    <w:rsid w:val="0032549C"/>
    <w:rsid w:val="0032579D"/>
    <w:rsid w:val="003258A4"/>
    <w:rsid w:val="003259C1"/>
    <w:rsid w:val="00325A90"/>
    <w:rsid w:val="00325BB4"/>
    <w:rsid w:val="00325DDB"/>
    <w:rsid w:val="00326148"/>
    <w:rsid w:val="0032694C"/>
    <w:rsid w:val="00326D64"/>
    <w:rsid w:val="00327B31"/>
    <w:rsid w:val="00327FB0"/>
    <w:rsid w:val="00330033"/>
    <w:rsid w:val="003304E7"/>
    <w:rsid w:val="003306D4"/>
    <w:rsid w:val="0033079B"/>
    <w:rsid w:val="00330D81"/>
    <w:rsid w:val="00330E1F"/>
    <w:rsid w:val="00331249"/>
    <w:rsid w:val="00331455"/>
    <w:rsid w:val="003316A3"/>
    <w:rsid w:val="0033191A"/>
    <w:rsid w:val="00331946"/>
    <w:rsid w:val="00331B9B"/>
    <w:rsid w:val="00331F62"/>
    <w:rsid w:val="0033208E"/>
    <w:rsid w:val="003320FB"/>
    <w:rsid w:val="003329FF"/>
    <w:rsid w:val="00332B95"/>
    <w:rsid w:val="00332C48"/>
    <w:rsid w:val="00332E0F"/>
    <w:rsid w:val="003335BF"/>
    <w:rsid w:val="00333796"/>
    <w:rsid w:val="00333E40"/>
    <w:rsid w:val="0033417F"/>
    <w:rsid w:val="00334650"/>
    <w:rsid w:val="0033490B"/>
    <w:rsid w:val="00334946"/>
    <w:rsid w:val="00334C3E"/>
    <w:rsid w:val="00334CD6"/>
    <w:rsid w:val="003352A7"/>
    <w:rsid w:val="00335981"/>
    <w:rsid w:val="00335A90"/>
    <w:rsid w:val="00335C5A"/>
    <w:rsid w:val="00335F81"/>
    <w:rsid w:val="003360E4"/>
    <w:rsid w:val="00336748"/>
    <w:rsid w:val="00336879"/>
    <w:rsid w:val="00336C74"/>
    <w:rsid w:val="00336DEA"/>
    <w:rsid w:val="00337007"/>
    <w:rsid w:val="00337244"/>
    <w:rsid w:val="003377F3"/>
    <w:rsid w:val="00337925"/>
    <w:rsid w:val="00337AFE"/>
    <w:rsid w:val="00337BFF"/>
    <w:rsid w:val="00337C45"/>
    <w:rsid w:val="0034045D"/>
    <w:rsid w:val="00340508"/>
    <w:rsid w:val="00340751"/>
    <w:rsid w:val="00341021"/>
    <w:rsid w:val="0034136F"/>
    <w:rsid w:val="00341A6E"/>
    <w:rsid w:val="00341BDD"/>
    <w:rsid w:val="00341C57"/>
    <w:rsid w:val="00341C58"/>
    <w:rsid w:val="0034224D"/>
    <w:rsid w:val="00342365"/>
    <w:rsid w:val="0034241C"/>
    <w:rsid w:val="00342440"/>
    <w:rsid w:val="003424A9"/>
    <w:rsid w:val="00342A58"/>
    <w:rsid w:val="00342D4C"/>
    <w:rsid w:val="00342EEE"/>
    <w:rsid w:val="00343276"/>
    <w:rsid w:val="00343490"/>
    <w:rsid w:val="00343B8C"/>
    <w:rsid w:val="00343C16"/>
    <w:rsid w:val="003440C7"/>
    <w:rsid w:val="003443F2"/>
    <w:rsid w:val="0034466E"/>
    <w:rsid w:val="00344829"/>
    <w:rsid w:val="00344A9A"/>
    <w:rsid w:val="00344AE3"/>
    <w:rsid w:val="00344C5E"/>
    <w:rsid w:val="00344C88"/>
    <w:rsid w:val="00344EB0"/>
    <w:rsid w:val="00345205"/>
    <w:rsid w:val="00345260"/>
    <w:rsid w:val="00345441"/>
    <w:rsid w:val="0034573D"/>
    <w:rsid w:val="00345AC1"/>
    <w:rsid w:val="00345C8C"/>
    <w:rsid w:val="00346266"/>
    <w:rsid w:val="003463E9"/>
    <w:rsid w:val="003464C4"/>
    <w:rsid w:val="0034655B"/>
    <w:rsid w:val="0034661F"/>
    <w:rsid w:val="0034663A"/>
    <w:rsid w:val="0034673A"/>
    <w:rsid w:val="00346957"/>
    <w:rsid w:val="00346A2F"/>
    <w:rsid w:val="003471CD"/>
    <w:rsid w:val="003471FA"/>
    <w:rsid w:val="003472D0"/>
    <w:rsid w:val="003473BC"/>
    <w:rsid w:val="00347519"/>
    <w:rsid w:val="003475A9"/>
    <w:rsid w:val="00347900"/>
    <w:rsid w:val="003479CA"/>
    <w:rsid w:val="00347D38"/>
    <w:rsid w:val="0035002E"/>
    <w:rsid w:val="003501C2"/>
    <w:rsid w:val="00350281"/>
    <w:rsid w:val="003502A8"/>
    <w:rsid w:val="003502BC"/>
    <w:rsid w:val="003503B8"/>
    <w:rsid w:val="00350616"/>
    <w:rsid w:val="0035085B"/>
    <w:rsid w:val="0035101A"/>
    <w:rsid w:val="00351079"/>
    <w:rsid w:val="0035162C"/>
    <w:rsid w:val="003517DF"/>
    <w:rsid w:val="0035196C"/>
    <w:rsid w:val="00351A9D"/>
    <w:rsid w:val="00351B8A"/>
    <w:rsid w:val="00351E48"/>
    <w:rsid w:val="00351FC6"/>
    <w:rsid w:val="0035221F"/>
    <w:rsid w:val="00352415"/>
    <w:rsid w:val="003525D3"/>
    <w:rsid w:val="0035297B"/>
    <w:rsid w:val="00352C0B"/>
    <w:rsid w:val="003531D4"/>
    <w:rsid w:val="003532F1"/>
    <w:rsid w:val="00353675"/>
    <w:rsid w:val="00353826"/>
    <w:rsid w:val="003540C6"/>
    <w:rsid w:val="003543CE"/>
    <w:rsid w:val="00354471"/>
    <w:rsid w:val="003549FA"/>
    <w:rsid w:val="00354A53"/>
    <w:rsid w:val="00354BFA"/>
    <w:rsid w:val="00354C3D"/>
    <w:rsid w:val="0035531B"/>
    <w:rsid w:val="00355399"/>
    <w:rsid w:val="0035542E"/>
    <w:rsid w:val="00356B80"/>
    <w:rsid w:val="003574F9"/>
    <w:rsid w:val="00357569"/>
    <w:rsid w:val="003576D0"/>
    <w:rsid w:val="00360FE7"/>
    <w:rsid w:val="003610D3"/>
    <w:rsid w:val="00361152"/>
    <w:rsid w:val="00361203"/>
    <w:rsid w:val="00361392"/>
    <w:rsid w:val="003614EB"/>
    <w:rsid w:val="00361A2C"/>
    <w:rsid w:val="00361CD0"/>
    <w:rsid w:val="00361DBD"/>
    <w:rsid w:val="00361F23"/>
    <w:rsid w:val="00361F29"/>
    <w:rsid w:val="00362072"/>
    <w:rsid w:val="0036209A"/>
    <w:rsid w:val="00362214"/>
    <w:rsid w:val="00362284"/>
    <w:rsid w:val="003623E8"/>
    <w:rsid w:val="00362521"/>
    <w:rsid w:val="00362523"/>
    <w:rsid w:val="00362A02"/>
    <w:rsid w:val="00362ADE"/>
    <w:rsid w:val="00362B13"/>
    <w:rsid w:val="00362CE7"/>
    <w:rsid w:val="003636FB"/>
    <w:rsid w:val="0036398D"/>
    <w:rsid w:val="00363C16"/>
    <w:rsid w:val="003640B3"/>
    <w:rsid w:val="00364190"/>
    <w:rsid w:val="00364232"/>
    <w:rsid w:val="0036465E"/>
    <w:rsid w:val="003646AF"/>
    <w:rsid w:val="00364797"/>
    <w:rsid w:val="003648FE"/>
    <w:rsid w:val="003652DF"/>
    <w:rsid w:val="00365471"/>
    <w:rsid w:val="0036557A"/>
    <w:rsid w:val="003659DB"/>
    <w:rsid w:val="00365D2A"/>
    <w:rsid w:val="00366067"/>
    <w:rsid w:val="00366792"/>
    <w:rsid w:val="00366AD6"/>
    <w:rsid w:val="00366B83"/>
    <w:rsid w:val="00366E88"/>
    <w:rsid w:val="0036730A"/>
    <w:rsid w:val="00367540"/>
    <w:rsid w:val="0036776C"/>
    <w:rsid w:val="00367B3E"/>
    <w:rsid w:val="003703B3"/>
    <w:rsid w:val="00370712"/>
    <w:rsid w:val="00370A9F"/>
    <w:rsid w:val="00370DE2"/>
    <w:rsid w:val="0037113E"/>
    <w:rsid w:val="00371697"/>
    <w:rsid w:val="00371B9A"/>
    <w:rsid w:val="0037204E"/>
    <w:rsid w:val="00372227"/>
    <w:rsid w:val="00372293"/>
    <w:rsid w:val="00372499"/>
    <w:rsid w:val="0037265F"/>
    <w:rsid w:val="00372FCE"/>
    <w:rsid w:val="00372FE8"/>
    <w:rsid w:val="0037332D"/>
    <w:rsid w:val="00373419"/>
    <w:rsid w:val="0037352E"/>
    <w:rsid w:val="0037356C"/>
    <w:rsid w:val="00373911"/>
    <w:rsid w:val="00374310"/>
    <w:rsid w:val="003743EF"/>
    <w:rsid w:val="003743F7"/>
    <w:rsid w:val="00374520"/>
    <w:rsid w:val="00374871"/>
    <w:rsid w:val="003748C6"/>
    <w:rsid w:val="00374A3A"/>
    <w:rsid w:val="00374B51"/>
    <w:rsid w:val="00374C9B"/>
    <w:rsid w:val="00374F52"/>
    <w:rsid w:val="003754D9"/>
    <w:rsid w:val="003755F5"/>
    <w:rsid w:val="003757F7"/>
    <w:rsid w:val="00375B09"/>
    <w:rsid w:val="00375B75"/>
    <w:rsid w:val="00376124"/>
    <w:rsid w:val="003765A0"/>
    <w:rsid w:val="003765F5"/>
    <w:rsid w:val="0037691B"/>
    <w:rsid w:val="00376A8C"/>
    <w:rsid w:val="00376DFE"/>
    <w:rsid w:val="00376E2D"/>
    <w:rsid w:val="00376E58"/>
    <w:rsid w:val="0037707C"/>
    <w:rsid w:val="003772EC"/>
    <w:rsid w:val="0037754C"/>
    <w:rsid w:val="00377AA7"/>
    <w:rsid w:val="00377B7E"/>
    <w:rsid w:val="00377C61"/>
    <w:rsid w:val="00377CAF"/>
    <w:rsid w:val="003801BF"/>
    <w:rsid w:val="003803DE"/>
    <w:rsid w:val="00380FB5"/>
    <w:rsid w:val="00381241"/>
    <w:rsid w:val="003812FD"/>
    <w:rsid w:val="00381481"/>
    <w:rsid w:val="003815DF"/>
    <w:rsid w:val="003816E8"/>
    <w:rsid w:val="00381B8F"/>
    <w:rsid w:val="00381BC3"/>
    <w:rsid w:val="003822D5"/>
    <w:rsid w:val="00382350"/>
    <w:rsid w:val="003823EA"/>
    <w:rsid w:val="003827C4"/>
    <w:rsid w:val="003828B8"/>
    <w:rsid w:val="0038295F"/>
    <w:rsid w:val="00382CAD"/>
    <w:rsid w:val="00382CF3"/>
    <w:rsid w:val="00383016"/>
    <w:rsid w:val="00383074"/>
    <w:rsid w:val="003833C5"/>
    <w:rsid w:val="003836FE"/>
    <w:rsid w:val="00383AC8"/>
    <w:rsid w:val="00383AE6"/>
    <w:rsid w:val="00383B6F"/>
    <w:rsid w:val="0038407F"/>
    <w:rsid w:val="0038446A"/>
    <w:rsid w:val="0038458D"/>
    <w:rsid w:val="00384835"/>
    <w:rsid w:val="00384966"/>
    <w:rsid w:val="00385151"/>
    <w:rsid w:val="00385728"/>
    <w:rsid w:val="003857DF"/>
    <w:rsid w:val="00385CAB"/>
    <w:rsid w:val="00385E29"/>
    <w:rsid w:val="00385FC5"/>
    <w:rsid w:val="003860F0"/>
    <w:rsid w:val="0038636E"/>
    <w:rsid w:val="0038661C"/>
    <w:rsid w:val="00386B16"/>
    <w:rsid w:val="00386CBF"/>
    <w:rsid w:val="00386D7F"/>
    <w:rsid w:val="0038709B"/>
    <w:rsid w:val="003873DB"/>
    <w:rsid w:val="00387B70"/>
    <w:rsid w:val="00387B7A"/>
    <w:rsid w:val="0039012E"/>
    <w:rsid w:val="00390215"/>
    <w:rsid w:val="003903DC"/>
    <w:rsid w:val="00390487"/>
    <w:rsid w:val="003906AB"/>
    <w:rsid w:val="003907C5"/>
    <w:rsid w:val="00390D3F"/>
    <w:rsid w:val="00390F9A"/>
    <w:rsid w:val="00391008"/>
    <w:rsid w:val="003913B0"/>
    <w:rsid w:val="003916D1"/>
    <w:rsid w:val="00391A8F"/>
    <w:rsid w:val="00391AEC"/>
    <w:rsid w:val="00391CBE"/>
    <w:rsid w:val="00391E22"/>
    <w:rsid w:val="003921EA"/>
    <w:rsid w:val="0039228C"/>
    <w:rsid w:val="00392331"/>
    <w:rsid w:val="00392878"/>
    <w:rsid w:val="00392FFE"/>
    <w:rsid w:val="0039310C"/>
    <w:rsid w:val="00393914"/>
    <w:rsid w:val="00393919"/>
    <w:rsid w:val="00393C7A"/>
    <w:rsid w:val="00393E54"/>
    <w:rsid w:val="00393F45"/>
    <w:rsid w:val="00393F70"/>
    <w:rsid w:val="00393FBA"/>
    <w:rsid w:val="00393FE5"/>
    <w:rsid w:val="0039413D"/>
    <w:rsid w:val="0039421D"/>
    <w:rsid w:val="0039444D"/>
    <w:rsid w:val="00394630"/>
    <w:rsid w:val="003946B9"/>
    <w:rsid w:val="00394872"/>
    <w:rsid w:val="00394A96"/>
    <w:rsid w:val="00394C40"/>
    <w:rsid w:val="00394F9E"/>
    <w:rsid w:val="00395805"/>
    <w:rsid w:val="00395A3F"/>
    <w:rsid w:val="00395B0E"/>
    <w:rsid w:val="00395B8E"/>
    <w:rsid w:val="00395E4E"/>
    <w:rsid w:val="00395EC0"/>
    <w:rsid w:val="00396058"/>
    <w:rsid w:val="003961DD"/>
    <w:rsid w:val="00396526"/>
    <w:rsid w:val="003965C5"/>
    <w:rsid w:val="0039681D"/>
    <w:rsid w:val="003969D6"/>
    <w:rsid w:val="00396CB5"/>
    <w:rsid w:val="00396DF4"/>
    <w:rsid w:val="00396F55"/>
    <w:rsid w:val="003971F1"/>
    <w:rsid w:val="003972CF"/>
    <w:rsid w:val="003974C0"/>
    <w:rsid w:val="003975AB"/>
    <w:rsid w:val="00397896"/>
    <w:rsid w:val="00397B30"/>
    <w:rsid w:val="00397F42"/>
    <w:rsid w:val="003A00E4"/>
    <w:rsid w:val="003A014A"/>
    <w:rsid w:val="003A0301"/>
    <w:rsid w:val="003A03DD"/>
    <w:rsid w:val="003A0463"/>
    <w:rsid w:val="003A05AC"/>
    <w:rsid w:val="003A098D"/>
    <w:rsid w:val="003A0BBC"/>
    <w:rsid w:val="003A0C37"/>
    <w:rsid w:val="003A0CFC"/>
    <w:rsid w:val="003A0D76"/>
    <w:rsid w:val="003A0FB0"/>
    <w:rsid w:val="003A0FC2"/>
    <w:rsid w:val="003A110B"/>
    <w:rsid w:val="003A135E"/>
    <w:rsid w:val="003A1587"/>
    <w:rsid w:val="003A1DCE"/>
    <w:rsid w:val="003A1E2A"/>
    <w:rsid w:val="003A1E2E"/>
    <w:rsid w:val="003A1EE5"/>
    <w:rsid w:val="003A1F5F"/>
    <w:rsid w:val="003A25C0"/>
    <w:rsid w:val="003A26F0"/>
    <w:rsid w:val="003A2708"/>
    <w:rsid w:val="003A280A"/>
    <w:rsid w:val="003A2933"/>
    <w:rsid w:val="003A2C48"/>
    <w:rsid w:val="003A310D"/>
    <w:rsid w:val="003A3171"/>
    <w:rsid w:val="003A330E"/>
    <w:rsid w:val="003A3615"/>
    <w:rsid w:val="003A3736"/>
    <w:rsid w:val="003A3795"/>
    <w:rsid w:val="003A3BBF"/>
    <w:rsid w:val="003A3C98"/>
    <w:rsid w:val="003A495A"/>
    <w:rsid w:val="003A4A0E"/>
    <w:rsid w:val="003A4B31"/>
    <w:rsid w:val="003A4F5E"/>
    <w:rsid w:val="003A54E8"/>
    <w:rsid w:val="003A556A"/>
    <w:rsid w:val="003A5691"/>
    <w:rsid w:val="003A5880"/>
    <w:rsid w:val="003A5A8A"/>
    <w:rsid w:val="003A5B42"/>
    <w:rsid w:val="003A621B"/>
    <w:rsid w:val="003A62E5"/>
    <w:rsid w:val="003A6755"/>
    <w:rsid w:val="003A67BF"/>
    <w:rsid w:val="003A6895"/>
    <w:rsid w:val="003A6924"/>
    <w:rsid w:val="003A697C"/>
    <w:rsid w:val="003A6989"/>
    <w:rsid w:val="003A6ABD"/>
    <w:rsid w:val="003A6C14"/>
    <w:rsid w:val="003A6C6A"/>
    <w:rsid w:val="003A745B"/>
    <w:rsid w:val="003A7EEE"/>
    <w:rsid w:val="003A7F83"/>
    <w:rsid w:val="003B0071"/>
    <w:rsid w:val="003B0891"/>
    <w:rsid w:val="003B0A17"/>
    <w:rsid w:val="003B0B9F"/>
    <w:rsid w:val="003B0F5A"/>
    <w:rsid w:val="003B15EA"/>
    <w:rsid w:val="003B1722"/>
    <w:rsid w:val="003B17E0"/>
    <w:rsid w:val="003B2139"/>
    <w:rsid w:val="003B2165"/>
    <w:rsid w:val="003B2216"/>
    <w:rsid w:val="003B2543"/>
    <w:rsid w:val="003B26AE"/>
    <w:rsid w:val="003B27B0"/>
    <w:rsid w:val="003B2A3D"/>
    <w:rsid w:val="003B2C24"/>
    <w:rsid w:val="003B310F"/>
    <w:rsid w:val="003B31BA"/>
    <w:rsid w:val="003B32F3"/>
    <w:rsid w:val="003B3310"/>
    <w:rsid w:val="003B34C4"/>
    <w:rsid w:val="003B353A"/>
    <w:rsid w:val="003B3685"/>
    <w:rsid w:val="003B392C"/>
    <w:rsid w:val="003B3A67"/>
    <w:rsid w:val="003B3B14"/>
    <w:rsid w:val="003B3D63"/>
    <w:rsid w:val="003B3E60"/>
    <w:rsid w:val="003B3EE2"/>
    <w:rsid w:val="003B3FD0"/>
    <w:rsid w:val="003B409F"/>
    <w:rsid w:val="003B410B"/>
    <w:rsid w:val="003B43B4"/>
    <w:rsid w:val="003B4A81"/>
    <w:rsid w:val="003B4B92"/>
    <w:rsid w:val="003B4D07"/>
    <w:rsid w:val="003B4ED7"/>
    <w:rsid w:val="003B5193"/>
    <w:rsid w:val="003B51A5"/>
    <w:rsid w:val="003B5287"/>
    <w:rsid w:val="003B639B"/>
    <w:rsid w:val="003B642D"/>
    <w:rsid w:val="003B6520"/>
    <w:rsid w:val="003B66F9"/>
    <w:rsid w:val="003B6A06"/>
    <w:rsid w:val="003B6C5A"/>
    <w:rsid w:val="003B70A1"/>
    <w:rsid w:val="003B7207"/>
    <w:rsid w:val="003B7307"/>
    <w:rsid w:val="003B730F"/>
    <w:rsid w:val="003B7381"/>
    <w:rsid w:val="003B745D"/>
    <w:rsid w:val="003B74D9"/>
    <w:rsid w:val="003B7621"/>
    <w:rsid w:val="003B7803"/>
    <w:rsid w:val="003B7A9E"/>
    <w:rsid w:val="003B7B4C"/>
    <w:rsid w:val="003B7FF0"/>
    <w:rsid w:val="003C0680"/>
    <w:rsid w:val="003C0CEE"/>
    <w:rsid w:val="003C0EB0"/>
    <w:rsid w:val="003C1047"/>
    <w:rsid w:val="003C134C"/>
    <w:rsid w:val="003C13C0"/>
    <w:rsid w:val="003C155D"/>
    <w:rsid w:val="003C156A"/>
    <w:rsid w:val="003C16C7"/>
    <w:rsid w:val="003C19E0"/>
    <w:rsid w:val="003C1ABB"/>
    <w:rsid w:val="003C20DC"/>
    <w:rsid w:val="003C24CD"/>
    <w:rsid w:val="003C2949"/>
    <w:rsid w:val="003C2BDE"/>
    <w:rsid w:val="003C2FE2"/>
    <w:rsid w:val="003C3129"/>
    <w:rsid w:val="003C317E"/>
    <w:rsid w:val="003C3761"/>
    <w:rsid w:val="003C3CC1"/>
    <w:rsid w:val="003C3E39"/>
    <w:rsid w:val="003C3F03"/>
    <w:rsid w:val="003C3FF2"/>
    <w:rsid w:val="003C4028"/>
    <w:rsid w:val="003C4058"/>
    <w:rsid w:val="003C4215"/>
    <w:rsid w:val="003C423D"/>
    <w:rsid w:val="003C449A"/>
    <w:rsid w:val="003C464A"/>
    <w:rsid w:val="003C48A6"/>
    <w:rsid w:val="003C491E"/>
    <w:rsid w:val="003C4B43"/>
    <w:rsid w:val="003C526E"/>
    <w:rsid w:val="003C543D"/>
    <w:rsid w:val="003C5672"/>
    <w:rsid w:val="003C5DE9"/>
    <w:rsid w:val="003C6436"/>
    <w:rsid w:val="003C68D1"/>
    <w:rsid w:val="003C6BB9"/>
    <w:rsid w:val="003C6D92"/>
    <w:rsid w:val="003C6E99"/>
    <w:rsid w:val="003C6EDF"/>
    <w:rsid w:val="003C7031"/>
    <w:rsid w:val="003C71C1"/>
    <w:rsid w:val="003C727C"/>
    <w:rsid w:val="003C77D9"/>
    <w:rsid w:val="003C7A2C"/>
    <w:rsid w:val="003C7E2C"/>
    <w:rsid w:val="003D0014"/>
    <w:rsid w:val="003D08CF"/>
    <w:rsid w:val="003D098D"/>
    <w:rsid w:val="003D0C9B"/>
    <w:rsid w:val="003D0FE5"/>
    <w:rsid w:val="003D104C"/>
    <w:rsid w:val="003D122F"/>
    <w:rsid w:val="003D178F"/>
    <w:rsid w:val="003D1798"/>
    <w:rsid w:val="003D1F86"/>
    <w:rsid w:val="003D21A3"/>
    <w:rsid w:val="003D23EF"/>
    <w:rsid w:val="003D27AB"/>
    <w:rsid w:val="003D2CFA"/>
    <w:rsid w:val="003D31F6"/>
    <w:rsid w:val="003D352A"/>
    <w:rsid w:val="003D3701"/>
    <w:rsid w:val="003D37F2"/>
    <w:rsid w:val="003D37F4"/>
    <w:rsid w:val="003D3AA5"/>
    <w:rsid w:val="003D3B0B"/>
    <w:rsid w:val="003D3C39"/>
    <w:rsid w:val="003D3D78"/>
    <w:rsid w:val="003D3EE8"/>
    <w:rsid w:val="003D41AA"/>
    <w:rsid w:val="003D44F2"/>
    <w:rsid w:val="003D466D"/>
    <w:rsid w:val="003D47E6"/>
    <w:rsid w:val="003D5132"/>
    <w:rsid w:val="003D542D"/>
    <w:rsid w:val="003D558F"/>
    <w:rsid w:val="003D602D"/>
    <w:rsid w:val="003D638C"/>
    <w:rsid w:val="003D6471"/>
    <w:rsid w:val="003D6493"/>
    <w:rsid w:val="003D67E6"/>
    <w:rsid w:val="003D693C"/>
    <w:rsid w:val="003D6BE5"/>
    <w:rsid w:val="003D6E99"/>
    <w:rsid w:val="003D71D5"/>
    <w:rsid w:val="003D737E"/>
    <w:rsid w:val="003D73B0"/>
    <w:rsid w:val="003D7521"/>
    <w:rsid w:val="003D765F"/>
    <w:rsid w:val="003D78F6"/>
    <w:rsid w:val="003D7C97"/>
    <w:rsid w:val="003D7E7D"/>
    <w:rsid w:val="003E028C"/>
    <w:rsid w:val="003E0363"/>
    <w:rsid w:val="003E0778"/>
    <w:rsid w:val="003E0916"/>
    <w:rsid w:val="003E0FFB"/>
    <w:rsid w:val="003E1051"/>
    <w:rsid w:val="003E10DF"/>
    <w:rsid w:val="003E135E"/>
    <w:rsid w:val="003E1813"/>
    <w:rsid w:val="003E1A2F"/>
    <w:rsid w:val="003E1A97"/>
    <w:rsid w:val="003E1B97"/>
    <w:rsid w:val="003E1BBD"/>
    <w:rsid w:val="003E1C32"/>
    <w:rsid w:val="003E1C97"/>
    <w:rsid w:val="003E226C"/>
    <w:rsid w:val="003E22A0"/>
    <w:rsid w:val="003E2328"/>
    <w:rsid w:val="003E2335"/>
    <w:rsid w:val="003E25C9"/>
    <w:rsid w:val="003E2665"/>
    <w:rsid w:val="003E2735"/>
    <w:rsid w:val="003E2DB6"/>
    <w:rsid w:val="003E32CE"/>
    <w:rsid w:val="003E340B"/>
    <w:rsid w:val="003E3486"/>
    <w:rsid w:val="003E39B3"/>
    <w:rsid w:val="003E3A7E"/>
    <w:rsid w:val="003E3BBE"/>
    <w:rsid w:val="003E3C47"/>
    <w:rsid w:val="003E403D"/>
    <w:rsid w:val="003E4092"/>
    <w:rsid w:val="003E40FE"/>
    <w:rsid w:val="003E42D4"/>
    <w:rsid w:val="003E44DD"/>
    <w:rsid w:val="003E4502"/>
    <w:rsid w:val="003E48CA"/>
    <w:rsid w:val="003E4F47"/>
    <w:rsid w:val="003E53E5"/>
    <w:rsid w:val="003E5403"/>
    <w:rsid w:val="003E5570"/>
    <w:rsid w:val="003E567D"/>
    <w:rsid w:val="003E57C4"/>
    <w:rsid w:val="003E58F1"/>
    <w:rsid w:val="003E5EFC"/>
    <w:rsid w:val="003E60DA"/>
    <w:rsid w:val="003E617A"/>
    <w:rsid w:val="003E6285"/>
    <w:rsid w:val="003E6956"/>
    <w:rsid w:val="003E6C2E"/>
    <w:rsid w:val="003E7043"/>
    <w:rsid w:val="003E754C"/>
    <w:rsid w:val="003E768B"/>
    <w:rsid w:val="003E787B"/>
    <w:rsid w:val="003E7AE2"/>
    <w:rsid w:val="003E7C93"/>
    <w:rsid w:val="003E7CAA"/>
    <w:rsid w:val="003E7F77"/>
    <w:rsid w:val="003F002F"/>
    <w:rsid w:val="003F050D"/>
    <w:rsid w:val="003F07CC"/>
    <w:rsid w:val="003F08A5"/>
    <w:rsid w:val="003F0BE6"/>
    <w:rsid w:val="003F0CAE"/>
    <w:rsid w:val="003F10F7"/>
    <w:rsid w:val="003F1186"/>
    <w:rsid w:val="003F1A9C"/>
    <w:rsid w:val="003F1D68"/>
    <w:rsid w:val="003F212C"/>
    <w:rsid w:val="003F26C8"/>
    <w:rsid w:val="003F27FB"/>
    <w:rsid w:val="003F297A"/>
    <w:rsid w:val="003F2B0C"/>
    <w:rsid w:val="003F2B66"/>
    <w:rsid w:val="003F2B7F"/>
    <w:rsid w:val="003F2D5A"/>
    <w:rsid w:val="003F2D68"/>
    <w:rsid w:val="003F2E3E"/>
    <w:rsid w:val="003F2E51"/>
    <w:rsid w:val="003F31C9"/>
    <w:rsid w:val="003F3248"/>
    <w:rsid w:val="003F353A"/>
    <w:rsid w:val="003F381C"/>
    <w:rsid w:val="003F394C"/>
    <w:rsid w:val="003F39D8"/>
    <w:rsid w:val="003F3A7F"/>
    <w:rsid w:val="003F3BB8"/>
    <w:rsid w:val="003F40C8"/>
    <w:rsid w:val="003F441C"/>
    <w:rsid w:val="003F49E7"/>
    <w:rsid w:val="003F4CA7"/>
    <w:rsid w:val="003F4D30"/>
    <w:rsid w:val="003F4E2A"/>
    <w:rsid w:val="003F4EEF"/>
    <w:rsid w:val="003F506D"/>
    <w:rsid w:val="003F51DF"/>
    <w:rsid w:val="003F5316"/>
    <w:rsid w:val="003F5748"/>
    <w:rsid w:val="003F5DFF"/>
    <w:rsid w:val="003F68DE"/>
    <w:rsid w:val="003F69B9"/>
    <w:rsid w:val="003F69C9"/>
    <w:rsid w:val="003F6FE8"/>
    <w:rsid w:val="003F72F0"/>
    <w:rsid w:val="003F744E"/>
    <w:rsid w:val="003F7481"/>
    <w:rsid w:val="003F748D"/>
    <w:rsid w:val="003F7650"/>
    <w:rsid w:val="003F7792"/>
    <w:rsid w:val="003F7855"/>
    <w:rsid w:val="003F7967"/>
    <w:rsid w:val="003F7986"/>
    <w:rsid w:val="003FFE4E"/>
    <w:rsid w:val="004006FB"/>
    <w:rsid w:val="00400ADF"/>
    <w:rsid w:val="00400BDD"/>
    <w:rsid w:val="00400C69"/>
    <w:rsid w:val="00400FDF"/>
    <w:rsid w:val="004010B9"/>
    <w:rsid w:val="00401537"/>
    <w:rsid w:val="00401601"/>
    <w:rsid w:val="004017AA"/>
    <w:rsid w:val="004019A3"/>
    <w:rsid w:val="00401A36"/>
    <w:rsid w:val="00401AE1"/>
    <w:rsid w:val="00401EA5"/>
    <w:rsid w:val="00402186"/>
    <w:rsid w:val="004021B7"/>
    <w:rsid w:val="004023F3"/>
    <w:rsid w:val="004024FE"/>
    <w:rsid w:val="00402E24"/>
    <w:rsid w:val="004030A3"/>
    <w:rsid w:val="004030FE"/>
    <w:rsid w:val="00403275"/>
    <w:rsid w:val="00403301"/>
    <w:rsid w:val="00403545"/>
    <w:rsid w:val="004036EB"/>
    <w:rsid w:val="0040381D"/>
    <w:rsid w:val="00403C84"/>
    <w:rsid w:val="00403D2D"/>
    <w:rsid w:val="00403F2C"/>
    <w:rsid w:val="00403F6A"/>
    <w:rsid w:val="00404091"/>
    <w:rsid w:val="00404105"/>
    <w:rsid w:val="004041FA"/>
    <w:rsid w:val="00404CFA"/>
    <w:rsid w:val="00404D1D"/>
    <w:rsid w:val="00404E9B"/>
    <w:rsid w:val="00405256"/>
    <w:rsid w:val="00405654"/>
    <w:rsid w:val="004057D7"/>
    <w:rsid w:val="00405D3B"/>
    <w:rsid w:val="00405EED"/>
    <w:rsid w:val="00405F37"/>
    <w:rsid w:val="0040621C"/>
    <w:rsid w:val="004062CC"/>
    <w:rsid w:val="00406328"/>
    <w:rsid w:val="00406488"/>
    <w:rsid w:val="004064E4"/>
    <w:rsid w:val="00406561"/>
    <w:rsid w:val="004065EE"/>
    <w:rsid w:val="00406730"/>
    <w:rsid w:val="0040688F"/>
    <w:rsid w:val="00406F29"/>
    <w:rsid w:val="004070E6"/>
    <w:rsid w:val="004072BC"/>
    <w:rsid w:val="00407340"/>
    <w:rsid w:val="004076E3"/>
    <w:rsid w:val="004078F9"/>
    <w:rsid w:val="00407C00"/>
    <w:rsid w:val="00407F5E"/>
    <w:rsid w:val="00407F9A"/>
    <w:rsid w:val="0041065B"/>
    <w:rsid w:val="00410707"/>
    <w:rsid w:val="0041082C"/>
    <w:rsid w:val="004108C8"/>
    <w:rsid w:val="00410C42"/>
    <w:rsid w:val="00411391"/>
    <w:rsid w:val="00411410"/>
    <w:rsid w:val="00411968"/>
    <w:rsid w:val="00411B0A"/>
    <w:rsid w:val="00411DB6"/>
    <w:rsid w:val="00411E37"/>
    <w:rsid w:val="00411E9D"/>
    <w:rsid w:val="00411EA3"/>
    <w:rsid w:val="00411EBF"/>
    <w:rsid w:val="00412252"/>
    <w:rsid w:val="0041283A"/>
    <w:rsid w:val="00412A66"/>
    <w:rsid w:val="00412AAC"/>
    <w:rsid w:val="00413086"/>
    <w:rsid w:val="0041367E"/>
    <w:rsid w:val="004137FA"/>
    <w:rsid w:val="00413B2E"/>
    <w:rsid w:val="00413B90"/>
    <w:rsid w:val="0041443D"/>
    <w:rsid w:val="00414441"/>
    <w:rsid w:val="00414774"/>
    <w:rsid w:val="004148E5"/>
    <w:rsid w:val="004149F4"/>
    <w:rsid w:val="00414B7A"/>
    <w:rsid w:val="00415029"/>
    <w:rsid w:val="004150E3"/>
    <w:rsid w:val="0041515D"/>
    <w:rsid w:val="00415825"/>
    <w:rsid w:val="00415858"/>
    <w:rsid w:val="00415B57"/>
    <w:rsid w:val="00415E03"/>
    <w:rsid w:val="004161FC"/>
    <w:rsid w:val="004162FB"/>
    <w:rsid w:val="0041659F"/>
    <w:rsid w:val="0041661B"/>
    <w:rsid w:val="00416AB6"/>
    <w:rsid w:val="00416BAB"/>
    <w:rsid w:val="00416D68"/>
    <w:rsid w:val="00417318"/>
    <w:rsid w:val="0041731D"/>
    <w:rsid w:val="0041735C"/>
    <w:rsid w:val="00417443"/>
    <w:rsid w:val="004174B9"/>
    <w:rsid w:val="0041797E"/>
    <w:rsid w:val="00417E8B"/>
    <w:rsid w:val="00417F47"/>
    <w:rsid w:val="004200E6"/>
    <w:rsid w:val="004201AC"/>
    <w:rsid w:val="00420228"/>
    <w:rsid w:val="004203DD"/>
    <w:rsid w:val="00420824"/>
    <w:rsid w:val="00420855"/>
    <w:rsid w:val="00420A2A"/>
    <w:rsid w:val="00420BC1"/>
    <w:rsid w:val="00420CF0"/>
    <w:rsid w:val="004211D1"/>
    <w:rsid w:val="00421207"/>
    <w:rsid w:val="004214C3"/>
    <w:rsid w:val="00421834"/>
    <w:rsid w:val="00421BCC"/>
    <w:rsid w:val="00421EDC"/>
    <w:rsid w:val="004220F0"/>
    <w:rsid w:val="004221C8"/>
    <w:rsid w:val="004221F1"/>
    <w:rsid w:val="00422250"/>
    <w:rsid w:val="004222C1"/>
    <w:rsid w:val="004222EF"/>
    <w:rsid w:val="004226ED"/>
    <w:rsid w:val="00422705"/>
    <w:rsid w:val="00422CDE"/>
    <w:rsid w:val="004230B6"/>
    <w:rsid w:val="00423476"/>
    <w:rsid w:val="004235AE"/>
    <w:rsid w:val="0042365D"/>
    <w:rsid w:val="0042371E"/>
    <w:rsid w:val="00423888"/>
    <w:rsid w:val="004239A3"/>
    <w:rsid w:val="00423B12"/>
    <w:rsid w:val="00423C6D"/>
    <w:rsid w:val="00424068"/>
    <w:rsid w:val="00424423"/>
    <w:rsid w:val="00424C23"/>
    <w:rsid w:val="00424D85"/>
    <w:rsid w:val="00425396"/>
    <w:rsid w:val="004253AA"/>
    <w:rsid w:val="004254C2"/>
    <w:rsid w:val="0042572B"/>
    <w:rsid w:val="004257B7"/>
    <w:rsid w:val="00425B8B"/>
    <w:rsid w:val="00425C2A"/>
    <w:rsid w:val="00425D67"/>
    <w:rsid w:val="0042603C"/>
    <w:rsid w:val="00426364"/>
    <w:rsid w:val="004263FD"/>
    <w:rsid w:val="004266A6"/>
    <w:rsid w:val="00426811"/>
    <w:rsid w:val="00426A46"/>
    <w:rsid w:val="00426C06"/>
    <w:rsid w:val="00427678"/>
    <w:rsid w:val="004276AB"/>
    <w:rsid w:val="004277AF"/>
    <w:rsid w:val="00427B8E"/>
    <w:rsid w:val="00427DB0"/>
    <w:rsid w:val="00427E06"/>
    <w:rsid w:val="00427EE6"/>
    <w:rsid w:val="00427F6F"/>
    <w:rsid w:val="004300D2"/>
    <w:rsid w:val="00430438"/>
    <w:rsid w:val="00430573"/>
    <w:rsid w:val="004309F4"/>
    <w:rsid w:val="00430B37"/>
    <w:rsid w:val="0043102A"/>
    <w:rsid w:val="0043118D"/>
    <w:rsid w:val="004311DB"/>
    <w:rsid w:val="00431623"/>
    <w:rsid w:val="00431827"/>
    <w:rsid w:val="004319C9"/>
    <w:rsid w:val="004319D5"/>
    <w:rsid w:val="00431A69"/>
    <w:rsid w:val="00431A6C"/>
    <w:rsid w:val="00431A91"/>
    <w:rsid w:val="00431B32"/>
    <w:rsid w:val="00431D9E"/>
    <w:rsid w:val="00431E95"/>
    <w:rsid w:val="00431F2A"/>
    <w:rsid w:val="004324B9"/>
    <w:rsid w:val="004328DA"/>
    <w:rsid w:val="0043292B"/>
    <w:rsid w:val="00432C20"/>
    <w:rsid w:val="00432C6D"/>
    <w:rsid w:val="00432D24"/>
    <w:rsid w:val="004330B5"/>
    <w:rsid w:val="004334B3"/>
    <w:rsid w:val="004335D1"/>
    <w:rsid w:val="0043361C"/>
    <w:rsid w:val="00433854"/>
    <w:rsid w:val="00433BA8"/>
    <w:rsid w:val="00433BC3"/>
    <w:rsid w:val="00433BF2"/>
    <w:rsid w:val="00433D91"/>
    <w:rsid w:val="0043437D"/>
    <w:rsid w:val="00434472"/>
    <w:rsid w:val="00434556"/>
    <w:rsid w:val="0043466C"/>
    <w:rsid w:val="00434E09"/>
    <w:rsid w:val="00434F04"/>
    <w:rsid w:val="00434F5B"/>
    <w:rsid w:val="00435033"/>
    <w:rsid w:val="004352F1"/>
    <w:rsid w:val="0043590A"/>
    <w:rsid w:val="00435925"/>
    <w:rsid w:val="00435BC7"/>
    <w:rsid w:val="00435CF6"/>
    <w:rsid w:val="00436158"/>
    <w:rsid w:val="0043615A"/>
    <w:rsid w:val="004364F0"/>
    <w:rsid w:val="0043677D"/>
    <w:rsid w:val="004367CA"/>
    <w:rsid w:val="00436913"/>
    <w:rsid w:val="004369E0"/>
    <w:rsid w:val="00436E6C"/>
    <w:rsid w:val="00436FDB"/>
    <w:rsid w:val="0043709E"/>
    <w:rsid w:val="00437120"/>
    <w:rsid w:val="0043725F"/>
    <w:rsid w:val="004377F7"/>
    <w:rsid w:val="0043784D"/>
    <w:rsid w:val="0043790E"/>
    <w:rsid w:val="00437AF5"/>
    <w:rsid w:val="00437B4B"/>
    <w:rsid w:val="00437C8A"/>
    <w:rsid w:val="00437DA1"/>
    <w:rsid w:val="00437F84"/>
    <w:rsid w:val="00440F38"/>
    <w:rsid w:val="004412F2"/>
    <w:rsid w:val="0044154E"/>
    <w:rsid w:val="004415FB"/>
    <w:rsid w:val="0044168B"/>
    <w:rsid w:val="00441760"/>
    <w:rsid w:val="00441898"/>
    <w:rsid w:val="00441D19"/>
    <w:rsid w:val="00441F73"/>
    <w:rsid w:val="0044213C"/>
    <w:rsid w:val="00442230"/>
    <w:rsid w:val="0044256B"/>
    <w:rsid w:val="004431E6"/>
    <w:rsid w:val="00443501"/>
    <w:rsid w:val="00443C30"/>
    <w:rsid w:val="00443E5C"/>
    <w:rsid w:val="0044400B"/>
    <w:rsid w:val="004443B9"/>
    <w:rsid w:val="0044480E"/>
    <w:rsid w:val="0044489D"/>
    <w:rsid w:val="00444C53"/>
    <w:rsid w:val="0044523E"/>
    <w:rsid w:val="004454CF"/>
    <w:rsid w:val="00445840"/>
    <w:rsid w:val="00445878"/>
    <w:rsid w:val="00445894"/>
    <w:rsid w:val="00445896"/>
    <w:rsid w:val="00445BCD"/>
    <w:rsid w:val="00445CA9"/>
    <w:rsid w:val="00445E9D"/>
    <w:rsid w:val="004460F9"/>
    <w:rsid w:val="0044614E"/>
    <w:rsid w:val="004465A8"/>
    <w:rsid w:val="004465E4"/>
    <w:rsid w:val="00446C6A"/>
    <w:rsid w:val="00446C7E"/>
    <w:rsid w:val="00446EC0"/>
    <w:rsid w:val="00446EF6"/>
    <w:rsid w:val="00446F53"/>
    <w:rsid w:val="00446F99"/>
    <w:rsid w:val="00447079"/>
    <w:rsid w:val="0044792D"/>
    <w:rsid w:val="00447AF8"/>
    <w:rsid w:val="00447B3D"/>
    <w:rsid w:val="0045006F"/>
    <w:rsid w:val="0045057F"/>
    <w:rsid w:val="004507AB"/>
    <w:rsid w:val="00450A49"/>
    <w:rsid w:val="00450EFF"/>
    <w:rsid w:val="00451061"/>
    <w:rsid w:val="00451572"/>
    <w:rsid w:val="0045168F"/>
    <w:rsid w:val="00451956"/>
    <w:rsid w:val="0045195F"/>
    <w:rsid w:val="00451A86"/>
    <w:rsid w:val="00451E0F"/>
    <w:rsid w:val="00451E60"/>
    <w:rsid w:val="00451EB9"/>
    <w:rsid w:val="00451F4B"/>
    <w:rsid w:val="004526DE"/>
    <w:rsid w:val="00452BCC"/>
    <w:rsid w:val="00452F7D"/>
    <w:rsid w:val="00453024"/>
    <w:rsid w:val="00453231"/>
    <w:rsid w:val="0045360A"/>
    <w:rsid w:val="00453AE5"/>
    <w:rsid w:val="00453BCB"/>
    <w:rsid w:val="00453C11"/>
    <w:rsid w:val="00453C7F"/>
    <w:rsid w:val="004540C6"/>
    <w:rsid w:val="004540D8"/>
    <w:rsid w:val="004544C2"/>
    <w:rsid w:val="0045472F"/>
    <w:rsid w:val="004548B3"/>
    <w:rsid w:val="00454A34"/>
    <w:rsid w:val="00454A48"/>
    <w:rsid w:val="00454E18"/>
    <w:rsid w:val="004551B5"/>
    <w:rsid w:val="00455416"/>
    <w:rsid w:val="004555B3"/>
    <w:rsid w:val="004557FC"/>
    <w:rsid w:val="004559C6"/>
    <w:rsid w:val="00455CD9"/>
    <w:rsid w:val="004561B6"/>
    <w:rsid w:val="0045652C"/>
    <w:rsid w:val="004566A3"/>
    <w:rsid w:val="00456823"/>
    <w:rsid w:val="0045762E"/>
    <w:rsid w:val="00457CA3"/>
    <w:rsid w:val="00457FBD"/>
    <w:rsid w:val="00460242"/>
    <w:rsid w:val="00460311"/>
    <w:rsid w:val="00460372"/>
    <w:rsid w:val="00460490"/>
    <w:rsid w:val="00460664"/>
    <w:rsid w:val="00460ACD"/>
    <w:rsid w:val="00460AFE"/>
    <w:rsid w:val="00461046"/>
    <w:rsid w:val="0046124A"/>
    <w:rsid w:val="00461683"/>
    <w:rsid w:val="00461859"/>
    <w:rsid w:val="00461B25"/>
    <w:rsid w:val="00461C86"/>
    <w:rsid w:val="00461CB3"/>
    <w:rsid w:val="00462526"/>
    <w:rsid w:val="0046264E"/>
    <w:rsid w:val="0046286C"/>
    <w:rsid w:val="004628DB"/>
    <w:rsid w:val="00462C3B"/>
    <w:rsid w:val="00462E63"/>
    <w:rsid w:val="0046301C"/>
    <w:rsid w:val="004632C5"/>
    <w:rsid w:val="004634C6"/>
    <w:rsid w:val="004636F4"/>
    <w:rsid w:val="004638DC"/>
    <w:rsid w:val="00463A16"/>
    <w:rsid w:val="00463BB6"/>
    <w:rsid w:val="00463C03"/>
    <w:rsid w:val="00463CDD"/>
    <w:rsid w:val="00463CEE"/>
    <w:rsid w:val="00463D8A"/>
    <w:rsid w:val="0046415F"/>
    <w:rsid w:val="004644EA"/>
    <w:rsid w:val="004647B4"/>
    <w:rsid w:val="00464D2B"/>
    <w:rsid w:val="00464F6D"/>
    <w:rsid w:val="00464FC5"/>
    <w:rsid w:val="0046501A"/>
    <w:rsid w:val="004650A3"/>
    <w:rsid w:val="00465249"/>
    <w:rsid w:val="00465440"/>
    <w:rsid w:val="004660F2"/>
    <w:rsid w:val="00466594"/>
    <w:rsid w:val="0046670F"/>
    <w:rsid w:val="00466ACE"/>
    <w:rsid w:val="00466C90"/>
    <w:rsid w:val="00466FFB"/>
    <w:rsid w:val="0046714D"/>
    <w:rsid w:val="00467174"/>
    <w:rsid w:val="00467357"/>
    <w:rsid w:val="004675DB"/>
    <w:rsid w:val="004675EC"/>
    <w:rsid w:val="00467914"/>
    <w:rsid w:val="0046792C"/>
    <w:rsid w:val="00467B2E"/>
    <w:rsid w:val="00467BD9"/>
    <w:rsid w:val="00467C60"/>
    <w:rsid w:val="00467FBF"/>
    <w:rsid w:val="00470063"/>
    <w:rsid w:val="00470286"/>
    <w:rsid w:val="004705BC"/>
    <w:rsid w:val="00470728"/>
    <w:rsid w:val="004707BF"/>
    <w:rsid w:val="004709E0"/>
    <w:rsid w:val="00470C91"/>
    <w:rsid w:val="00470EC5"/>
    <w:rsid w:val="00470FDF"/>
    <w:rsid w:val="004714E6"/>
    <w:rsid w:val="004715DD"/>
    <w:rsid w:val="0047170A"/>
    <w:rsid w:val="0047173C"/>
    <w:rsid w:val="00471742"/>
    <w:rsid w:val="004718BE"/>
    <w:rsid w:val="00471915"/>
    <w:rsid w:val="004719F3"/>
    <w:rsid w:val="00472725"/>
    <w:rsid w:val="00472985"/>
    <w:rsid w:val="00472986"/>
    <w:rsid w:val="00472C37"/>
    <w:rsid w:val="00472C9C"/>
    <w:rsid w:val="00472CCF"/>
    <w:rsid w:val="00472E7B"/>
    <w:rsid w:val="00472EA2"/>
    <w:rsid w:val="0047312C"/>
    <w:rsid w:val="004731B4"/>
    <w:rsid w:val="004735D1"/>
    <w:rsid w:val="004736C2"/>
    <w:rsid w:val="00473734"/>
    <w:rsid w:val="004738EC"/>
    <w:rsid w:val="00473A1F"/>
    <w:rsid w:val="00473E92"/>
    <w:rsid w:val="00473F34"/>
    <w:rsid w:val="004742FD"/>
    <w:rsid w:val="0047445B"/>
    <w:rsid w:val="0047486F"/>
    <w:rsid w:val="00474A9D"/>
    <w:rsid w:val="00474BEC"/>
    <w:rsid w:val="00474F4A"/>
    <w:rsid w:val="00475066"/>
    <w:rsid w:val="00475333"/>
    <w:rsid w:val="00475711"/>
    <w:rsid w:val="004759D9"/>
    <w:rsid w:val="00475BF8"/>
    <w:rsid w:val="00476003"/>
    <w:rsid w:val="00476916"/>
    <w:rsid w:val="00476A93"/>
    <w:rsid w:val="00476C9C"/>
    <w:rsid w:val="00477001"/>
    <w:rsid w:val="004774EE"/>
    <w:rsid w:val="004775E2"/>
    <w:rsid w:val="004776FC"/>
    <w:rsid w:val="004802FF"/>
    <w:rsid w:val="00480325"/>
    <w:rsid w:val="004805DB"/>
    <w:rsid w:val="00480653"/>
    <w:rsid w:val="0048093E"/>
    <w:rsid w:val="00480A35"/>
    <w:rsid w:val="00480C27"/>
    <w:rsid w:val="00480C75"/>
    <w:rsid w:val="0048101C"/>
    <w:rsid w:val="004811D8"/>
    <w:rsid w:val="00481784"/>
    <w:rsid w:val="004817CA"/>
    <w:rsid w:val="00481818"/>
    <w:rsid w:val="00481A21"/>
    <w:rsid w:val="00481BD8"/>
    <w:rsid w:val="00481E89"/>
    <w:rsid w:val="0048223E"/>
    <w:rsid w:val="0048233A"/>
    <w:rsid w:val="00482377"/>
    <w:rsid w:val="0048245A"/>
    <w:rsid w:val="004825EF"/>
    <w:rsid w:val="00482607"/>
    <w:rsid w:val="00482701"/>
    <w:rsid w:val="00482827"/>
    <w:rsid w:val="00482AB8"/>
    <w:rsid w:val="00482C00"/>
    <w:rsid w:val="00482C1D"/>
    <w:rsid w:val="00482CD9"/>
    <w:rsid w:val="00482D0B"/>
    <w:rsid w:val="00482D13"/>
    <w:rsid w:val="00482FEE"/>
    <w:rsid w:val="004830E6"/>
    <w:rsid w:val="0048335F"/>
    <w:rsid w:val="0048362B"/>
    <w:rsid w:val="004836D7"/>
    <w:rsid w:val="00483808"/>
    <w:rsid w:val="0048382F"/>
    <w:rsid w:val="00483B42"/>
    <w:rsid w:val="00483CA5"/>
    <w:rsid w:val="00483D20"/>
    <w:rsid w:val="00484329"/>
    <w:rsid w:val="0048461D"/>
    <w:rsid w:val="00484799"/>
    <w:rsid w:val="004847DB"/>
    <w:rsid w:val="00484BEB"/>
    <w:rsid w:val="00484E0A"/>
    <w:rsid w:val="00484EB1"/>
    <w:rsid w:val="00484F29"/>
    <w:rsid w:val="004851B8"/>
    <w:rsid w:val="00485461"/>
    <w:rsid w:val="004854CF"/>
    <w:rsid w:val="00485821"/>
    <w:rsid w:val="00485834"/>
    <w:rsid w:val="00485BCD"/>
    <w:rsid w:val="00485D01"/>
    <w:rsid w:val="00485DD2"/>
    <w:rsid w:val="00485EE3"/>
    <w:rsid w:val="004860DD"/>
    <w:rsid w:val="00486248"/>
    <w:rsid w:val="00486C9E"/>
    <w:rsid w:val="00486D58"/>
    <w:rsid w:val="00486D68"/>
    <w:rsid w:val="00486F75"/>
    <w:rsid w:val="00487424"/>
    <w:rsid w:val="004875AC"/>
    <w:rsid w:val="00487694"/>
    <w:rsid w:val="00487791"/>
    <w:rsid w:val="00487D26"/>
    <w:rsid w:val="00487FBB"/>
    <w:rsid w:val="00490038"/>
    <w:rsid w:val="004904ED"/>
    <w:rsid w:val="00490CD3"/>
    <w:rsid w:val="00490D34"/>
    <w:rsid w:val="00490F06"/>
    <w:rsid w:val="0049118F"/>
    <w:rsid w:val="004915ED"/>
    <w:rsid w:val="004916D1"/>
    <w:rsid w:val="00491BA2"/>
    <w:rsid w:val="00491D5E"/>
    <w:rsid w:val="00492120"/>
    <w:rsid w:val="00492309"/>
    <w:rsid w:val="004923E7"/>
    <w:rsid w:val="00492529"/>
    <w:rsid w:val="004925D0"/>
    <w:rsid w:val="00492694"/>
    <w:rsid w:val="00492776"/>
    <w:rsid w:val="00492A9B"/>
    <w:rsid w:val="00493112"/>
    <w:rsid w:val="00493342"/>
    <w:rsid w:val="00493657"/>
    <w:rsid w:val="004939D3"/>
    <w:rsid w:val="00493AEA"/>
    <w:rsid w:val="00493DBD"/>
    <w:rsid w:val="00494903"/>
    <w:rsid w:val="004949F2"/>
    <w:rsid w:val="00494A54"/>
    <w:rsid w:val="00495131"/>
    <w:rsid w:val="004951B7"/>
    <w:rsid w:val="00495407"/>
    <w:rsid w:val="004957F9"/>
    <w:rsid w:val="004958F5"/>
    <w:rsid w:val="00495938"/>
    <w:rsid w:val="00495B95"/>
    <w:rsid w:val="00495CA3"/>
    <w:rsid w:val="00495D8A"/>
    <w:rsid w:val="00495DE6"/>
    <w:rsid w:val="00496013"/>
    <w:rsid w:val="0049683C"/>
    <w:rsid w:val="00496845"/>
    <w:rsid w:val="004968B3"/>
    <w:rsid w:val="00496A59"/>
    <w:rsid w:val="00496A78"/>
    <w:rsid w:val="00496D06"/>
    <w:rsid w:val="004974D1"/>
    <w:rsid w:val="00497688"/>
    <w:rsid w:val="004976AB"/>
    <w:rsid w:val="0049785E"/>
    <w:rsid w:val="00497B87"/>
    <w:rsid w:val="00497F5C"/>
    <w:rsid w:val="00497FBA"/>
    <w:rsid w:val="004A01DE"/>
    <w:rsid w:val="004A01E4"/>
    <w:rsid w:val="004A02DA"/>
    <w:rsid w:val="004A0469"/>
    <w:rsid w:val="004A0588"/>
    <w:rsid w:val="004A09E4"/>
    <w:rsid w:val="004A0BDD"/>
    <w:rsid w:val="004A0CEB"/>
    <w:rsid w:val="004A1146"/>
    <w:rsid w:val="004A120B"/>
    <w:rsid w:val="004A1E50"/>
    <w:rsid w:val="004A1FD4"/>
    <w:rsid w:val="004A21D4"/>
    <w:rsid w:val="004A2729"/>
    <w:rsid w:val="004A2804"/>
    <w:rsid w:val="004A293E"/>
    <w:rsid w:val="004A29D4"/>
    <w:rsid w:val="004A2B8E"/>
    <w:rsid w:val="004A2CE8"/>
    <w:rsid w:val="004A2F8C"/>
    <w:rsid w:val="004A318E"/>
    <w:rsid w:val="004A31C9"/>
    <w:rsid w:val="004A3220"/>
    <w:rsid w:val="004A35D4"/>
    <w:rsid w:val="004A3754"/>
    <w:rsid w:val="004A3976"/>
    <w:rsid w:val="004A3A55"/>
    <w:rsid w:val="004A3C27"/>
    <w:rsid w:val="004A3D08"/>
    <w:rsid w:val="004A3D98"/>
    <w:rsid w:val="004A3E45"/>
    <w:rsid w:val="004A425D"/>
    <w:rsid w:val="004A4603"/>
    <w:rsid w:val="004A4794"/>
    <w:rsid w:val="004A48ED"/>
    <w:rsid w:val="004A4DBB"/>
    <w:rsid w:val="004A4FC6"/>
    <w:rsid w:val="004A51F9"/>
    <w:rsid w:val="004A54AA"/>
    <w:rsid w:val="004A55DE"/>
    <w:rsid w:val="004A59B1"/>
    <w:rsid w:val="004A59DB"/>
    <w:rsid w:val="004A5BAB"/>
    <w:rsid w:val="004A5BB7"/>
    <w:rsid w:val="004A5D83"/>
    <w:rsid w:val="004A5DD6"/>
    <w:rsid w:val="004A5E36"/>
    <w:rsid w:val="004A5E4C"/>
    <w:rsid w:val="004A5EFD"/>
    <w:rsid w:val="004A6070"/>
    <w:rsid w:val="004A6337"/>
    <w:rsid w:val="004A64FF"/>
    <w:rsid w:val="004A6519"/>
    <w:rsid w:val="004A65B5"/>
    <w:rsid w:val="004A7084"/>
    <w:rsid w:val="004A70A1"/>
    <w:rsid w:val="004A7267"/>
    <w:rsid w:val="004A7514"/>
    <w:rsid w:val="004A7833"/>
    <w:rsid w:val="004A788C"/>
    <w:rsid w:val="004A78D8"/>
    <w:rsid w:val="004A7A54"/>
    <w:rsid w:val="004A7ABD"/>
    <w:rsid w:val="004A7C77"/>
    <w:rsid w:val="004B011F"/>
    <w:rsid w:val="004B041F"/>
    <w:rsid w:val="004B05D2"/>
    <w:rsid w:val="004B06D4"/>
    <w:rsid w:val="004B0B51"/>
    <w:rsid w:val="004B0B63"/>
    <w:rsid w:val="004B0BA4"/>
    <w:rsid w:val="004B0FF4"/>
    <w:rsid w:val="004B10FF"/>
    <w:rsid w:val="004B14C8"/>
    <w:rsid w:val="004B14DB"/>
    <w:rsid w:val="004B157D"/>
    <w:rsid w:val="004B16DF"/>
    <w:rsid w:val="004B17FD"/>
    <w:rsid w:val="004B1804"/>
    <w:rsid w:val="004B180B"/>
    <w:rsid w:val="004B1864"/>
    <w:rsid w:val="004B1C7C"/>
    <w:rsid w:val="004B1D99"/>
    <w:rsid w:val="004B21FA"/>
    <w:rsid w:val="004B23B7"/>
    <w:rsid w:val="004B2619"/>
    <w:rsid w:val="004B28E6"/>
    <w:rsid w:val="004B2E41"/>
    <w:rsid w:val="004B31D8"/>
    <w:rsid w:val="004B37F7"/>
    <w:rsid w:val="004B3AD3"/>
    <w:rsid w:val="004B3D09"/>
    <w:rsid w:val="004B3FAA"/>
    <w:rsid w:val="004B4301"/>
    <w:rsid w:val="004B430C"/>
    <w:rsid w:val="004B4759"/>
    <w:rsid w:val="004B49E5"/>
    <w:rsid w:val="004B4A13"/>
    <w:rsid w:val="004B4BA9"/>
    <w:rsid w:val="004B4BFD"/>
    <w:rsid w:val="004B4E4A"/>
    <w:rsid w:val="004B4FF0"/>
    <w:rsid w:val="004B511A"/>
    <w:rsid w:val="004B52FA"/>
    <w:rsid w:val="004B53E1"/>
    <w:rsid w:val="004B54F1"/>
    <w:rsid w:val="004B5754"/>
    <w:rsid w:val="004B597F"/>
    <w:rsid w:val="004B5D71"/>
    <w:rsid w:val="004B6280"/>
    <w:rsid w:val="004B6385"/>
    <w:rsid w:val="004B68A7"/>
    <w:rsid w:val="004B6932"/>
    <w:rsid w:val="004B6BBC"/>
    <w:rsid w:val="004B6C28"/>
    <w:rsid w:val="004B6DE0"/>
    <w:rsid w:val="004B6FCE"/>
    <w:rsid w:val="004B71FB"/>
    <w:rsid w:val="004B777E"/>
    <w:rsid w:val="004B7A6E"/>
    <w:rsid w:val="004B7DCA"/>
    <w:rsid w:val="004B7F10"/>
    <w:rsid w:val="004B7F42"/>
    <w:rsid w:val="004C0022"/>
    <w:rsid w:val="004C00E5"/>
    <w:rsid w:val="004C02BF"/>
    <w:rsid w:val="004C0700"/>
    <w:rsid w:val="004C0C42"/>
    <w:rsid w:val="004C0DCF"/>
    <w:rsid w:val="004C15DF"/>
    <w:rsid w:val="004C17C9"/>
    <w:rsid w:val="004C1CA6"/>
    <w:rsid w:val="004C1ED5"/>
    <w:rsid w:val="004C1F46"/>
    <w:rsid w:val="004C25AE"/>
    <w:rsid w:val="004C28FD"/>
    <w:rsid w:val="004C2BC5"/>
    <w:rsid w:val="004C2D97"/>
    <w:rsid w:val="004C3314"/>
    <w:rsid w:val="004C34FA"/>
    <w:rsid w:val="004C3755"/>
    <w:rsid w:val="004C37CC"/>
    <w:rsid w:val="004C3A11"/>
    <w:rsid w:val="004C3BDC"/>
    <w:rsid w:val="004C3EFD"/>
    <w:rsid w:val="004C42E7"/>
    <w:rsid w:val="004C4496"/>
    <w:rsid w:val="004C44F6"/>
    <w:rsid w:val="004C48D0"/>
    <w:rsid w:val="004C4DC8"/>
    <w:rsid w:val="004C5173"/>
    <w:rsid w:val="004C53FC"/>
    <w:rsid w:val="004C57E8"/>
    <w:rsid w:val="004C5801"/>
    <w:rsid w:val="004C5810"/>
    <w:rsid w:val="004C59E3"/>
    <w:rsid w:val="004C5A7C"/>
    <w:rsid w:val="004C5B9F"/>
    <w:rsid w:val="004C5F76"/>
    <w:rsid w:val="004C609A"/>
    <w:rsid w:val="004C6330"/>
    <w:rsid w:val="004C635B"/>
    <w:rsid w:val="004C6485"/>
    <w:rsid w:val="004C6770"/>
    <w:rsid w:val="004C6995"/>
    <w:rsid w:val="004C69F0"/>
    <w:rsid w:val="004C6A13"/>
    <w:rsid w:val="004C6CB9"/>
    <w:rsid w:val="004C6FAC"/>
    <w:rsid w:val="004C741F"/>
    <w:rsid w:val="004C763B"/>
    <w:rsid w:val="004C7E9A"/>
    <w:rsid w:val="004D03BF"/>
    <w:rsid w:val="004D0892"/>
    <w:rsid w:val="004D0932"/>
    <w:rsid w:val="004D0BD8"/>
    <w:rsid w:val="004D0DE5"/>
    <w:rsid w:val="004D1101"/>
    <w:rsid w:val="004D17CF"/>
    <w:rsid w:val="004D1A10"/>
    <w:rsid w:val="004D1A22"/>
    <w:rsid w:val="004D1AF5"/>
    <w:rsid w:val="004D1D97"/>
    <w:rsid w:val="004D220D"/>
    <w:rsid w:val="004D2D8B"/>
    <w:rsid w:val="004D2E66"/>
    <w:rsid w:val="004D3234"/>
    <w:rsid w:val="004D33DB"/>
    <w:rsid w:val="004D351C"/>
    <w:rsid w:val="004D393E"/>
    <w:rsid w:val="004D39F9"/>
    <w:rsid w:val="004D3BAA"/>
    <w:rsid w:val="004D3D45"/>
    <w:rsid w:val="004D4034"/>
    <w:rsid w:val="004D4699"/>
    <w:rsid w:val="004D4703"/>
    <w:rsid w:val="004D47CF"/>
    <w:rsid w:val="004D47E5"/>
    <w:rsid w:val="004D4959"/>
    <w:rsid w:val="004D4CB6"/>
    <w:rsid w:val="004D4D89"/>
    <w:rsid w:val="004D5AB2"/>
    <w:rsid w:val="004D5F9C"/>
    <w:rsid w:val="004D5FCE"/>
    <w:rsid w:val="004D604B"/>
    <w:rsid w:val="004D6167"/>
    <w:rsid w:val="004D62DA"/>
    <w:rsid w:val="004D64B4"/>
    <w:rsid w:val="004D65E4"/>
    <w:rsid w:val="004D6ACE"/>
    <w:rsid w:val="004D7EE5"/>
    <w:rsid w:val="004D7FD1"/>
    <w:rsid w:val="004E0177"/>
    <w:rsid w:val="004E02BC"/>
    <w:rsid w:val="004E085A"/>
    <w:rsid w:val="004E08A3"/>
    <w:rsid w:val="004E0F57"/>
    <w:rsid w:val="004E1347"/>
    <w:rsid w:val="004E14B3"/>
    <w:rsid w:val="004E14BB"/>
    <w:rsid w:val="004E157D"/>
    <w:rsid w:val="004E15B6"/>
    <w:rsid w:val="004E179C"/>
    <w:rsid w:val="004E1971"/>
    <w:rsid w:val="004E1E21"/>
    <w:rsid w:val="004E21BD"/>
    <w:rsid w:val="004E24F1"/>
    <w:rsid w:val="004E293B"/>
    <w:rsid w:val="004E2B35"/>
    <w:rsid w:val="004E392C"/>
    <w:rsid w:val="004E393C"/>
    <w:rsid w:val="004E3B3F"/>
    <w:rsid w:val="004E3C2C"/>
    <w:rsid w:val="004E3E91"/>
    <w:rsid w:val="004E41EE"/>
    <w:rsid w:val="004E43F2"/>
    <w:rsid w:val="004E47CE"/>
    <w:rsid w:val="004E48B3"/>
    <w:rsid w:val="004E48EA"/>
    <w:rsid w:val="004E4968"/>
    <w:rsid w:val="004E4AA5"/>
    <w:rsid w:val="004E4D9C"/>
    <w:rsid w:val="004E4DA5"/>
    <w:rsid w:val="004E53D9"/>
    <w:rsid w:val="004E55A6"/>
    <w:rsid w:val="004E5F05"/>
    <w:rsid w:val="004E5F8D"/>
    <w:rsid w:val="004E63C4"/>
    <w:rsid w:val="004E6908"/>
    <w:rsid w:val="004E6B6E"/>
    <w:rsid w:val="004E6BE9"/>
    <w:rsid w:val="004E6E69"/>
    <w:rsid w:val="004E7389"/>
    <w:rsid w:val="004E761C"/>
    <w:rsid w:val="004E767A"/>
    <w:rsid w:val="004E770A"/>
    <w:rsid w:val="004E7742"/>
    <w:rsid w:val="004E7ADC"/>
    <w:rsid w:val="004E7D90"/>
    <w:rsid w:val="004E7F94"/>
    <w:rsid w:val="004F0133"/>
    <w:rsid w:val="004F08D1"/>
    <w:rsid w:val="004F095F"/>
    <w:rsid w:val="004F0A6C"/>
    <w:rsid w:val="004F0BE5"/>
    <w:rsid w:val="004F0D73"/>
    <w:rsid w:val="004F1158"/>
    <w:rsid w:val="004F11B2"/>
    <w:rsid w:val="004F21BE"/>
    <w:rsid w:val="004F2636"/>
    <w:rsid w:val="004F2815"/>
    <w:rsid w:val="004F2825"/>
    <w:rsid w:val="004F2892"/>
    <w:rsid w:val="004F2C41"/>
    <w:rsid w:val="004F30A1"/>
    <w:rsid w:val="004F31C0"/>
    <w:rsid w:val="004F34E6"/>
    <w:rsid w:val="004F3618"/>
    <w:rsid w:val="004F36C7"/>
    <w:rsid w:val="004F3996"/>
    <w:rsid w:val="004F3A96"/>
    <w:rsid w:val="004F3F52"/>
    <w:rsid w:val="004F421B"/>
    <w:rsid w:val="004F42AA"/>
    <w:rsid w:val="004F44DA"/>
    <w:rsid w:val="004F452F"/>
    <w:rsid w:val="004F4559"/>
    <w:rsid w:val="004F4694"/>
    <w:rsid w:val="004F47E9"/>
    <w:rsid w:val="004F4CF1"/>
    <w:rsid w:val="004F4EBD"/>
    <w:rsid w:val="004F5029"/>
    <w:rsid w:val="004F56A3"/>
    <w:rsid w:val="004F56B8"/>
    <w:rsid w:val="004F5AD8"/>
    <w:rsid w:val="004F5B41"/>
    <w:rsid w:val="004F5FD0"/>
    <w:rsid w:val="004F6412"/>
    <w:rsid w:val="004F645B"/>
    <w:rsid w:val="004F64C7"/>
    <w:rsid w:val="004F6830"/>
    <w:rsid w:val="004F69B4"/>
    <w:rsid w:val="004F69CF"/>
    <w:rsid w:val="004F7147"/>
    <w:rsid w:val="004F734A"/>
    <w:rsid w:val="004F7395"/>
    <w:rsid w:val="004F765C"/>
    <w:rsid w:val="004F7B9B"/>
    <w:rsid w:val="004F7EB1"/>
    <w:rsid w:val="00500259"/>
    <w:rsid w:val="005002E4"/>
    <w:rsid w:val="005004B1"/>
    <w:rsid w:val="005009BB"/>
    <w:rsid w:val="0050127B"/>
    <w:rsid w:val="00501321"/>
    <w:rsid w:val="0050157D"/>
    <w:rsid w:val="00501712"/>
    <w:rsid w:val="00501823"/>
    <w:rsid w:val="00501A08"/>
    <w:rsid w:val="00501C67"/>
    <w:rsid w:val="005022C5"/>
    <w:rsid w:val="00502472"/>
    <w:rsid w:val="005024F9"/>
    <w:rsid w:val="00502A9A"/>
    <w:rsid w:val="00502AB5"/>
    <w:rsid w:val="00502C6D"/>
    <w:rsid w:val="00502D52"/>
    <w:rsid w:val="00502F85"/>
    <w:rsid w:val="00502FED"/>
    <w:rsid w:val="005031D9"/>
    <w:rsid w:val="005032AE"/>
    <w:rsid w:val="00503E22"/>
    <w:rsid w:val="005043F4"/>
    <w:rsid w:val="00504586"/>
    <w:rsid w:val="005045DC"/>
    <w:rsid w:val="00504870"/>
    <w:rsid w:val="00504931"/>
    <w:rsid w:val="00504B9D"/>
    <w:rsid w:val="005052D3"/>
    <w:rsid w:val="00505880"/>
    <w:rsid w:val="00505A8E"/>
    <w:rsid w:val="00505B11"/>
    <w:rsid w:val="00505C4B"/>
    <w:rsid w:val="00505E0E"/>
    <w:rsid w:val="00505E55"/>
    <w:rsid w:val="005061B9"/>
    <w:rsid w:val="00506438"/>
    <w:rsid w:val="005069D9"/>
    <w:rsid w:val="00506EF1"/>
    <w:rsid w:val="0050727E"/>
    <w:rsid w:val="005074A2"/>
    <w:rsid w:val="0050755E"/>
    <w:rsid w:val="00507CF8"/>
    <w:rsid w:val="0051008E"/>
    <w:rsid w:val="005101C3"/>
    <w:rsid w:val="00510293"/>
    <w:rsid w:val="005102EF"/>
    <w:rsid w:val="00510783"/>
    <w:rsid w:val="005108AC"/>
    <w:rsid w:val="005108CC"/>
    <w:rsid w:val="00510E75"/>
    <w:rsid w:val="00510FB0"/>
    <w:rsid w:val="005113AC"/>
    <w:rsid w:val="00511660"/>
    <w:rsid w:val="005117A1"/>
    <w:rsid w:val="00511CB1"/>
    <w:rsid w:val="00512168"/>
    <w:rsid w:val="005123B7"/>
    <w:rsid w:val="005128CF"/>
    <w:rsid w:val="005129BD"/>
    <w:rsid w:val="00512CF4"/>
    <w:rsid w:val="00512E1C"/>
    <w:rsid w:val="005133FA"/>
    <w:rsid w:val="0051368A"/>
    <w:rsid w:val="00513AB6"/>
    <w:rsid w:val="00513B7F"/>
    <w:rsid w:val="00513BA3"/>
    <w:rsid w:val="00513C17"/>
    <w:rsid w:val="00513DC1"/>
    <w:rsid w:val="00513F23"/>
    <w:rsid w:val="00514144"/>
    <w:rsid w:val="00514170"/>
    <w:rsid w:val="00514D0B"/>
    <w:rsid w:val="00514F62"/>
    <w:rsid w:val="00515198"/>
    <w:rsid w:val="005158C2"/>
    <w:rsid w:val="00515B0F"/>
    <w:rsid w:val="00515D12"/>
    <w:rsid w:val="00515E59"/>
    <w:rsid w:val="00515EB1"/>
    <w:rsid w:val="00515FFE"/>
    <w:rsid w:val="005160FF"/>
    <w:rsid w:val="0051687C"/>
    <w:rsid w:val="00517039"/>
    <w:rsid w:val="005170BB"/>
    <w:rsid w:val="0051734D"/>
    <w:rsid w:val="00517B39"/>
    <w:rsid w:val="00517CAB"/>
    <w:rsid w:val="00517D6B"/>
    <w:rsid w:val="005202CA"/>
    <w:rsid w:val="0052030F"/>
    <w:rsid w:val="0052035F"/>
    <w:rsid w:val="00520600"/>
    <w:rsid w:val="00520909"/>
    <w:rsid w:val="0052092C"/>
    <w:rsid w:val="00520D73"/>
    <w:rsid w:val="00520DE2"/>
    <w:rsid w:val="00520E1F"/>
    <w:rsid w:val="00520F62"/>
    <w:rsid w:val="00521626"/>
    <w:rsid w:val="00521BC1"/>
    <w:rsid w:val="00521DF2"/>
    <w:rsid w:val="00521ECF"/>
    <w:rsid w:val="00521FD6"/>
    <w:rsid w:val="0052201A"/>
    <w:rsid w:val="00522132"/>
    <w:rsid w:val="0052215B"/>
    <w:rsid w:val="005224BC"/>
    <w:rsid w:val="0052254D"/>
    <w:rsid w:val="005225D3"/>
    <w:rsid w:val="00522A59"/>
    <w:rsid w:val="005234C5"/>
    <w:rsid w:val="00524318"/>
    <w:rsid w:val="00524EA9"/>
    <w:rsid w:val="005252DB"/>
    <w:rsid w:val="005259DE"/>
    <w:rsid w:val="00525B0C"/>
    <w:rsid w:val="00526193"/>
    <w:rsid w:val="00526523"/>
    <w:rsid w:val="005266E7"/>
    <w:rsid w:val="005268C3"/>
    <w:rsid w:val="005268DF"/>
    <w:rsid w:val="00526AB1"/>
    <w:rsid w:val="00526C74"/>
    <w:rsid w:val="00526CBF"/>
    <w:rsid w:val="00526D28"/>
    <w:rsid w:val="00526E1A"/>
    <w:rsid w:val="00526E5F"/>
    <w:rsid w:val="00527289"/>
    <w:rsid w:val="00527650"/>
    <w:rsid w:val="0052767E"/>
    <w:rsid w:val="00527A00"/>
    <w:rsid w:val="00527EE2"/>
    <w:rsid w:val="00527F84"/>
    <w:rsid w:val="005301FC"/>
    <w:rsid w:val="005302C6"/>
    <w:rsid w:val="00530385"/>
    <w:rsid w:val="00530536"/>
    <w:rsid w:val="00530662"/>
    <w:rsid w:val="0053082A"/>
    <w:rsid w:val="00530908"/>
    <w:rsid w:val="0053097A"/>
    <w:rsid w:val="00530D59"/>
    <w:rsid w:val="00531065"/>
    <w:rsid w:val="005310A3"/>
    <w:rsid w:val="005312DB"/>
    <w:rsid w:val="005316ED"/>
    <w:rsid w:val="00531C1B"/>
    <w:rsid w:val="00531DEB"/>
    <w:rsid w:val="00531F4E"/>
    <w:rsid w:val="00532023"/>
    <w:rsid w:val="005323EE"/>
    <w:rsid w:val="00532413"/>
    <w:rsid w:val="00532A80"/>
    <w:rsid w:val="00532C7D"/>
    <w:rsid w:val="005331ED"/>
    <w:rsid w:val="00533211"/>
    <w:rsid w:val="00534216"/>
    <w:rsid w:val="005343C6"/>
    <w:rsid w:val="00534745"/>
    <w:rsid w:val="00534860"/>
    <w:rsid w:val="0053488B"/>
    <w:rsid w:val="00534B35"/>
    <w:rsid w:val="00534CBB"/>
    <w:rsid w:val="00534D7D"/>
    <w:rsid w:val="005351A4"/>
    <w:rsid w:val="005351AD"/>
    <w:rsid w:val="00535216"/>
    <w:rsid w:val="0053569D"/>
    <w:rsid w:val="0053572F"/>
    <w:rsid w:val="005357C2"/>
    <w:rsid w:val="005357CF"/>
    <w:rsid w:val="00535A5B"/>
    <w:rsid w:val="00535C79"/>
    <w:rsid w:val="00535D68"/>
    <w:rsid w:val="00535EDB"/>
    <w:rsid w:val="005361D7"/>
    <w:rsid w:val="00536240"/>
    <w:rsid w:val="005362A6"/>
    <w:rsid w:val="005365D7"/>
    <w:rsid w:val="0053669B"/>
    <w:rsid w:val="005368C2"/>
    <w:rsid w:val="00536E96"/>
    <w:rsid w:val="00536EDB"/>
    <w:rsid w:val="00537354"/>
    <w:rsid w:val="005373A5"/>
    <w:rsid w:val="0053771F"/>
    <w:rsid w:val="0053792F"/>
    <w:rsid w:val="00537A87"/>
    <w:rsid w:val="00537A91"/>
    <w:rsid w:val="00537C90"/>
    <w:rsid w:val="00537D28"/>
    <w:rsid w:val="00537D6E"/>
    <w:rsid w:val="00537D93"/>
    <w:rsid w:val="00537F13"/>
    <w:rsid w:val="00540454"/>
    <w:rsid w:val="00540543"/>
    <w:rsid w:val="0054054D"/>
    <w:rsid w:val="0054069B"/>
    <w:rsid w:val="0054086F"/>
    <w:rsid w:val="005408DD"/>
    <w:rsid w:val="00540CC9"/>
    <w:rsid w:val="005413C7"/>
    <w:rsid w:val="005416E2"/>
    <w:rsid w:val="00541772"/>
    <w:rsid w:val="00541A12"/>
    <w:rsid w:val="00541CB2"/>
    <w:rsid w:val="005427B6"/>
    <w:rsid w:val="0054280E"/>
    <w:rsid w:val="00542875"/>
    <w:rsid w:val="005429CF"/>
    <w:rsid w:val="00542ABE"/>
    <w:rsid w:val="00542C8D"/>
    <w:rsid w:val="00542C91"/>
    <w:rsid w:val="0054339C"/>
    <w:rsid w:val="0054343D"/>
    <w:rsid w:val="005436EF"/>
    <w:rsid w:val="005437E2"/>
    <w:rsid w:val="005439B9"/>
    <w:rsid w:val="005439CE"/>
    <w:rsid w:val="00543B54"/>
    <w:rsid w:val="00544101"/>
    <w:rsid w:val="005443A5"/>
    <w:rsid w:val="0054448B"/>
    <w:rsid w:val="0054448F"/>
    <w:rsid w:val="005448D9"/>
    <w:rsid w:val="0054497D"/>
    <w:rsid w:val="00544C71"/>
    <w:rsid w:val="00544D7C"/>
    <w:rsid w:val="00545E59"/>
    <w:rsid w:val="00545FAE"/>
    <w:rsid w:val="00546504"/>
    <w:rsid w:val="00546605"/>
    <w:rsid w:val="005466E9"/>
    <w:rsid w:val="00546ABC"/>
    <w:rsid w:val="00546C1A"/>
    <w:rsid w:val="00546DDC"/>
    <w:rsid w:val="005470C6"/>
    <w:rsid w:val="0054757B"/>
    <w:rsid w:val="005476B1"/>
    <w:rsid w:val="0054778E"/>
    <w:rsid w:val="00547AE2"/>
    <w:rsid w:val="00547D54"/>
    <w:rsid w:val="00547E28"/>
    <w:rsid w:val="005500D9"/>
    <w:rsid w:val="005501D7"/>
    <w:rsid w:val="005503B1"/>
    <w:rsid w:val="0055061C"/>
    <w:rsid w:val="005506FD"/>
    <w:rsid w:val="0055079D"/>
    <w:rsid w:val="005507F6"/>
    <w:rsid w:val="00550B75"/>
    <w:rsid w:val="00550C6E"/>
    <w:rsid w:val="00550D27"/>
    <w:rsid w:val="00551065"/>
    <w:rsid w:val="00551159"/>
    <w:rsid w:val="00551420"/>
    <w:rsid w:val="0055143D"/>
    <w:rsid w:val="005514EC"/>
    <w:rsid w:val="00551ABF"/>
    <w:rsid w:val="00551D7F"/>
    <w:rsid w:val="0055217E"/>
    <w:rsid w:val="0055229E"/>
    <w:rsid w:val="00552318"/>
    <w:rsid w:val="0055241A"/>
    <w:rsid w:val="00552459"/>
    <w:rsid w:val="005525A6"/>
    <w:rsid w:val="005526DB"/>
    <w:rsid w:val="00552CCD"/>
    <w:rsid w:val="005530D4"/>
    <w:rsid w:val="0055372F"/>
    <w:rsid w:val="00553895"/>
    <w:rsid w:val="00553E37"/>
    <w:rsid w:val="00553FB1"/>
    <w:rsid w:val="005544E6"/>
    <w:rsid w:val="00554525"/>
    <w:rsid w:val="00554597"/>
    <w:rsid w:val="00554C8E"/>
    <w:rsid w:val="00554CA8"/>
    <w:rsid w:val="00555207"/>
    <w:rsid w:val="00555216"/>
    <w:rsid w:val="00555680"/>
    <w:rsid w:val="0055583C"/>
    <w:rsid w:val="00555B59"/>
    <w:rsid w:val="0055611E"/>
    <w:rsid w:val="00556439"/>
    <w:rsid w:val="00556A85"/>
    <w:rsid w:val="00556AC7"/>
    <w:rsid w:val="00556BB3"/>
    <w:rsid w:val="00556BC6"/>
    <w:rsid w:val="00556D02"/>
    <w:rsid w:val="00556DE2"/>
    <w:rsid w:val="0055729A"/>
    <w:rsid w:val="0055772C"/>
    <w:rsid w:val="00557A1D"/>
    <w:rsid w:val="00557B0B"/>
    <w:rsid w:val="00557EA0"/>
    <w:rsid w:val="0056012D"/>
    <w:rsid w:val="00560403"/>
    <w:rsid w:val="00561040"/>
    <w:rsid w:val="00561443"/>
    <w:rsid w:val="005616B3"/>
    <w:rsid w:val="00561B21"/>
    <w:rsid w:val="00561C5D"/>
    <w:rsid w:val="00561E08"/>
    <w:rsid w:val="005624FE"/>
    <w:rsid w:val="0056280F"/>
    <w:rsid w:val="00562A2B"/>
    <w:rsid w:val="00562A82"/>
    <w:rsid w:val="00562BCF"/>
    <w:rsid w:val="00562CFB"/>
    <w:rsid w:val="00562D05"/>
    <w:rsid w:val="00562D45"/>
    <w:rsid w:val="005632DD"/>
    <w:rsid w:val="00563582"/>
    <w:rsid w:val="00563B9E"/>
    <w:rsid w:val="00563BC9"/>
    <w:rsid w:val="00563E4A"/>
    <w:rsid w:val="00564D69"/>
    <w:rsid w:val="00564DB1"/>
    <w:rsid w:val="00564EAF"/>
    <w:rsid w:val="005652F3"/>
    <w:rsid w:val="0056559F"/>
    <w:rsid w:val="005656D5"/>
    <w:rsid w:val="005657FC"/>
    <w:rsid w:val="00565A4E"/>
    <w:rsid w:val="00565AA7"/>
    <w:rsid w:val="00565B1B"/>
    <w:rsid w:val="00565D8A"/>
    <w:rsid w:val="00565FCE"/>
    <w:rsid w:val="00566A1E"/>
    <w:rsid w:val="00566A86"/>
    <w:rsid w:val="0056701F"/>
    <w:rsid w:val="005673C3"/>
    <w:rsid w:val="005674B1"/>
    <w:rsid w:val="00567635"/>
    <w:rsid w:val="00567724"/>
    <w:rsid w:val="005679CD"/>
    <w:rsid w:val="00570142"/>
    <w:rsid w:val="00570243"/>
    <w:rsid w:val="00570249"/>
    <w:rsid w:val="00570344"/>
    <w:rsid w:val="0057049F"/>
    <w:rsid w:val="0057056B"/>
    <w:rsid w:val="00570B0B"/>
    <w:rsid w:val="00570ED8"/>
    <w:rsid w:val="005714B1"/>
    <w:rsid w:val="005717C9"/>
    <w:rsid w:val="0057182B"/>
    <w:rsid w:val="005718AA"/>
    <w:rsid w:val="00571D35"/>
    <w:rsid w:val="00571F5D"/>
    <w:rsid w:val="0057231E"/>
    <w:rsid w:val="0057252F"/>
    <w:rsid w:val="00572582"/>
    <w:rsid w:val="0057264C"/>
    <w:rsid w:val="0057281F"/>
    <w:rsid w:val="00572CAE"/>
    <w:rsid w:val="00572F43"/>
    <w:rsid w:val="0057304B"/>
    <w:rsid w:val="005730AF"/>
    <w:rsid w:val="005731E1"/>
    <w:rsid w:val="00573280"/>
    <w:rsid w:val="005732BC"/>
    <w:rsid w:val="00573325"/>
    <w:rsid w:val="0057389D"/>
    <w:rsid w:val="00573C8C"/>
    <w:rsid w:val="00573F1B"/>
    <w:rsid w:val="005741BD"/>
    <w:rsid w:val="0057445D"/>
    <w:rsid w:val="00574472"/>
    <w:rsid w:val="00574639"/>
    <w:rsid w:val="00574A22"/>
    <w:rsid w:val="00574C14"/>
    <w:rsid w:val="0057515C"/>
    <w:rsid w:val="0057535F"/>
    <w:rsid w:val="005753D8"/>
    <w:rsid w:val="00575671"/>
    <w:rsid w:val="00575872"/>
    <w:rsid w:val="00575DB7"/>
    <w:rsid w:val="00575EDC"/>
    <w:rsid w:val="0057651A"/>
    <w:rsid w:val="005768E2"/>
    <w:rsid w:val="005769E7"/>
    <w:rsid w:val="005769EC"/>
    <w:rsid w:val="00576BF7"/>
    <w:rsid w:val="00576C83"/>
    <w:rsid w:val="00576E97"/>
    <w:rsid w:val="005771FB"/>
    <w:rsid w:val="005772B9"/>
    <w:rsid w:val="005774E1"/>
    <w:rsid w:val="00577578"/>
    <w:rsid w:val="00577872"/>
    <w:rsid w:val="00577BAE"/>
    <w:rsid w:val="00577C24"/>
    <w:rsid w:val="00577D49"/>
    <w:rsid w:val="00577DA1"/>
    <w:rsid w:val="00577F4B"/>
    <w:rsid w:val="005800B6"/>
    <w:rsid w:val="00580A02"/>
    <w:rsid w:val="00580A6A"/>
    <w:rsid w:val="00580B73"/>
    <w:rsid w:val="00580BC2"/>
    <w:rsid w:val="00580E04"/>
    <w:rsid w:val="00580F61"/>
    <w:rsid w:val="005814BE"/>
    <w:rsid w:val="00581791"/>
    <w:rsid w:val="00581A51"/>
    <w:rsid w:val="005824D1"/>
    <w:rsid w:val="00582A7A"/>
    <w:rsid w:val="00582AC5"/>
    <w:rsid w:val="00582E1B"/>
    <w:rsid w:val="0058308D"/>
    <w:rsid w:val="0058310D"/>
    <w:rsid w:val="00583185"/>
    <w:rsid w:val="005831AA"/>
    <w:rsid w:val="0058321B"/>
    <w:rsid w:val="00583246"/>
    <w:rsid w:val="005832F6"/>
    <w:rsid w:val="005837C1"/>
    <w:rsid w:val="00583806"/>
    <w:rsid w:val="00583B74"/>
    <w:rsid w:val="00583C97"/>
    <w:rsid w:val="00583DBC"/>
    <w:rsid w:val="00584063"/>
    <w:rsid w:val="0058414B"/>
    <w:rsid w:val="0058426B"/>
    <w:rsid w:val="005846A0"/>
    <w:rsid w:val="00584765"/>
    <w:rsid w:val="00584BF5"/>
    <w:rsid w:val="005854F5"/>
    <w:rsid w:val="00585956"/>
    <w:rsid w:val="00585A37"/>
    <w:rsid w:val="00585EC7"/>
    <w:rsid w:val="0058602C"/>
    <w:rsid w:val="0058603D"/>
    <w:rsid w:val="0058637D"/>
    <w:rsid w:val="00586504"/>
    <w:rsid w:val="0058654D"/>
    <w:rsid w:val="005865D2"/>
    <w:rsid w:val="00586A07"/>
    <w:rsid w:val="00586C45"/>
    <w:rsid w:val="00586FA9"/>
    <w:rsid w:val="005872EE"/>
    <w:rsid w:val="0058733B"/>
    <w:rsid w:val="005875D6"/>
    <w:rsid w:val="00587857"/>
    <w:rsid w:val="00587981"/>
    <w:rsid w:val="00587A24"/>
    <w:rsid w:val="00587A2F"/>
    <w:rsid w:val="00587AC6"/>
    <w:rsid w:val="00587D31"/>
    <w:rsid w:val="00587FE8"/>
    <w:rsid w:val="00590110"/>
    <w:rsid w:val="00590209"/>
    <w:rsid w:val="00590259"/>
    <w:rsid w:val="005902B6"/>
    <w:rsid w:val="0059047B"/>
    <w:rsid w:val="005905A0"/>
    <w:rsid w:val="005907CD"/>
    <w:rsid w:val="00590B2B"/>
    <w:rsid w:val="00590C9B"/>
    <w:rsid w:val="00590FDB"/>
    <w:rsid w:val="005915B9"/>
    <w:rsid w:val="00591665"/>
    <w:rsid w:val="00591EE4"/>
    <w:rsid w:val="005920AF"/>
    <w:rsid w:val="00592211"/>
    <w:rsid w:val="0059285E"/>
    <w:rsid w:val="00592933"/>
    <w:rsid w:val="0059294A"/>
    <w:rsid w:val="005929E0"/>
    <w:rsid w:val="00592A95"/>
    <w:rsid w:val="00592C15"/>
    <w:rsid w:val="00592CC1"/>
    <w:rsid w:val="0059313E"/>
    <w:rsid w:val="00593180"/>
    <w:rsid w:val="0059323C"/>
    <w:rsid w:val="00593DD6"/>
    <w:rsid w:val="00593F10"/>
    <w:rsid w:val="005942AB"/>
    <w:rsid w:val="005943A6"/>
    <w:rsid w:val="00595153"/>
    <w:rsid w:val="005951BD"/>
    <w:rsid w:val="00595295"/>
    <w:rsid w:val="005954A3"/>
    <w:rsid w:val="00595C2B"/>
    <w:rsid w:val="00595DDE"/>
    <w:rsid w:val="00595F0F"/>
    <w:rsid w:val="00595F2B"/>
    <w:rsid w:val="00595F8A"/>
    <w:rsid w:val="00596147"/>
    <w:rsid w:val="00596396"/>
    <w:rsid w:val="005964F5"/>
    <w:rsid w:val="00596599"/>
    <w:rsid w:val="0059686A"/>
    <w:rsid w:val="00596A3C"/>
    <w:rsid w:val="00596F64"/>
    <w:rsid w:val="00596F73"/>
    <w:rsid w:val="005971B4"/>
    <w:rsid w:val="00597964"/>
    <w:rsid w:val="00597A22"/>
    <w:rsid w:val="00597AC4"/>
    <w:rsid w:val="005A0821"/>
    <w:rsid w:val="005A0D5D"/>
    <w:rsid w:val="005A1299"/>
    <w:rsid w:val="005A172F"/>
    <w:rsid w:val="005A1B72"/>
    <w:rsid w:val="005A1C55"/>
    <w:rsid w:val="005A1CFA"/>
    <w:rsid w:val="005A1E1A"/>
    <w:rsid w:val="005A202B"/>
    <w:rsid w:val="005A21FA"/>
    <w:rsid w:val="005A2B4B"/>
    <w:rsid w:val="005A2D94"/>
    <w:rsid w:val="005A2F2F"/>
    <w:rsid w:val="005A3014"/>
    <w:rsid w:val="005A305A"/>
    <w:rsid w:val="005A31F1"/>
    <w:rsid w:val="005A3404"/>
    <w:rsid w:val="005A38D8"/>
    <w:rsid w:val="005A3C0D"/>
    <w:rsid w:val="005A41E3"/>
    <w:rsid w:val="005A432E"/>
    <w:rsid w:val="005A4331"/>
    <w:rsid w:val="005A49EE"/>
    <w:rsid w:val="005A4A87"/>
    <w:rsid w:val="005A4ABE"/>
    <w:rsid w:val="005A4B84"/>
    <w:rsid w:val="005A4C5F"/>
    <w:rsid w:val="005A4D35"/>
    <w:rsid w:val="005A5064"/>
    <w:rsid w:val="005A528C"/>
    <w:rsid w:val="005A53DF"/>
    <w:rsid w:val="005A587F"/>
    <w:rsid w:val="005A59C7"/>
    <w:rsid w:val="005A5AC7"/>
    <w:rsid w:val="005A5F8C"/>
    <w:rsid w:val="005A6062"/>
    <w:rsid w:val="005A60F0"/>
    <w:rsid w:val="005A6627"/>
    <w:rsid w:val="005A6B8F"/>
    <w:rsid w:val="005A6E03"/>
    <w:rsid w:val="005A6E77"/>
    <w:rsid w:val="005A6FD6"/>
    <w:rsid w:val="005A7091"/>
    <w:rsid w:val="005A72B6"/>
    <w:rsid w:val="005A72BE"/>
    <w:rsid w:val="005A7511"/>
    <w:rsid w:val="005A7EE2"/>
    <w:rsid w:val="005A7F10"/>
    <w:rsid w:val="005B006E"/>
    <w:rsid w:val="005B0194"/>
    <w:rsid w:val="005B0456"/>
    <w:rsid w:val="005B09A1"/>
    <w:rsid w:val="005B0A8F"/>
    <w:rsid w:val="005B0D9D"/>
    <w:rsid w:val="005B0E27"/>
    <w:rsid w:val="005B0F75"/>
    <w:rsid w:val="005B0FD9"/>
    <w:rsid w:val="005B122E"/>
    <w:rsid w:val="005B1280"/>
    <w:rsid w:val="005B1394"/>
    <w:rsid w:val="005B14EC"/>
    <w:rsid w:val="005B1946"/>
    <w:rsid w:val="005B1C5C"/>
    <w:rsid w:val="005B1D5A"/>
    <w:rsid w:val="005B2332"/>
    <w:rsid w:val="005B263C"/>
    <w:rsid w:val="005B27DC"/>
    <w:rsid w:val="005B2A52"/>
    <w:rsid w:val="005B2BB0"/>
    <w:rsid w:val="005B2FD3"/>
    <w:rsid w:val="005B3041"/>
    <w:rsid w:val="005B31A3"/>
    <w:rsid w:val="005B3262"/>
    <w:rsid w:val="005B36A0"/>
    <w:rsid w:val="005B3ABC"/>
    <w:rsid w:val="005B3BA3"/>
    <w:rsid w:val="005B3E26"/>
    <w:rsid w:val="005B3E92"/>
    <w:rsid w:val="005B3F78"/>
    <w:rsid w:val="005B4281"/>
    <w:rsid w:val="005B42E8"/>
    <w:rsid w:val="005B43B8"/>
    <w:rsid w:val="005B4907"/>
    <w:rsid w:val="005B4AFA"/>
    <w:rsid w:val="005B4B29"/>
    <w:rsid w:val="005B4BCF"/>
    <w:rsid w:val="005B50A5"/>
    <w:rsid w:val="005B5156"/>
    <w:rsid w:val="005B566C"/>
    <w:rsid w:val="005B59D4"/>
    <w:rsid w:val="005B5FAC"/>
    <w:rsid w:val="005B622C"/>
    <w:rsid w:val="005B62A4"/>
    <w:rsid w:val="005B6641"/>
    <w:rsid w:val="005B6766"/>
    <w:rsid w:val="005B6E1F"/>
    <w:rsid w:val="005B6EB6"/>
    <w:rsid w:val="005B704C"/>
    <w:rsid w:val="005B70A9"/>
    <w:rsid w:val="005B717B"/>
    <w:rsid w:val="005B7413"/>
    <w:rsid w:val="005B750B"/>
    <w:rsid w:val="005B78F9"/>
    <w:rsid w:val="005B7B35"/>
    <w:rsid w:val="005B7C23"/>
    <w:rsid w:val="005B7ED9"/>
    <w:rsid w:val="005C0030"/>
    <w:rsid w:val="005C0393"/>
    <w:rsid w:val="005C039F"/>
    <w:rsid w:val="005C03DF"/>
    <w:rsid w:val="005C0BD4"/>
    <w:rsid w:val="005C10EF"/>
    <w:rsid w:val="005C1146"/>
    <w:rsid w:val="005C139E"/>
    <w:rsid w:val="005C1C07"/>
    <w:rsid w:val="005C1D7F"/>
    <w:rsid w:val="005C2814"/>
    <w:rsid w:val="005C2FD5"/>
    <w:rsid w:val="005C3193"/>
    <w:rsid w:val="005C31BB"/>
    <w:rsid w:val="005C35A3"/>
    <w:rsid w:val="005C38E7"/>
    <w:rsid w:val="005C3A08"/>
    <w:rsid w:val="005C3AF2"/>
    <w:rsid w:val="005C3BBB"/>
    <w:rsid w:val="005C3DF6"/>
    <w:rsid w:val="005C3E37"/>
    <w:rsid w:val="005C41B5"/>
    <w:rsid w:val="005C4464"/>
    <w:rsid w:val="005C45D1"/>
    <w:rsid w:val="005C466C"/>
    <w:rsid w:val="005C484E"/>
    <w:rsid w:val="005C4854"/>
    <w:rsid w:val="005C4A0A"/>
    <w:rsid w:val="005C4A2F"/>
    <w:rsid w:val="005C4C18"/>
    <w:rsid w:val="005C51A6"/>
    <w:rsid w:val="005C5570"/>
    <w:rsid w:val="005C5862"/>
    <w:rsid w:val="005C58AA"/>
    <w:rsid w:val="005C5A81"/>
    <w:rsid w:val="005C5F28"/>
    <w:rsid w:val="005C5F3D"/>
    <w:rsid w:val="005C6123"/>
    <w:rsid w:val="005C654B"/>
    <w:rsid w:val="005C65FF"/>
    <w:rsid w:val="005C66F3"/>
    <w:rsid w:val="005C6A1C"/>
    <w:rsid w:val="005C6AEA"/>
    <w:rsid w:val="005C70AE"/>
    <w:rsid w:val="005C7401"/>
    <w:rsid w:val="005C74BC"/>
    <w:rsid w:val="005C7782"/>
    <w:rsid w:val="005C7805"/>
    <w:rsid w:val="005C78E2"/>
    <w:rsid w:val="005C7D2B"/>
    <w:rsid w:val="005D0221"/>
    <w:rsid w:val="005D06C2"/>
    <w:rsid w:val="005D0763"/>
    <w:rsid w:val="005D0CAA"/>
    <w:rsid w:val="005D0DA3"/>
    <w:rsid w:val="005D131B"/>
    <w:rsid w:val="005D13F1"/>
    <w:rsid w:val="005D14C3"/>
    <w:rsid w:val="005D1637"/>
    <w:rsid w:val="005D192B"/>
    <w:rsid w:val="005D1C51"/>
    <w:rsid w:val="005D1C83"/>
    <w:rsid w:val="005D229D"/>
    <w:rsid w:val="005D25D5"/>
    <w:rsid w:val="005D26B1"/>
    <w:rsid w:val="005D278E"/>
    <w:rsid w:val="005D2809"/>
    <w:rsid w:val="005D2A45"/>
    <w:rsid w:val="005D2D0E"/>
    <w:rsid w:val="005D2D95"/>
    <w:rsid w:val="005D2E55"/>
    <w:rsid w:val="005D2F7E"/>
    <w:rsid w:val="005D3104"/>
    <w:rsid w:val="005D34D4"/>
    <w:rsid w:val="005D3548"/>
    <w:rsid w:val="005D3710"/>
    <w:rsid w:val="005D3948"/>
    <w:rsid w:val="005D3BD1"/>
    <w:rsid w:val="005D3F3D"/>
    <w:rsid w:val="005D4074"/>
    <w:rsid w:val="005D425D"/>
    <w:rsid w:val="005D43BE"/>
    <w:rsid w:val="005D453F"/>
    <w:rsid w:val="005D45D9"/>
    <w:rsid w:val="005D4A3E"/>
    <w:rsid w:val="005D4DE7"/>
    <w:rsid w:val="005D4F5E"/>
    <w:rsid w:val="005D4F97"/>
    <w:rsid w:val="005D55FA"/>
    <w:rsid w:val="005D563A"/>
    <w:rsid w:val="005D5A4C"/>
    <w:rsid w:val="005D5A98"/>
    <w:rsid w:val="005D5C2E"/>
    <w:rsid w:val="005D5C94"/>
    <w:rsid w:val="005D5DA3"/>
    <w:rsid w:val="005D5EE7"/>
    <w:rsid w:val="005D6073"/>
    <w:rsid w:val="005D62B6"/>
    <w:rsid w:val="005D6606"/>
    <w:rsid w:val="005D6CFF"/>
    <w:rsid w:val="005D6D39"/>
    <w:rsid w:val="005D6FC4"/>
    <w:rsid w:val="005D6FEF"/>
    <w:rsid w:val="005D7263"/>
    <w:rsid w:val="005D72B1"/>
    <w:rsid w:val="005D741C"/>
    <w:rsid w:val="005D754D"/>
    <w:rsid w:val="005D77A1"/>
    <w:rsid w:val="005D782B"/>
    <w:rsid w:val="005D79E2"/>
    <w:rsid w:val="005D7CE2"/>
    <w:rsid w:val="005D7D4E"/>
    <w:rsid w:val="005E0045"/>
    <w:rsid w:val="005E0456"/>
    <w:rsid w:val="005E06D4"/>
    <w:rsid w:val="005E0A5D"/>
    <w:rsid w:val="005E0BF4"/>
    <w:rsid w:val="005E0FC1"/>
    <w:rsid w:val="005E1089"/>
    <w:rsid w:val="005E1191"/>
    <w:rsid w:val="005E11F0"/>
    <w:rsid w:val="005E124B"/>
    <w:rsid w:val="005E16B0"/>
    <w:rsid w:val="005E173B"/>
    <w:rsid w:val="005E1A7B"/>
    <w:rsid w:val="005E1AA6"/>
    <w:rsid w:val="005E1C51"/>
    <w:rsid w:val="005E1D6B"/>
    <w:rsid w:val="005E1E86"/>
    <w:rsid w:val="005E1F97"/>
    <w:rsid w:val="005E2302"/>
    <w:rsid w:val="005E277B"/>
    <w:rsid w:val="005E27FE"/>
    <w:rsid w:val="005E2B00"/>
    <w:rsid w:val="005E304E"/>
    <w:rsid w:val="005E3628"/>
    <w:rsid w:val="005E3670"/>
    <w:rsid w:val="005E3921"/>
    <w:rsid w:val="005E3F99"/>
    <w:rsid w:val="005E45AA"/>
    <w:rsid w:val="005E4783"/>
    <w:rsid w:val="005E48EC"/>
    <w:rsid w:val="005E4FA8"/>
    <w:rsid w:val="005E5081"/>
    <w:rsid w:val="005E56CA"/>
    <w:rsid w:val="005E5727"/>
    <w:rsid w:val="005E57F7"/>
    <w:rsid w:val="005E58BB"/>
    <w:rsid w:val="005E5E32"/>
    <w:rsid w:val="005E5E3F"/>
    <w:rsid w:val="005E6118"/>
    <w:rsid w:val="005E6631"/>
    <w:rsid w:val="005E673F"/>
    <w:rsid w:val="005E6919"/>
    <w:rsid w:val="005E6F73"/>
    <w:rsid w:val="005E72EC"/>
    <w:rsid w:val="005E75CA"/>
    <w:rsid w:val="005E75D4"/>
    <w:rsid w:val="005E79A5"/>
    <w:rsid w:val="005E7C54"/>
    <w:rsid w:val="005E7EA3"/>
    <w:rsid w:val="005F0BED"/>
    <w:rsid w:val="005F12BD"/>
    <w:rsid w:val="005F1A6C"/>
    <w:rsid w:val="005F1C42"/>
    <w:rsid w:val="005F2143"/>
    <w:rsid w:val="005F22D2"/>
    <w:rsid w:val="005F23E7"/>
    <w:rsid w:val="005F2453"/>
    <w:rsid w:val="005F252B"/>
    <w:rsid w:val="005F322E"/>
    <w:rsid w:val="005F3EEF"/>
    <w:rsid w:val="005F409A"/>
    <w:rsid w:val="005F4282"/>
    <w:rsid w:val="005F445E"/>
    <w:rsid w:val="005F469D"/>
    <w:rsid w:val="005F49A7"/>
    <w:rsid w:val="005F4C2C"/>
    <w:rsid w:val="005F4CC8"/>
    <w:rsid w:val="005F4E20"/>
    <w:rsid w:val="005F4E97"/>
    <w:rsid w:val="005F5016"/>
    <w:rsid w:val="005F57E6"/>
    <w:rsid w:val="005F5950"/>
    <w:rsid w:val="005F5B33"/>
    <w:rsid w:val="005F5FEC"/>
    <w:rsid w:val="005F637E"/>
    <w:rsid w:val="005F65E1"/>
    <w:rsid w:val="005F688D"/>
    <w:rsid w:val="005F71D4"/>
    <w:rsid w:val="005F7A62"/>
    <w:rsid w:val="005F7B98"/>
    <w:rsid w:val="005F7C33"/>
    <w:rsid w:val="005F7D14"/>
    <w:rsid w:val="006000AD"/>
    <w:rsid w:val="0060011F"/>
    <w:rsid w:val="00600706"/>
    <w:rsid w:val="00600866"/>
    <w:rsid w:val="00600AAC"/>
    <w:rsid w:val="00600AF6"/>
    <w:rsid w:val="00600BCD"/>
    <w:rsid w:val="00600E20"/>
    <w:rsid w:val="006010C5"/>
    <w:rsid w:val="00601157"/>
    <w:rsid w:val="006021FE"/>
    <w:rsid w:val="006023F4"/>
    <w:rsid w:val="0060268F"/>
    <w:rsid w:val="0060272A"/>
    <w:rsid w:val="00602765"/>
    <w:rsid w:val="00602899"/>
    <w:rsid w:val="00602AC8"/>
    <w:rsid w:val="00602ADF"/>
    <w:rsid w:val="00602CD3"/>
    <w:rsid w:val="00602DE4"/>
    <w:rsid w:val="0060371F"/>
    <w:rsid w:val="00603994"/>
    <w:rsid w:val="00603C04"/>
    <w:rsid w:val="00603EF9"/>
    <w:rsid w:val="006045ED"/>
    <w:rsid w:val="006046A4"/>
    <w:rsid w:val="006047C1"/>
    <w:rsid w:val="006049D3"/>
    <w:rsid w:val="00604C24"/>
    <w:rsid w:val="00604C35"/>
    <w:rsid w:val="00605032"/>
    <w:rsid w:val="00605177"/>
    <w:rsid w:val="006053CE"/>
    <w:rsid w:val="00605427"/>
    <w:rsid w:val="00605B71"/>
    <w:rsid w:val="00605D92"/>
    <w:rsid w:val="006061F7"/>
    <w:rsid w:val="006062CF"/>
    <w:rsid w:val="006065BB"/>
    <w:rsid w:val="00606BC9"/>
    <w:rsid w:val="00606CD9"/>
    <w:rsid w:val="00606E27"/>
    <w:rsid w:val="00606E4C"/>
    <w:rsid w:val="0060709E"/>
    <w:rsid w:val="006071C9"/>
    <w:rsid w:val="006072B8"/>
    <w:rsid w:val="0060747B"/>
    <w:rsid w:val="00607603"/>
    <w:rsid w:val="006076CB"/>
    <w:rsid w:val="00607B53"/>
    <w:rsid w:val="00607B9C"/>
    <w:rsid w:val="00607E19"/>
    <w:rsid w:val="0061026D"/>
    <w:rsid w:val="0061034A"/>
    <w:rsid w:val="00610388"/>
    <w:rsid w:val="006103C2"/>
    <w:rsid w:val="00610678"/>
    <w:rsid w:val="0061098F"/>
    <w:rsid w:val="00610AF3"/>
    <w:rsid w:val="00610C5F"/>
    <w:rsid w:val="00611244"/>
    <w:rsid w:val="006112D0"/>
    <w:rsid w:val="0061140F"/>
    <w:rsid w:val="00611882"/>
    <w:rsid w:val="00611BA4"/>
    <w:rsid w:val="00611ECB"/>
    <w:rsid w:val="00612281"/>
    <w:rsid w:val="00612567"/>
    <w:rsid w:val="00612AD4"/>
    <w:rsid w:val="00612CBF"/>
    <w:rsid w:val="00612D75"/>
    <w:rsid w:val="0061310B"/>
    <w:rsid w:val="006133A7"/>
    <w:rsid w:val="006136D3"/>
    <w:rsid w:val="00613734"/>
    <w:rsid w:val="006141BB"/>
    <w:rsid w:val="00614557"/>
    <w:rsid w:val="00614864"/>
    <w:rsid w:val="00614E03"/>
    <w:rsid w:val="006152AE"/>
    <w:rsid w:val="00615731"/>
    <w:rsid w:val="006157ED"/>
    <w:rsid w:val="00615BC4"/>
    <w:rsid w:val="00615BEA"/>
    <w:rsid w:val="00615EBD"/>
    <w:rsid w:val="00616746"/>
    <w:rsid w:val="00616B23"/>
    <w:rsid w:val="00616B9E"/>
    <w:rsid w:val="00616F5E"/>
    <w:rsid w:val="00617774"/>
    <w:rsid w:val="0061786F"/>
    <w:rsid w:val="006178BA"/>
    <w:rsid w:val="00617B56"/>
    <w:rsid w:val="00620047"/>
    <w:rsid w:val="00620515"/>
    <w:rsid w:val="00620696"/>
    <w:rsid w:val="00620CFA"/>
    <w:rsid w:val="00620D10"/>
    <w:rsid w:val="00621064"/>
    <w:rsid w:val="00621077"/>
    <w:rsid w:val="0062125D"/>
    <w:rsid w:val="0062141A"/>
    <w:rsid w:val="00621505"/>
    <w:rsid w:val="00621A26"/>
    <w:rsid w:val="00621B4C"/>
    <w:rsid w:val="00621C84"/>
    <w:rsid w:val="00621EC9"/>
    <w:rsid w:val="00622024"/>
    <w:rsid w:val="006222BB"/>
    <w:rsid w:val="0062275E"/>
    <w:rsid w:val="006227BF"/>
    <w:rsid w:val="00622877"/>
    <w:rsid w:val="00622A19"/>
    <w:rsid w:val="00622BDA"/>
    <w:rsid w:val="00622D4B"/>
    <w:rsid w:val="00622D74"/>
    <w:rsid w:val="00622E2E"/>
    <w:rsid w:val="00622E55"/>
    <w:rsid w:val="00622E96"/>
    <w:rsid w:val="00623042"/>
    <w:rsid w:val="00623470"/>
    <w:rsid w:val="006238D3"/>
    <w:rsid w:val="00623A3E"/>
    <w:rsid w:val="00623A64"/>
    <w:rsid w:val="00623DD3"/>
    <w:rsid w:val="00623F0F"/>
    <w:rsid w:val="0062423E"/>
    <w:rsid w:val="00624C08"/>
    <w:rsid w:val="00624C75"/>
    <w:rsid w:val="00624F9B"/>
    <w:rsid w:val="006250A3"/>
    <w:rsid w:val="00625157"/>
    <w:rsid w:val="006251B3"/>
    <w:rsid w:val="00625234"/>
    <w:rsid w:val="0062536D"/>
    <w:rsid w:val="006257A5"/>
    <w:rsid w:val="006257F6"/>
    <w:rsid w:val="00625D34"/>
    <w:rsid w:val="006260B7"/>
    <w:rsid w:val="00626F7F"/>
    <w:rsid w:val="00626FEA"/>
    <w:rsid w:val="00627087"/>
    <w:rsid w:val="00627154"/>
    <w:rsid w:val="0062734B"/>
    <w:rsid w:val="0062760A"/>
    <w:rsid w:val="006276A9"/>
    <w:rsid w:val="00627E16"/>
    <w:rsid w:val="00630241"/>
    <w:rsid w:val="006305A2"/>
    <w:rsid w:val="006305A7"/>
    <w:rsid w:val="006305FD"/>
    <w:rsid w:val="00630670"/>
    <w:rsid w:val="006307AE"/>
    <w:rsid w:val="006309B3"/>
    <w:rsid w:val="00630C26"/>
    <w:rsid w:val="00630EEC"/>
    <w:rsid w:val="00630F8C"/>
    <w:rsid w:val="00631077"/>
    <w:rsid w:val="00631B5B"/>
    <w:rsid w:val="006320A4"/>
    <w:rsid w:val="006320C1"/>
    <w:rsid w:val="00632267"/>
    <w:rsid w:val="006327E7"/>
    <w:rsid w:val="00632A8C"/>
    <w:rsid w:val="00632D6C"/>
    <w:rsid w:val="00632E1F"/>
    <w:rsid w:val="006330D6"/>
    <w:rsid w:val="0063310A"/>
    <w:rsid w:val="0063330B"/>
    <w:rsid w:val="00633902"/>
    <w:rsid w:val="00633DF4"/>
    <w:rsid w:val="0063452F"/>
    <w:rsid w:val="006345A7"/>
    <w:rsid w:val="00634B6F"/>
    <w:rsid w:val="00635832"/>
    <w:rsid w:val="0063583C"/>
    <w:rsid w:val="00635882"/>
    <w:rsid w:val="006359A8"/>
    <w:rsid w:val="00635B93"/>
    <w:rsid w:val="00635BCF"/>
    <w:rsid w:val="00635CC3"/>
    <w:rsid w:val="00635DEB"/>
    <w:rsid w:val="0063612C"/>
    <w:rsid w:val="006361A3"/>
    <w:rsid w:val="006364BC"/>
    <w:rsid w:val="00636768"/>
    <w:rsid w:val="0063683F"/>
    <w:rsid w:val="00636B45"/>
    <w:rsid w:val="00636DFC"/>
    <w:rsid w:val="006375D3"/>
    <w:rsid w:val="00637ADB"/>
    <w:rsid w:val="00637C07"/>
    <w:rsid w:val="00637DFF"/>
    <w:rsid w:val="00637E74"/>
    <w:rsid w:val="00637F26"/>
    <w:rsid w:val="00640108"/>
    <w:rsid w:val="0064011D"/>
    <w:rsid w:val="006401AC"/>
    <w:rsid w:val="00640358"/>
    <w:rsid w:val="006403E9"/>
    <w:rsid w:val="00640555"/>
    <w:rsid w:val="00640679"/>
    <w:rsid w:val="00640891"/>
    <w:rsid w:val="00640D93"/>
    <w:rsid w:val="00640D9C"/>
    <w:rsid w:val="006412E4"/>
    <w:rsid w:val="006413A2"/>
    <w:rsid w:val="006414CD"/>
    <w:rsid w:val="00641657"/>
    <w:rsid w:val="006417A6"/>
    <w:rsid w:val="00642643"/>
    <w:rsid w:val="0064268D"/>
    <w:rsid w:val="006426D2"/>
    <w:rsid w:val="0064271C"/>
    <w:rsid w:val="00642B38"/>
    <w:rsid w:val="00642D9F"/>
    <w:rsid w:val="00642EA4"/>
    <w:rsid w:val="00643519"/>
    <w:rsid w:val="006438FD"/>
    <w:rsid w:val="00643928"/>
    <w:rsid w:val="00643B15"/>
    <w:rsid w:val="00643B3C"/>
    <w:rsid w:val="00643CA8"/>
    <w:rsid w:val="00643F1E"/>
    <w:rsid w:val="006441D2"/>
    <w:rsid w:val="006443E1"/>
    <w:rsid w:val="00644645"/>
    <w:rsid w:val="006449F2"/>
    <w:rsid w:val="00644FB5"/>
    <w:rsid w:val="00645017"/>
    <w:rsid w:val="006451F5"/>
    <w:rsid w:val="0064558E"/>
    <w:rsid w:val="006455AF"/>
    <w:rsid w:val="00645902"/>
    <w:rsid w:val="00645B92"/>
    <w:rsid w:val="00645C87"/>
    <w:rsid w:val="00645EE5"/>
    <w:rsid w:val="006463CC"/>
    <w:rsid w:val="0064640F"/>
    <w:rsid w:val="00646602"/>
    <w:rsid w:val="00646E70"/>
    <w:rsid w:val="00647103"/>
    <w:rsid w:val="006476AE"/>
    <w:rsid w:val="00647D74"/>
    <w:rsid w:val="006501F3"/>
    <w:rsid w:val="0065024F"/>
    <w:rsid w:val="006503C5"/>
    <w:rsid w:val="006506A9"/>
    <w:rsid w:val="00650B66"/>
    <w:rsid w:val="00651072"/>
    <w:rsid w:val="00651305"/>
    <w:rsid w:val="0065167A"/>
    <w:rsid w:val="006519FD"/>
    <w:rsid w:val="00651B56"/>
    <w:rsid w:val="00651B82"/>
    <w:rsid w:val="00651D42"/>
    <w:rsid w:val="00651ED8"/>
    <w:rsid w:val="0065220E"/>
    <w:rsid w:val="0065235B"/>
    <w:rsid w:val="00652527"/>
    <w:rsid w:val="006525B3"/>
    <w:rsid w:val="006525B7"/>
    <w:rsid w:val="00652C58"/>
    <w:rsid w:val="00652CF8"/>
    <w:rsid w:val="00652F70"/>
    <w:rsid w:val="006530A0"/>
    <w:rsid w:val="00653538"/>
    <w:rsid w:val="0065367E"/>
    <w:rsid w:val="00653C9C"/>
    <w:rsid w:val="00653F20"/>
    <w:rsid w:val="00653FBE"/>
    <w:rsid w:val="006541DC"/>
    <w:rsid w:val="00654213"/>
    <w:rsid w:val="006542F7"/>
    <w:rsid w:val="00654323"/>
    <w:rsid w:val="006546B5"/>
    <w:rsid w:val="006546DC"/>
    <w:rsid w:val="00654C37"/>
    <w:rsid w:val="00654DAC"/>
    <w:rsid w:val="0065508C"/>
    <w:rsid w:val="006550C9"/>
    <w:rsid w:val="0065557B"/>
    <w:rsid w:val="00655AF2"/>
    <w:rsid w:val="00655F65"/>
    <w:rsid w:val="0065606A"/>
    <w:rsid w:val="00656205"/>
    <w:rsid w:val="00656390"/>
    <w:rsid w:val="006563DB"/>
    <w:rsid w:val="00656428"/>
    <w:rsid w:val="00656442"/>
    <w:rsid w:val="0065674A"/>
    <w:rsid w:val="006568DA"/>
    <w:rsid w:val="00656B7B"/>
    <w:rsid w:val="0065707D"/>
    <w:rsid w:val="006571D2"/>
    <w:rsid w:val="0065744B"/>
    <w:rsid w:val="0065770A"/>
    <w:rsid w:val="00657A39"/>
    <w:rsid w:val="00657C61"/>
    <w:rsid w:val="006606C2"/>
    <w:rsid w:val="006607AC"/>
    <w:rsid w:val="00660868"/>
    <w:rsid w:val="00660880"/>
    <w:rsid w:val="00660915"/>
    <w:rsid w:val="00660DC0"/>
    <w:rsid w:val="00660E46"/>
    <w:rsid w:val="00660EDA"/>
    <w:rsid w:val="00660F32"/>
    <w:rsid w:val="0066123D"/>
    <w:rsid w:val="0066184E"/>
    <w:rsid w:val="00661AA3"/>
    <w:rsid w:val="00661E21"/>
    <w:rsid w:val="00661F33"/>
    <w:rsid w:val="00661F59"/>
    <w:rsid w:val="00661FDE"/>
    <w:rsid w:val="006621B7"/>
    <w:rsid w:val="006621F5"/>
    <w:rsid w:val="0066224A"/>
    <w:rsid w:val="006622D4"/>
    <w:rsid w:val="006628B9"/>
    <w:rsid w:val="00662F58"/>
    <w:rsid w:val="0066313E"/>
    <w:rsid w:val="0066326D"/>
    <w:rsid w:val="006634E2"/>
    <w:rsid w:val="00663684"/>
    <w:rsid w:val="0066371F"/>
    <w:rsid w:val="006638E0"/>
    <w:rsid w:val="0066397D"/>
    <w:rsid w:val="00663C95"/>
    <w:rsid w:val="00663FAA"/>
    <w:rsid w:val="006640AC"/>
    <w:rsid w:val="0066435A"/>
    <w:rsid w:val="00664399"/>
    <w:rsid w:val="006644C1"/>
    <w:rsid w:val="0066461D"/>
    <w:rsid w:val="00664DDE"/>
    <w:rsid w:val="00665117"/>
    <w:rsid w:val="00665524"/>
    <w:rsid w:val="00665722"/>
    <w:rsid w:val="00665883"/>
    <w:rsid w:val="00665CF1"/>
    <w:rsid w:val="006662C0"/>
    <w:rsid w:val="006664C3"/>
    <w:rsid w:val="00666AC2"/>
    <w:rsid w:val="00666BE3"/>
    <w:rsid w:val="00666BFC"/>
    <w:rsid w:val="00666CB3"/>
    <w:rsid w:val="00666DA1"/>
    <w:rsid w:val="006679DC"/>
    <w:rsid w:val="00667B06"/>
    <w:rsid w:val="00667B49"/>
    <w:rsid w:val="00667D15"/>
    <w:rsid w:val="00667DD1"/>
    <w:rsid w:val="00667F20"/>
    <w:rsid w:val="00667F57"/>
    <w:rsid w:val="00670189"/>
    <w:rsid w:val="0067032E"/>
    <w:rsid w:val="0067074D"/>
    <w:rsid w:val="006707E5"/>
    <w:rsid w:val="006708FE"/>
    <w:rsid w:val="00670B4B"/>
    <w:rsid w:val="00671015"/>
    <w:rsid w:val="006710A3"/>
    <w:rsid w:val="0067138D"/>
    <w:rsid w:val="0067139D"/>
    <w:rsid w:val="0067148E"/>
    <w:rsid w:val="00671603"/>
    <w:rsid w:val="0067163E"/>
    <w:rsid w:val="0067168F"/>
    <w:rsid w:val="00671691"/>
    <w:rsid w:val="00671AC0"/>
    <w:rsid w:val="00671D8A"/>
    <w:rsid w:val="0067207D"/>
    <w:rsid w:val="006720DF"/>
    <w:rsid w:val="006721CE"/>
    <w:rsid w:val="00672325"/>
    <w:rsid w:val="006728E0"/>
    <w:rsid w:val="00672913"/>
    <w:rsid w:val="00672D98"/>
    <w:rsid w:val="00673099"/>
    <w:rsid w:val="0067313F"/>
    <w:rsid w:val="0067319C"/>
    <w:rsid w:val="0067322E"/>
    <w:rsid w:val="00673282"/>
    <w:rsid w:val="00673416"/>
    <w:rsid w:val="00673808"/>
    <w:rsid w:val="0067427F"/>
    <w:rsid w:val="0067441F"/>
    <w:rsid w:val="0067452C"/>
    <w:rsid w:val="00674623"/>
    <w:rsid w:val="0067465C"/>
    <w:rsid w:val="00674992"/>
    <w:rsid w:val="00675294"/>
    <w:rsid w:val="00675753"/>
    <w:rsid w:val="006757E3"/>
    <w:rsid w:val="00675882"/>
    <w:rsid w:val="0067595A"/>
    <w:rsid w:val="006759D7"/>
    <w:rsid w:val="00675A8F"/>
    <w:rsid w:val="006760C5"/>
    <w:rsid w:val="00676322"/>
    <w:rsid w:val="00676709"/>
    <w:rsid w:val="006769A8"/>
    <w:rsid w:val="00676A8F"/>
    <w:rsid w:val="00677192"/>
    <w:rsid w:val="00677625"/>
    <w:rsid w:val="00677791"/>
    <w:rsid w:val="00677860"/>
    <w:rsid w:val="00677B17"/>
    <w:rsid w:val="00677CB1"/>
    <w:rsid w:val="00677E99"/>
    <w:rsid w:val="00677F61"/>
    <w:rsid w:val="00680718"/>
    <w:rsid w:val="006807AF"/>
    <w:rsid w:val="00680DF3"/>
    <w:rsid w:val="00680EEC"/>
    <w:rsid w:val="00681371"/>
    <w:rsid w:val="006814FF"/>
    <w:rsid w:val="00681573"/>
    <w:rsid w:val="006815B3"/>
    <w:rsid w:val="006815BB"/>
    <w:rsid w:val="006819F9"/>
    <w:rsid w:val="00681A38"/>
    <w:rsid w:val="00681C85"/>
    <w:rsid w:val="00682256"/>
    <w:rsid w:val="006822C7"/>
    <w:rsid w:val="006827EF"/>
    <w:rsid w:val="006829D6"/>
    <w:rsid w:val="00683026"/>
    <w:rsid w:val="00683238"/>
    <w:rsid w:val="006833DC"/>
    <w:rsid w:val="006837F0"/>
    <w:rsid w:val="00683E4A"/>
    <w:rsid w:val="006844C2"/>
    <w:rsid w:val="006845C2"/>
    <w:rsid w:val="00684967"/>
    <w:rsid w:val="00684B26"/>
    <w:rsid w:val="00684EB8"/>
    <w:rsid w:val="00684FA6"/>
    <w:rsid w:val="00685200"/>
    <w:rsid w:val="00685366"/>
    <w:rsid w:val="00685457"/>
    <w:rsid w:val="0068545E"/>
    <w:rsid w:val="00685574"/>
    <w:rsid w:val="00685A5C"/>
    <w:rsid w:val="00685C4B"/>
    <w:rsid w:val="00685E4E"/>
    <w:rsid w:val="00686244"/>
    <w:rsid w:val="00686438"/>
    <w:rsid w:val="00686761"/>
    <w:rsid w:val="006869B4"/>
    <w:rsid w:val="006869F6"/>
    <w:rsid w:val="0068704F"/>
    <w:rsid w:val="006870CC"/>
    <w:rsid w:val="0068722C"/>
    <w:rsid w:val="00687760"/>
    <w:rsid w:val="00687D32"/>
    <w:rsid w:val="0069036A"/>
    <w:rsid w:val="0069043F"/>
    <w:rsid w:val="00690805"/>
    <w:rsid w:val="00690B45"/>
    <w:rsid w:val="00690D26"/>
    <w:rsid w:val="00690DBE"/>
    <w:rsid w:val="0069115C"/>
    <w:rsid w:val="0069122D"/>
    <w:rsid w:val="006914F2"/>
    <w:rsid w:val="00691625"/>
    <w:rsid w:val="00691655"/>
    <w:rsid w:val="00691892"/>
    <w:rsid w:val="006918CC"/>
    <w:rsid w:val="00691929"/>
    <w:rsid w:val="00691F14"/>
    <w:rsid w:val="0069205C"/>
    <w:rsid w:val="0069284B"/>
    <w:rsid w:val="00692A59"/>
    <w:rsid w:val="00692B79"/>
    <w:rsid w:val="00693000"/>
    <w:rsid w:val="00693133"/>
    <w:rsid w:val="00693515"/>
    <w:rsid w:val="0069380A"/>
    <w:rsid w:val="006942E4"/>
    <w:rsid w:val="006946A6"/>
    <w:rsid w:val="00694732"/>
    <w:rsid w:val="0069483A"/>
    <w:rsid w:val="00694A54"/>
    <w:rsid w:val="00694D3F"/>
    <w:rsid w:val="00694DBE"/>
    <w:rsid w:val="00694EF2"/>
    <w:rsid w:val="00694F57"/>
    <w:rsid w:val="0069517C"/>
    <w:rsid w:val="00695341"/>
    <w:rsid w:val="006959C8"/>
    <w:rsid w:val="00695A7D"/>
    <w:rsid w:val="00695BC0"/>
    <w:rsid w:val="00695F79"/>
    <w:rsid w:val="0069605C"/>
    <w:rsid w:val="00696157"/>
    <w:rsid w:val="00696D0C"/>
    <w:rsid w:val="00696EFE"/>
    <w:rsid w:val="0069707F"/>
    <w:rsid w:val="006972AB"/>
    <w:rsid w:val="00697315"/>
    <w:rsid w:val="00697461"/>
    <w:rsid w:val="0069799F"/>
    <w:rsid w:val="00697BD9"/>
    <w:rsid w:val="006A0491"/>
    <w:rsid w:val="006A04F3"/>
    <w:rsid w:val="006A0EBE"/>
    <w:rsid w:val="006A0F67"/>
    <w:rsid w:val="006A101C"/>
    <w:rsid w:val="006A1713"/>
    <w:rsid w:val="006A198F"/>
    <w:rsid w:val="006A1A0E"/>
    <w:rsid w:val="006A1A9E"/>
    <w:rsid w:val="006A1D5F"/>
    <w:rsid w:val="006A1E91"/>
    <w:rsid w:val="006A219F"/>
    <w:rsid w:val="006A2419"/>
    <w:rsid w:val="006A25CE"/>
    <w:rsid w:val="006A26D1"/>
    <w:rsid w:val="006A289C"/>
    <w:rsid w:val="006A2ADA"/>
    <w:rsid w:val="006A2D7A"/>
    <w:rsid w:val="006A2DF4"/>
    <w:rsid w:val="006A2E3B"/>
    <w:rsid w:val="006A32D3"/>
    <w:rsid w:val="006A3778"/>
    <w:rsid w:val="006A390D"/>
    <w:rsid w:val="006A39E5"/>
    <w:rsid w:val="006A3A7A"/>
    <w:rsid w:val="006A3D31"/>
    <w:rsid w:val="006A3DBA"/>
    <w:rsid w:val="006A3E04"/>
    <w:rsid w:val="006A3E71"/>
    <w:rsid w:val="006A3F50"/>
    <w:rsid w:val="006A401D"/>
    <w:rsid w:val="006A427D"/>
    <w:rsid w:val="006A43D8"/>
    <w:rsid w:val="006A46CE"/>
    <w:rsid w:val="006A46F2"/>
    <w:rsid w:val="006A4912"/>
    <w:rsid w:val="006A4BC2"/>
    <w:rsid w:val="006A4C1B"/>
    <w:rsid w:val="006A4DD1"/>
    <w:rsid w:val="006A5005"/>
    <w:rsid w:val="006A53AD"/>
    <w:rsid w:val="006A5519"/>
    <w:rsid w:val="006A5581"/>
    <w:rsid w:val="006A560D"/>
    <w:rsid w:val="006A5C84"/>
    <w:rsid w:val="006A5FFE"/>
    <w:rsid w:val="006A6485"/>
    <w:rsid w:val="006A652D"/>
    <w:rsid w:val="006A6968"/>
    <w:rsid w:val="006A6A59"/>
    <w:rsid w:val="006A7490"/>
    <w:rsid w:val="006A76E4"/>
    <w:rsid w:val="006A7A70"/>
    <w:rsid w:val="006A7B94"/>
    <w:rsid w:val="006A7E35"/>
    <w:rsid w:val="006B02E4"/>
    <w:rsid w:val="006B035D"/>
    <w:rsid w:val="006B05BA"/>
    <w:rsid w:val="006B076E"/>
    <w:rsid w:val="006B079E"/>
    <w:rsid w:val="006B0810"/>
    <w:rsid w:val="006B0992"/>
    <w:rsid w:val="006B0B2D"/>
    <w:rsid w:val="006B1065"/>
    <w:rsid w:val="006B10EA"/>
    <w:rsid w:val="006B11B0"/>
    <w:rsid w:val="006B12A4"/>
    <w:rsid w:val="006B1567"/>
    <w:rsid w:val="006B1706"/>
    <w:rsid w:val="006B1888"/>
    <w:rsid w:val="006B1EA3"/>
    <w:rsid w:val="006B1F87"/>
    <w:rsid w:val="006B2021"/>
    <w:rsid w:val="006B2491"/>
    <w:rsid w:val="006B24B6"/>
    <w:rsid w:val="006B26C2"/>
    <w:rsid w:val="006B2B67"/>
    <w:rsid w:val="006B2EC2"/>
    <w:rsid w:val="006B33BB"/>
    <w:rsid w:val="006B33D4"/>
    <w:rsid w:val="006B3B0D"/>
    <w:rsid w:val="006B3C73"/>
    <w:rsid w:val="006B3CC9"/>
    <w:rsid w:val="006B3EDB"/>
    <w:rsid w:val="006B4468"/>
    <w:rsid w:val="006B45B5"/>
    <w:rsid w:val="006B4B53"/>
    <w:rsid w:val="006B513B"/>
    <w:rsid w:val="006B5706"/>
    <w:rsid w:val="006B5AFA"/>
    <w:rsid w:val="006B5B3B"/>
    <w:rsid w:val="006B5C26"/>
    <w:rsid w:val="006B5C6F"/>
    <w:rsid w:val="006B60CC"/>
    <w:rsid w:val="006B6100"/>
    <w:rsid w:val="006B6BB5"/>
    <w:rsid w:val="006B6EDF"/>
    <w:rsid w:val="006B7327"/>
    <w:rsid w:val="006B73B2"/>
    <w:rsid w:val="006B7B41"/>
    <w:rsid w:val="006C0108"/>
    <w:rsid w:val="006C012F"/>
    <w:rsid w:val="006C0203"/>
    <w:rsid w:val="006C06E7"/>
    <w:rsid w:val="006C0F02"/>
    <w:rsid w:val="006C0F08"/>
    <w:rsid w:val="006C0FFF"/>
    <w:rsid w:val="006C1362"/>
    <w:rsid w:val="006C14F8"/>
    <w:rsid w:val="006C1741"/>
    <w:rsid w:val="006C1D6E"/>
    <w:rsid w:val="006C1DEF"/>
    <w:rsid w:val="006C235F"/>
    <w:rsid w:val="006C293E"/>
    <w:rsid w:val="006C2954"/>
    <w:rsid w:val="006C2D22"/>
    <w:rsid w:val="006C3357"/>
    <w:rsid w:val="006C341A"/>
    <w:rsid w:val="006C37FA"/>
    <w:rsid w:val="006C3B73"/>
    <w:rsid w:val="006C417C"/>
    <w:rsid w:val="006C4293"/>
    <w:rsid w:val="006C42B4"/>
    <w:rsid w:val="006C4411"/>
    <w:rsid w:val="006C44B9"/>
    <w:rsid w:val="006C452D"/>
    <w:rsid w:val="006C4560"/>
    <w:rsid w:val="006C45E1"/>
    <w:rsid w:val="006C4791"/>
    <w:rsid w:val="006C4C13"/>
    <w:rsid w:val="006C4C64"/>
    <w:rsid w:val="006C534E"/>
    <w:rsid w:val="006C53EF"/>
    <w:rsid w:val="006C556E"/>
    <w:rsid w:val="006C5876"/>
    <w:rsid w:val="006C58EC"/>
    <w:rsid w:val="006C5B45"/>
    <w:rsid w:val="006C5EA2"/>
    <w:rsid w:val="006C6013"/>
    <w:rsid w:val="006C6434"/>
    <w:rsid w:val="006C6599"/>
    <w:rsid w:val="006C6661"/>
    <w:rsid w:val="006C6A2D"/>
    <w:rsid w:val="006C6A77"/>
    <w:rsid w:val="006C7012"/>
    <w:rsid w:val="006C71E3"/>
    <w:rsid w:val="006C76E2"/>
    <w:rsid w:val="006C79F2"/>
    <w:rsid w:val="006C7AAB"/>
    <w:rsid w:val="006C7F09"/>
    <w:rsid w:val="006D03B0"/>
    <w:rsid w:val="006D0468"/>
    <w:rsid w:val="006D079B"/>
    <w:rsid w:val="006D08E7"/>
    <w:rsid w:val="006D0EF8"/>
    <w:rsid w:val="006D0FD6"/>
    <w:rsid w:val="006D12A3"/>
    <w:rsid w:val="006D19D5"/>
    <w:rsid w:val="006D19DF"/>
    <w:rsid w:val="006D1B13"/>
    <w:rsid w:val="006D1F1C"/>
    <w:rsid w:val="006D20C9"/>
    <w:rsid w:val="006D216C"/>
    <w:rsid w:val="006D2821"/>
    <w:rsid w:val="006D298F"/>
    <w:rsid w:val="006D29E9"/>
    <w:rsid w:val="006D2E14"/>
    <w:rsid w:val="006D2EE5"/>
    <w:rsid w:val="006D303F"/>
    <w:rsid w:val="006D314D"/>
    <w:rsid w:val="006D330C"/>
    <w:rsid w:val="006D3415"/>
    <w:rsid w:val="006D345A"/>
    <w:rsid w:val="006D3B97"/>
    <w:rsid w:val="006D3E35"/>
    <w:rsid w:val="006D459E"/>
    <w:rsid w:val="006D4603"/>
    <w:rsid w:val="006D4635"/>
    <w:rsid w:val="006D4677"/>
    <w:rsid w:val="006D47D3"/>
    <w:rsid w:val="006D4A06"/>
    <w:rsid w:val="006D4CEE"/>
    <w:rsid w:val="006D52FD"/>
    <w:rsid w:val="006D53BC"/>
    <w:rsid w:val="006D54B7"/>
    <w:rsid w:val="006D573D"/>
    <w:rsid w:val="006D57CA"/>
    <w:rsid w:val="006D5F80"/>
    <w:rsid w:val="006D6440"/>
    <w:rsid w:val="006D685E"/>
    <w:rsid w:val="006D6BAD"/>
    <w:rsid w:val="006D6DAC"/>
    <w:rsid w:val="006D745C"/>
    <w:rsid w:val="006D78FB"/>
    <w:rsid w:val="006D7CA6"/>
    <w:rsid w:val="006D7D27"/>
    <w:rsid w:val="006D7DDD"/>
    <w:rsid w:val="006E0304"/>
    <w:rsid w:val="006E0582"/>
    <w:rsid w:val="006E0849"/>
    <w:rsid w:val="006E09E7"/>
    <w:rsid w:val="006E0A9E"/>
    <w:rsid w:val="006E0D90"/>
    <w:rsid w:val="006E0F6A"/>
    <w:rsid w:val="006E1231"/>
    <w:rsid w:val="006E133C"/>
    <w:rsid w:val="006E1513"/>
    <w:rsid w:val="006E19CE"/>
    <w:rsid w:val="006E1B7D"/>
    <w:rsid w:val="006E1C71"/>
    <w:rsid w:val="006E212F"/>
    <w:rsid w:val="006E22DD"/>
    <w:rsid w:val="006E259C"/>
    <w:rsid w:val="006E2A99"/>
    <w:rsid w:val="006E2B7D"/>
    <w:rsid w:val="006E2BFB"/>
    <w:rsid w:val="006E2D9A"/>
    <w:rsid w:val="006E2EA9"/>
    <w:rsid w:val="006E2FD8"/>
    <w:rsid w:val="006E3035"/>
    <w:rsid w:val="006E3499"/>
    <w:rsid w:val="006E3BCE"/>
    <w:rsid w:val="006E4268"/>
    <w:rsid w:val="006E428A"/>
    <w:rsid w:val="006E445A"/>
    <w:rsid w:val="006E44AC"/>
    <w:rsid w:val="006E4655"/>
    <w:rsid w:val="006E4C50"/>
    <w:rsid w:val="006E4D7A"/>
    <w:rsid w:val="006E50C7"/>
    <w:rsid w:val="006E57C4"/>
    <w:rsid w:val="006E5939"/>
    <w:rsid w:val="006E5B90"/>
    <w:rsid w:val="006E5D2E"/>
    <w:rsid w:val="006E6187"/>
    <w:rsid w:val="006E6234"/>
    <w:rsid w:val="006E6323"/>
    <w:rsid w:val="006E6372"/>
    <w:rsid w:val="006E660E"/>
    <w:rsid w:val="006E66A0"/>
    <w:rsid w:val="006E68F4"/>
    <w:rsid w:val="006E6A99"/>
    <w:rsid w:val="006E703D"/>
    <w:rsid w:val="006E757F"/>
    <w:rsid w:val="006E7653"/>
    <w:rsid w:val="006E7687"/>
    <w:rsid w:val="006E777A"/>
    <w:rsid w:val="006E7A5C"/>
    <w:rsid w:val="006E7B69"/>
    <w:rsid w:val="006E7D4C"/>
    <w:rsid w:val="006F007A"/>
    <w:rsid w:val="006F0086"/>
    <w:rsid w:val="006F00F7"/>
    <w:rsid w:val="006F026C"/>
    <w:rsid w:val="006F0649"/>
    <w:rsid w:val="006F0969"/>
    <w:rsid w:val="006F0D36"/>
    <w:rsid w:val="006F0D45"/>
    <w:rsid w:val="006F130A"/>
    <w:rsid w:val="006F1339"/>
    <w:rsid w:val="006F19C4"/>
    <w:rsid w:val="006F1BC2"/>
    <w:rsid w:val="006F1C60"/>
    <w:rsid w:val="006F1CB4"/>
    <w:rsid w:val="006F1FBC"/>
    <w:rsid w:val="006F22D6"/>
    <w:rsid w:val="006F2437"/>
    <w:rsid w:val="006F29AF"/>
    <w:rsid w:val="006F2A69"/>
    <w:rsid w:val="006F2C11"/>
    <w:rsid w:val="006F2C2E"/>
    <w:rsid w:val="006F2CA9"/>
    <w:rsid w:val="006F2D03"/>
    <w:rsid w:val="006F32E5"/>
    <w:rsid w:val="006F3952"/>
    <w:rsid w:val="006F3A48"/>
    <w:rsid w:val="006F3D25"/>
    <w:rsid w:val="006F3EE4"/>
    <w:rsid w:val="006F40B2"/>
    <w:rsid w:val="006F44CA"/>
    <w:rsid w:val="006F4858"/>
    <w:rsid w:val="006F4C75"/>
    <w:rsid w:val="006F4F5A"/>
    <w:rsid w:val="006F55B0"/>
    <w:rsid w:val="006F5939"/>
    <w:rsid w:val="006F5DC0"/>
    <w:rsid w:val="006F5DF1"/>
    <w:rsid w:val="006F5F71"/>
    <w:rsid w:val="006F5F79"/>
    <w:rsid w:val="006F6348"/>
    <w:rsid w:val="006F65A0"/>
    <w:rsid w:val="006F671D"/>
    <w:rsid w:val="006F6BAF"/>
    <w:rsid w:val="006F6EB8"/>
    <w:rsid w:val="006F72B8"/>
    <w:rsid w:val="006F75E3"/>
    <w:rsid w:val="006F79F5"/>
    <w:rsid w:val="006F7BBC"/>
    <w:rsid w:val="006F7C30"/>
    <w:rsid w:val="006F7EC6"/>
    <w:rsid w:val="007004AF"/>
    <w:rsid w:val="007005C3"/>
    <w:rsid w:val="00700A8E"/>
    <w:rsid w:val="00700B01"/>
    <w:rsid w:val="00700E44"/>
    <w:rsid w:val="0070116D"/>
    <w:rsid w:val="0070177D"/>
    <w:rsid w:val="007017A4"/>
    <w:rsid w:val="007017DE"/>
    <w:rsid w:val="00701835"/>
    <w:rsid w:val="007019D0"/>
    <w:rsid w:val="00701C67"/>
    <w:rsid w:val="00701CF1"/>
    <w:rsid w:val="0070226D"/>
    <w:rsid w:val="00702358"/>
    <w:rsid w:val="00702494"/>
    <w:rsid w:val="007024AF"/>
    <w:rsid w:val="00702A92"/>
    <w:rsid w:val="00702B5D"/>
    <w:rsid w:val="00702E19"/>
    <w:rsid w:val="0070303F"/>
    <w:rsid w:val="00703354"/>
    <w:rsid w:val="007034B9"/>
    <w:rsid w:val="00703A66"/>
    <w:rsid w:val="00703D9C"/>
    <w:rsid w:val="00703EA9"/>
    <w:rsid w:val="00703EAB"/>
    <w:rsid w:val="0070421B"/>
    <w:rsid w:val="007042CE"/>
    <w:rsid w:val="00704618"/>
    <w:rsid w:val="0070465A"/>
    <w:rsid w:val="007046C3"/>
    <w:rsid w:val="007047DA"/>
    <w:rsid w:val="00704B9C"/>
    <w:rsid w:val="00704CFC"/>
    <w:rsid w:val="00704F79"/>
    <w:rsid w:val="0070502C"/>
    <w:rsid w:val="007051CD"/>
    <w:rsid w:val="00705232"/>
    <w:rsid w:val="00705253"/>
    <w:rsid w:val="007052CD"/>
    <w:rsid w:val="0070533A"/>
    <w:rsid w:val="00705831"/>
    <w:rsid w:val="0070594E"/>
    <w:rsid w:val="0070598D"/>
    <w:rsid w:val="00705C2E"/>
    <w:rsid w:val="00706049"/>
    <w:rsid w:val="007060DE"/>
    <w:rsid w:val="0070614C"/>
    <w:rsid w:val="00706247"/>
    <w:rsid w:val="007062CD"/>
    <w:rsid w:val="007066AD"/>
    <w:rsid w:val="00706778"/>
    <w:rsid w:val="00706C15"/>
    <w:rsid w:val="0070724B"/>
    <w:rsid w:val="007074BD"/>
    <w:rsid w:val="00707806"/>
    <w:rsid w:val="00710373"/>
    <w:rsid w:val="007104DD"/>
    <w:rsid w:val="007104E5"/>
    <w:rsid w:val="007108C8"/>
    <w:rsid w:val="00711149"/>
    <w:rsid w:val="00711806"/>
    <w:rsid w:val="00711D77"/>
    <w:rsid w:val="00712224"/>
    <w:rsid w:val="00712234"/>
    <w:rsid w:val="007123C8"/>
    <w:rsid w:val="007127C0"/>
    <w:rsid w:val="00712834"/>
    <w:rsid w:val="00712B9E"/>
    <w:rsid w:val="00712E6F"/>
    <w:rsid w:val="00713014"/>
    <w:rsid w:val="0071304E"/>
    <w:rsid w:val="00713262"/>
    <w:rsid w:val="007137AC"/>
    <w:rsid w:val="00713939"/>
    <w:rsid w:val="00713A68"/>
    <w:rsid w:val="00713D4B"/>
    <w:rsid w:val="0071408B"/>
    <w:rsid w:val="00714162"/>
    <w:rsid w:val="00714180"/>
    <w:rsid w:val="0071452B"/>
    <w:rsid w:val="007147F9"/>
    <w:rsid w:val="00714984"/>
    <w:rsid w:val="00714A7D"/>
    <w:rsid w:val="00714B1D"/>
    <w:rsid w:val="00714CBF"/>
    <w:rsid w:val="00714E4D"/>
    <w:rsid w:val="00715186"/>
    <w:rsid w:val="00715357"/>
    <w:rsid w:val="0071539D"/>
    <w:rsid w:val="007154C8"/>
    <w:rsid w:val="00715E16"/>
    <w:rsid w:val="00715F00"/>
    <w:rsid w:val="00715F05"/>
    <w:rsid w:val="007161CB"/>
    <w:rsid w:val="0071637F"/>
    <w:rsid w:val="00716574"/>
    <w:rsid w:val="0071668C"/>
    <w:rsid w:val="00716711"/>
    <w:rsid w:val="00716B91"/>
    <w:rsid w:val="00716CCA"/>
    <w:rsid w:val="00716E12"/>
    <w:rsid w:val="00716FED"/>
    <w:rsid w:val="0071747F"/>
    <w:rsid w:val="00717529"/>
    <w:rsid w:val="00717861"/>
    <w:rsid w:val="007178BE"/>
    <w:rsid w:val="00717D14"/>
    <w:rsid w:val="00720196"/>
    <w:rsid w:val="007202BF"/>
    <w:rsid w:val="00720693"/>
    <w:rsid w:val="00720B01"/>
    <w:rsid w:val="00720B71"/>
    <w:rsid w:val="00720DF9"/>
    <w:rsid w:val="007210FA"/>
    <w:rsid w:val="00721147"/>
    <w:rsid w:val="00721295"/>
    <w:rsid w:val="007212C4"/>
    <w:rsid w:val="007216A6"/>
    <w:rsid w:val="007216E0"/>
    <w:rsid w:val="00721EB3"/>
    <w:rsid w:val="00721EE0"/>
    <w:rsid w:val="00721F98"/>
    <w:rsid w:val="00722014"/>
    <w:rsid w:val="00722037"/>
    <w:rsid w:val="00722376"/>
    <w:rsid w:val="00722570"/>
    <w:rsid w:val="007225DA"/>
    <w:rsid w:val="007227E3"/>
    <w:rsid w:val="00722930"/>
    <w:rsid w:val="00722D7F"/>
    <w:rsid w:val="00722DAC"/>
    <w:rsid w:val="00722E24"/>
    <w:rsid w:val="007230CB"/>
    <w:rsid w:val="00723588"/>
    <w:rsid w:val="00723774"/>
    <w:rsid w:val="0072382E"/>
    <w:rsid w:val="00723A22"/>
    <w:rsid w:val="00723C22"/>
    <w:rsid w:val="007242AE"/>
    <w:rsid w:val="007246E0"/>
    <w:rsid w:val="00724922"/>
    <w:rsid w:val="00724A49"/>
    <w:rsid w:val="00724ABB"/>
    <w:rsid w:val="00724DA1"/>
    <w:rsid w:val="00724E37"/>
    <w:rsid w:val="00724E98"/>
    <w:rsid w:val="00724F3B"/>
    <w:rsid w:val="0072508E"/>
    <w:rsid w:val="00725202"/>
    <w:rsid w:val="007252E4"/>
    <w:rsid w:val="0072530F"/>
    <w:rsid w:val="00725671"/>
    <w:rsid w:val="00725CA4"/>
    <w:rsid w:val="00725E12"/>
    <w:rsid w:val="00725E92"/>
    <w:rsid w:val="00726CDC"/>
    <w:rsid w:val="00726FB0"/>
    <w:rsid w:val="00727029"/>
    <w:rsid w:val="007275D7"/>
    <w:rsid w:val="00727672"/>
    <w:rsid w:val="007276F2"/>
    <w:rsid w:val="007277A3"/>
    <w:rsid w:val="007278A2"/>
    <w:rsid w:val="0072795A"/>
    <w:rsid w:val="00727B85"/>
    <w:rsid w:val="00727C99"/>
    <w:rsid w:val="007303E2"/>
    <w:rsid w:val="00730657"/>
    <w:rsid w:val="0073074C"/>
    <w:rsid w:val="00730832"/>
    <w:rsid w:val="00730916"/>
    <w:rsid w:val="00730C8D"/>
    <w:rsid w:val="00730FF2"/>
    <w:rsid w:val="0073116B"/>
    <w:rsid w:val="007316CB"/>
    <w:rsid w:val="007317E7"/>
    <w:rsid w:val="007319D7"/>
    <w:rsid w:val="00731A00"/>
    <w:rsid w:val="00731E0A"/>
    <w:rsid w:val="00732340"/>
    <w:rsid w:val="007328C0"/>
    <w:rsid w:val="0073290C"/>
    <w:rsid w:val="007329CB"/>
    <w:rsid w:val="00732B49"/>
    <w:rsid w:val="00732BCF"/>
    <w:rsid w:val="007333F6"/>
    <w:rsid w:val="00733441"/>
    <w:rsid w:val="00733633"/>
    <w:rsid w:val="00733721"/>
    <w:rsid w:val="0073395B"/>
    <w:rsid w:val="00733B00"/>
    <w:rsid w:val="00733DD6"/>
    <w:rsid w:val="007340A6"/>
    <w:rsid w:val="00734213"/>
    <w:rsid w:val="00734417"/>
    <w:rsid w:val="007348F3"/>
    <w:rsid w:val="00735102"/>
    <w:rsid w:val="00735456"/>
    <w:rsid w:val="007355A7"/>
    <w:rsid w:val="00735649"/>
    <w:rsid w:val="007357BE"/>
    <w:rsid w:val="0073604A"/>
    <w:rsid w:val="0073622C"/>
    <w:rsid w:val="0073632F"/>
    <w:rsid w:val="00736472"/>
    <w:rsid w:val="0073650E"/>
    <w:rsid w:val="00736580"/>
    <w:rsid w:val="0073668D"/>
    <w:rsid w:val="00736848"/>
    <w:rsid w:val="00736B80"/>
    <w:rsid w:val="00736DBF"/>
    <w:rsid w:val="00736DC7"/>
    <w:rsid w:val="007370CA"/>
    <w:rsid w:val="007372A6"/>
    <w:rsid w:val="007372F4"/>
    <w:rsid w:val="007374EE"/>
    <w:rsid w:val="00737534"/>
    <w:rsid w:val="00737779"/>
    <w:rsid w:val="00737865"/>
    <w:rsid w:val="0073798A"/>
    <w:rsid w:val="00737BF6"/>
    <w:rsid w:val="007401C7"/>
    <w:rsid w:val="007405BB"/>
    <w:rsid w:val="00740BFD"/>
    <w:rsid w:val="00740DCC"/>
    <w:rsid w:val="007412F3"/>
    <w:rsid w:val="0074138E"/>
    <w:rsid w:val="007418ED"/>
    <w:rsid w:val="0074193A"/>
    <w:rsid w:val="00741B9B"/>
    <w:rsid w:val="00741E35"/>
    <w:rsid w:val="00741EBF"/>
    <w:rsid w:val="00742365"/>
    <w:rsid w:val="00742822"/>
    <w:rsid w:val="007429E3"/>
    <w:rsid w:val="00742C0B"/>
    <w:rsid w:val="00742D17"/>
    <w:rsid w:val="007432FD"/>
    <w:rsid w:val="007433FA"/>
    <w:rsid w:val="007436B7"/>
    <w:rsid w:val="00743A30"/>
    <w:rsid w:val="00743E6E"/>
    <w:rsid w:val="00743E9B"/>
    <w:rsid w:val="00744045"/>
    <w:rsid w:val="007440B8"/>
    <w:rsid w:val="007443F3"/>
    <w:rsid w:val="0074455E"/>
    <w:rsid w:val="00744AE3"/>
    <w:rsid w:val="00744C8D"/>
    <w:rsid w:val="0074589B"/>
    <w:rsid w:val="00745BF5"/>
    <w:rsid w:val="00745D2C"/>
    <w:rsid w:val="007460AD"/>
    <w:rsid w:val="007464E5"/>
    <w:rsid w:val="00746812"/>
    <w:rsid w:val="00746990"/>
    <w:rsid w:val="00746A30"/>
    <w:rsid w:val="00747067"/>
    <w:rsid w:val="007479B9"/>
    <w:rsid w:val="00747C13"/>
    <w:rsid w:val="00747CB2"/>
    <w:rsid w:val="00747D31"/>
    <w:rsid w:val="00747FF2"/>
    <w:rsid w:val="007501D6"/>
    <w:rsid w:val="00750387"/>
    <w:rsid w:val="007507A8"/>
    <w:rsid w:val="007507F3"/>
    <w:rsid w:val="007509DB"/>
    <w:rsid w:val="00750B3E"/>
    <w:rsid w:val="00750B96"/>
    <w:rsid w:val="00750F65"/>
    <w:rsid w:val="007511D2"/>
    <w:rsid w:val="00751889"/>
    <w:rsid w:val="00751A31"/>
    <w:rsid w:val="00751EC2"/>
    <w:rsid w:val="00751EFC"/>
    <w:rsid w:val="00751F33"/>
    <w:rsid w:val="00751FC1"/>
    <w:rsid w:val="007523C7"/>
    <w:rsid w:val="00752D1D"/>
    <w:rsid w:val="00752D1E"/>
    <w:rsid w:val="00752E55"/>
    <w:rsid w:val="00752FA4"/>
    <w:rsid w:val="00752FCE"/>
    <w:rsid w:val="00752FF3"/>
    <w:rsid w:val="0075348F"/>
    <w:rsid w:val="0075359E"/>
    <w:rsid w:val="00753731"/>
    <w:rsid w:val="00753897"/>
    <w:rsid w:val="007538E6"/>
    <w:rsid w:val="00753CE6"/>
    <w:rsid w:val="00754153"/>
    <w:rsid w:val="00754364"/>
    <w:rsid w:val="0075437B"/>
    <w:rsid w:val="0075482F"/>
    <w:rsid w:val="00754979"/>
    <w:rsid w:val="00754D74"/>
    <w:rsid w:val="00754D97"/>
    <w:rsid w:val="00755015"/>
    <w:rsid w:val="00755164"/>
    <w:rsid w:val="00755219"/>
    <w:rsid w:val="007552A2"/>
    <w:rsid w:val="007552C1"/>
    <w:rsid w:val="007555B2"/>
    <w:rsid w:val="00755746"/>
    <w:rsid w:val="00755EA4"/>
    <w:rsid w:val="00755EB5"/>
    <w:rsid w:val="00755FF4"/>
    <w:rsid w:val="00756F34"/>
    <w:rsid w:val="00756FE3"/>
    <w:rsid w:val="007570E0"/>
    <w:rsid w:val="00757354"/>
    <w:rsid w:val="007578B0"/>
    <w:rsid w:val="00757DAE"/>
    <w:rsid w:val="00757DF1"/>
    <w:rsid w:val="007601A1"/>
    <w:rsid w:val="00760214"/>
    <w:rsid w:val="007604D6"/>
    <w:rsid w:val="0076057F"/>
    <w:rsid w:val="00760929"/>
    <w:rsid w:val="00760BFA"/>
    <w:rsid w:val="00760D75"/>
    <w:rsid w:val="00760EAA"/>
    <w:rsid w:val="00761253"/>
    <w:rsid w:val="0076133A"/>
    <w:rsid w:val="00761351"/>
    <w:rsid w:val="0076173E"/>
    <w:rsid w:val="007617E8"/>
    <w:rsid w:val="007619FF"/>
    <w:rsid w:val="00761D60"/>
    <w:rsid w:val="00761E46"/>
    <w:rsid w:val="00761ECE"/>
    <w:rsid w:val="00761EE9"/>
    <w:rsid w:val="00762093"/>
    <w:rsid w:val="0076212F"/>
    <w:rsid w:val="00762154"/>
    <w:rsid w:val="0076217C"/>
    <w:rsid w:val="00762582"/>
    <w:rsid w:val="00762606"/>
    <w:rsid w:val="00762861"/>
    <w:rsid w:val="00762CB1"/>
    <w:rsid w:val="00762E7A"/>
    <w:rsid w:val="0076388C"/>
    <w:rsid w:val="00763B16"/>
    <w:rsid w:val="0076418A"/>
    <w:rsid w:val="007647B0"/>
    <w:rsid w:val="00764916"/>
    <w:rsid w:val="00764A3F"/>
    <w:rsid w:val="00764BE3"/>
    <w:rsid w:val="00765074"/>
    <w:rsid w:val="00765924"/>
    <w:rsid w:val="00765B5F"/>
    <w:rsid w:val="00765C63"/>
    <w:rsid w:val="00765CAF"/>
    <w:rsid w:val="0076613E"/>
    <w:rsid w:val="007661D6"/>
    <w:rsid w:val="007664B2"/>
    <w:rsid w:val="007665B3"/>
    <w:rsid w:val="00766C46"/>
    <w:rsid w:val="00766C86"/>
    <w:rsid w:val="00767063"/>
    <w:rsid w:val="00767106"/>
    <w:rsid w:val="0076734B"/>
    <w:rsid w:val="00767621"/>
    <w:rsid w:val="0076779B"/>
    <w:rsid w:val="00767C23"/>
    <w:rsid w:val="00770255"/>
    <w:rsid w:val="0077034E"/>
    <w:rsid w:val="0077072D"/>
    <w:rsid w:val="007709A4"/>
    <w:rsid w:val="00770B82"/>
    <w:rsid w:val="00770C5C"/>
    <w:rsid w:val="00771241"/>
    <w:rsid w:val="007712B4"/>
    <w:rsid w:val="00771819"/>
    <w:rsid w:val="00771A50"/>
    <w:rsid w:val="00771B04"/>
    <w:rsid w:val="00771B44"/>
    <w:rsid w:val="00771D44"/>
    <w:rsid w:val="00771EDA"/>
    <w:rsid w:val="00772331"/>
    <w:rsid w:val="007726AE"/>
    <w:rsid w:val="007728E2"/>
    <w:rsid w:val="00772B06"/>
    <w:rsid w:val="00772F1D"/>
    <w:rsid w:val="00773198"/>
    <w:rsid w:val="00773410"/>
    <w:rsid w:val="00773760"/>
    <w:rsid w:val="00773B77"/>
    <w:rsid w:val="00773EFC"/>
    <w:rsid w:val="00773F27"/>
    <w:rsid w:val="00774034"/>
    <w:rsid w:val="00774529"/>
    <w:rsid w:val="007748AA"/>
    <w:rsid w:val="00774C2C"/>
    <w:rsid w:val="00775178"/>
    <w:rsid w:val="007753F4"/>
    <w:rsid w:val="007757FD"/>
    <w:rsid w:val="00775D91"/>
    <w:rsid w:val="0077603E"/>
    <w:rsid w:val="0077623E"/>
    <w:rsid w:val="007764E8"/>
    <w:rsid w:val="007765F2"/>
    <w:rsid w:val="007767E5"/>
    <w:rsid w:val="00776A7B"/>
    <w:rsid w:val="00776B5A"/>
    <w:rsid w:val="00776C2F"/>
    <w:rsid w:val="0077704E"/>
    <w:rsid w:val="00777235"/>
    <w:rsid w:val="007775B7"/>
    <w:rsid w:val="00777687"/>
    <w:rsid w:val="00777DB1"/>
    <w:rsid w:val="00780116"/>
    <w:rsid w:val="00780182"/>
    <w:rsid w:val="0078026C"/>
    <w:rsid w:val="00780B4A"/>
    <w:rsid w:val="00780D43"/>
    <w:rsid w:val="00780DFB"/>
    <w:rsid w:val="0078128B"/>
    <w:rsid w:val="007818B5"/>
    <w:rsid w:val="00781AF7"/>
    <w:rsid w:val="00781B9A"/>
    <w:rsid w:val="00781C74"/>
    <w:rsid w:val="00781C93"/>
    <w:rsid w:val="00781F76"/>
    <w:rsid w:val="00782037"/>
    <w:rsid w:val="007821AE"/>
    <w:rsid w:val="007829EB"/>
    <w:rsid w:val="00782B94"/>
    <w:rsid w:val="00782BC6"/>
    <w:rsid w:val="00782C4B"/>
    <w:rsid w:val="00782EA3"/>
    <w:rsid w:val="00782EC9"/>
    <w:rsid w:val="00782FD0"/>
    <w:rsid w:val="00783747"/>
    <w:rsid w:val="007837B7"/>
    <w:rsid w:val="00783867"/>
    <w:rsid w:val="00783B92"/>
    <w:rsid w:val="00783ED7"/>
    <w:rsid w:val="00784095"/>
    <w:rsid w:val="00784157"/>
    <w:rsid w:val="00784212"/>
    <w:rsid w:val="00784246"/>
    <w:rsid w:val="00784344"/>
    <w:rsid w:val="0078494A"/>
    <w:rsid w:val="007849AB"/>
    <w:rsid w:val="00784CC7"/>
    <w:rsid w:val="00785AF1"/>
    <w:rsid w:val="00785F99"/>
    <w:rsid w:val="0078618E"/>
    <w:rsid w:val="0078620F"/>
    <w:rsid w:val="00786223"/>
    <w:rsid w:val="007862AB"/>
    <w:rsid w:val="007863A9"/>
    <w:rsid w:val="0078658C"/>
    <w:rsid w:val="00786ACF"/>
    <w:rsid w:val="00786BAF"/>
    <w:rsid w:val="00786BC0"/>
    <w:rsid w:val="00786E9E"/>
    <w:rsid w:val="00786ECC"/>
    <w:rsid w:val="00787281"/>
    <w:rsid w:val="007878D6"/>
    <w:rsid w:val="00787958"/>
    <w:rsid w:val="00787999"/>
    <w:rsid w:val="00787C4C"/>
    <w:rsid w:val="00787D61"/>
    <w:rsid w:val="00787DAD"/>
    <w:rsid w:val="00790248"/>
    <w:rsid w:val="007907D8"/>
    <w:rsid w:val="00790A4D"/>
    <w:rsid w:val="00790B7E"/>
    <w:rsid w:val="00791055"/>
    <w:rsid w:val="007911C7"/>
    <w:rsid w:val="007914FF"/>
    <w:rsid w:val="00791996"/>
    <w:rsid w:val="00791B74"/>
    <w:rsid w:val="00791BA6"/>
    <w:rsid w:val="00791C46"/>
    <w:rsid w:val="0079201E"/>
    <w:rsid w:val="007920B3"/>
    <w:rsid w:val="007921FC"/>
    <w:rsid w:val="00792360"/>
    <w:rsid w:val="007927EE"/>
    <w:rsid w:val="00792848"/>
    <w:rsid w:val="00792A5D"/>
    <w:rsid w:val="00792A98"/>
    <w:rsid w:val="00792C2B"/>
    <w:rsid w:val="00792CE5"/>
    <w:rsid w:val="00792D49"/>
    <w:rsid w:val="00792FBE"/>
    <w:rsid w:val="0079307D"/>
    <w:rsid w:val="00793447"/>
    <w:rsid w:val="00793B91"/>
    <w:rsid w:val="00794083"/>
    <w:rsid w:val="00794140"/>
    <w:rsid w:val="00794293"/>
    <w:rsid w:val="007943D4"/>
    <w:rsid w:val="0079464B"/>
    <w:rsid w:val="007946D9"/>
    <w:rsid w:val="00794793"/>
    <w:rsid w:val="007948F3"/>
    <w:rsid w:val="00794918"/>
    <w:rsid w:val="00794CAD"/>
    <w:rsid w:val="00794F09"/>
    <w:rsid w:val="00794F2E"/>
    <w:rsid w:val="00794FC8"/>
    <w:rsid w:val="007951CA"/>
    <w:rsid w:val="007952CE"/>
    <w:rsid w:val="00795530"/>
    <w:rsid w:val="007956C4"/>
    <w:rsid w:val="0079589F"/>
    <w:rsid w:val="00795A25"/>
    <w:rsid w:val="00795B42"/>
    <w:rsid w:val="00795B64"/>
    <w:rsid w:val="00795F8D"/>
    <w:rsid w:val="00796081"/>
    <w:rsid w:val="007960F7"/>
    <w:rsid w:val="00796B25"/>
    <w:rsid w:val="00796CB1"/>
    <w:rsid w:val="00796F55"/>
    <w:rsid w:val="00797533"/>
    <w:rsid w:val="0079762A"/>
    <w:rsid w:val="007977E9"/>
    <w:rsid w:val="007978C6"/>
    <w:rsid w:val="007A025F"/>
    <w:rsid w:val="007A0435"/>
    <w:rsid w:val="007A0C92"/>
    <w:rsid w:val="007A0CA8"/>
    <w:rsid w:val="007A0D49"/>
    <w:rsid w:val="007A0EF0"/>
    <w:rsid w:val="007A0FBD"/>
    <w:rsid w:val="007A1954"/>
    <w:rsid w:val="007A1A65"/>
    <w:rsid w:val="007A1B64"/>
    <w:rsid w:val="007A1E27"/>
    <w:rsid w:val="007A21C5"/>
    <w:rsid w:val="007A247B"/>
    <w:rsid w:val="007A2617"/>
    <w:rsid w:val="007A26E7"/>
    <w:rsid w:val="007A2832"/>
    <w:rsid w:val="007A2902"/>
    <w:rsid w:val="007A2A1A"/>
    <w:rsid w:val="007A2DC6"/>
    <w:rsid w:val="007A2F19"/>
    <w:rsid w:val="007A2FBF"/>
    <w:rsid w:val="007A31DF"/>
    <w:rsid w:val="007A3878"/>
    <w:rsid w:val="007A3941"/>
    <w:rsid w:val="007A3AF0"/>
    <w:rsid w:val="007A3C78"/>
    <w:rsid w:val="007A3C7A"/>
    <w:rsid w:val="007A41C5"/>
    <w:rsid w:val="007A4427"/>
    <w:rsid w:val="007A462A"/>
    <w:rsid w:val="007A475B"/>
    <w:rsid w:val="007A4852"/>
    <w:rsid w:val="007A4E4E"/>
    <w:rsid w:val="007A5292"/>
    <w:rsid w:val="007A54EA"/>
    <w:rsid w:val="007A592E"/>
    <w:rsid w:val="007A595F"/>
    <w:rsid w:val="007A5B90"/>
    <w:rsid w:val="007A5C4E"/>
    <w:rsid w:val="007A5D4A"/>
    <w:rsid w:val="007A5D57"/>
    <w:rsid w:val="007A5ED2"/>
    <w:rsid w:val="007A6143"/>
    <w:rsid w:val="007A61D7"/>
    <w:rsid w:val="007A63B9"/>
    <w:rsid w:val="007A65D9"/>
    <w:rsid w:val="007A6877"/>
    <w:rsid w:val="007A68AF"/>
    <w:rsid w:val="007A6AFB"/>
    <w:rsid w:val="007A6C79"/>
    <w:rsid w:val="007A6F1C"/>
    <w:rsid w:val="007A72D2"/>
    <w:rsid w:val="007A74CE"/>
    <w:rsid w:val="007A74F1"/>
    <w:rsid w:val="007A7A2A"/>
    <w:rsid w:val="007A7A38"/>
    <w:rsid w:val="007A7AB7"/>
    <w:rsid w:val="007A7C85"/>
    <w:rsid w:val="007A7CD3"/>
    <w:rsid w:val="007B009D"/>
    <w:rsid w:val="007B00ED"/>
    <w:rsid w:val="007B029B"/>
    <w:rsid w:val="007B052D"/>
    <w:rsid w:val="007B0541"/>
    <w:rsid w:val="007B058C"/>
    <w:rsid w:val="007B0971"/>
    <w:rsid w:val="007B0A61"/>
    <w:rsid w:val="007B0AE4"/>
    <w:rsid w:val="007B0C2E"/>
    <w:rsid w:val="007B1416"/>
    <w:rsid w:val="007B15A9"/>
    <w:rsid w:val="007B183B"/>
    <w:rsid w:val="007B1842"/>
    <w:rsid w:val="007B1982"/>
    <w:rsid w:val="007B2180"/>
    <w:rsid w:val="007B2408"/>
    <w:rsid w:val="007B24DB"/>
    <w:rsid w:val="007B24EB"/>
    <w:rsid w:val="007B272B"/>
    <w:rsid w:val="007B2B2E"/>
    <w:rsid w:val="007B2B76"/>
    <w:rsid w:val="007B2C44"/>
    <w:rsid w:val="007B2D32"/>
    <w:rsid w:val="007B2DE6"/>
    <w:rsid w:val="007B2F01"/>
    <w:rsid w:val="007B3019"/>
    <w:rsid w:val="007B320E"/>
    <w:rsid w:val="007B32BB"/>
    <w:rsid w:val="007B330E"/>
    <w:rsid w:val="007B332D"/>
    <w:rsid w:val="007B3894"/>
    <w:rsid w:val="007B3D1F"/>
    <w:rsid w:val="007B3D23"/>
    <w:rsid w:val="007B452D"/>
    <w:rsid w:val="007B4ECB"/>
    <w:rsid w:val="007B5113"/>
    <w:rsid w:val="007B515D"/>
    <w:rsid w:val="007B51AE"/>
    <w:rsid w:val="007B52E5"/>
    <w:rsid w:val="007B53E4"/>
    <w:rsid w:val="007B5530"/>
    <w:rsid w:val="007B58FB"/>
    <w:rsid w:val="007B5A90"/>
    <w:rsid w:val="007B5AF5"/>
    <w:rsid w:val="007B5B08"/>
    <w:rsid w:val="007B5EC3"/>
    <w:rsid w:val="007B60BD"/>
    <w:rsid w:val="007B63A1"/>
    <w:rsid w:val="007B64AF"/>
    <w:rsid w:val="007B65D3"/>
    <w:rsid w:val="007B66E1"/>
    <w:rsid w:val="007B6D9E"/>
    <w:rsid w:val="007B70AA"/>
    <w:rsid w:val="007B7244"/>
    <w:rsid w:val="007B725D"/>
    <w:rsid w:val="007B7380"/>
    <w:rsid w:val="007B747B"/>
    <w:rsid w:val="007B79F1"/>
    <w:rsid w:val="007B7ED6"/>
    <w:rsid w:val="007C0240"/>
    <w:rsid w:val="007C03CE"/>
    <w:rsid w:val="007C0414"/>
    <w:rsid w:val="007C04C5"/>
    <w:rsid w:val="007C0581"/>
    <w:rsid w:val="007C05E4"/>
    <w:rsid w:val="007C076C"/>
    <w:rsid w:val="007C0C75"/>
    <w:rsid w:val="007C0D40"/>
    <w:rsid w:val="007C1008"/>
    <w:rsid w:val="007C1091"/>
    <w:rsid w:val="007C1256"/>
    <w:rsid w:val="007C12C0"/>
    <w:rsid w:val="007C1371"/>
    <w:rsid w:val="007C191F"/>
    <w:rsid w:val="007C192A"/>
    <w:rsid w:val="007C1939"/>
    <w:rsid w:val="007C1B9A"/>
    <w:rsid w:val="007C1E28"/>
    <w:rsid w:val="007C2109"/>
    <w:rsid w:val="007C2201"/>
    <w:rsid w:val="007C2808"/>
    <w:rsid w:val="007C2AA6"/>
    <w:rsid w:val="007C2B1A"/>
    <w:rsid w:val="007C2C82"/>
    <w:rsid w:val="007C2F00"/>
    <w:rsid w:val="007C2F99"/>
    <w:rsid w:val="007C31B3"/>
    <w:rsid w:val="007C3AC0"/>
    <w:rsid w:val="007C4048"/>
    <w:rsid w:val="007C455D"/>
    <w:rsid w:val="007C48D0"/>
    <w:rsid w:val="007C4B7B"/>
    <w:rsid w:val="007C5154"/>
    <w:rsid w:val="007C569E"/>
    <w:rsid w:val="007C5765"/>
    <w:rsid w:val="007C5860"/>
    <w:rsid w:val="007C5EB1"/>
    <w:rsid w:val="007C62F2"/>
    <w:rsid w:val="007C64E1"/>
    <w:rsid w:val="007C6A14"/>
    <w:rsid w:val="007C6A6E"/>
    <w:rsid w:val="007C6B9A"/>
    <w:rsid w:val="007C6C5E"/>
    <w:rsid w:val="007C6D8A"/>
    <w:rsid w:val="007C6F45"/>
    <w:rsid w:val="007C708B"/>
    <w:rsid w:val="007C774B"/>
    <w:rsid w:val="007C7769"/>
    <w:rsid w:val="007C7812"/>
    <w:rsid w:val="007C79C0"/>
    <w:rsid w:val="007C7AFC"/>
    <w:rsid w:val="007C7E38"/>
    <w:rsid w:val="007C7E8B"/>
    <w:rsid w:val="007D0150"/>
    <w:rsid w:val="007D01B5"/>
    <w:rsid w:val="007D05A3"/>
    <w:rsid w:val="007D0642"/>
    <w:rsid w:val="007D0806"/>
    <w:rsid w:val="007D086E"/>
    <w:rsid w:val="007D0CDB"/>
    <w:rsid w:val="007D0DD3"/>
    <w:rsid w:val="007D10A0"/>
    <w:rsid w:val="007D1135"/>
    <w:rsid w:val="007D115A"/>
    <w:rsid w:val="007D19C7"/>
    <w:rsid w:val="007D1BD7"/>
    <w:rsid w:val="007D1EB7"/>
    <w:rsid w:val="007D1F2C"/>
    <w:rsid w:val="007D24A5"/>
    <w:rsid w:val="007D2532"/>
    <w:rsid w:val="007D2B50"/>
    <w:rsid w:val="007D324E"/>
    <w:rsid w:val="007D3365"/>
    <w:rsid w:val="007D3737"/>
    <w:rsid w:val="007D383F"/>
    <w:rsid w:val="007D3A18"/>
    <w:rsid w:val="007D4101"/>
    <w:rsid w:val="007D45C7"/>
    <w:rsid w:val="007D45DA"/>
    <w:rsid w:val="007D477D"/>
    <w:rsid w:val="007D4D6A"/>
    <w:rsid w:val="007D4F2E"/>
    <w:rsid w:val="007D56BF"/>
    <w:rsid w:val="007D59CD"/>
    <w:rsid w:val="007D5BC7"/>
    <w:rsid w:val="007D5EDA"/>
    <w:rsid w:val="007D6167"/>
    <w:rsid w:val="007D6257"/>
    <w:rsid w:val="007D63E3"/>
    <w:rsid w:val="007D6901"/>
    <w:rsid w:val="007D6C2C"/>
    <w:rsid w:val="007D6CC9"/>
    <w:rsid w:val="007D6CDF"/>
    <w:rsid w:val="007D7035"/>
    <w:rsid w:val="007D726E"/>
    <w:rsid w:val="007D7295"/>
    <w:rsid w:val="007D7630"/>
    <w:rsid w:val="007D790F"/>
    <w:rsid w:val="007D7CBC"/>
    <w:rsid w:val="007D7D71"/>
    <w:rsid w:val="007D7E30"/>
    <w:rsid w:val="007D7E4B"/>
    <w:rsid w:val="007E0034"/>
    <w:rsid w:val="007E03BF"/>
    <w:rsid w:val="007E04D1"/>
    <w:rsid w:val="007E098A"/>
    <w:rsid w:val="007E0A2E"/>
    <w:rsid w:val="007E0EF4"/>
    <w:rsid w:val="007E1315"/>
    <w:rsid w:val="007E13D8"/>
    <w:rsid w:val="007E1986"/>
    <w:rsid w:val="007E19EC"/>
    <w:rsid w:val="007E1A51"/>
    <w:rsid w:val="007E1CEB"/>
    <w:rsid w:val="007E1E3C"/>
    <w:rsid w:val="007E1F1B"/>
    <w:rsid w:val="007E1FC7"/>
    <w:rsid w:val="007E2325"/>
    <w:rsid w:val="007E2336"/>
    <w:rsid w:val="007E244A"/>
    <w:rsid w:val="007E270F"/>
    <w:rsid w:val="007E2C8C"/>
    <w:rsid w:val="007E2E7F"/>
    <w:rsid w:val="007E2F93"/>
    <w:rsid w:val="007E32EB"/>
    <w:rsid w:val="007E34DA"/>
    <w:rsid w:val="007E367F"/>
    <w:rsid w:val="007E36BC"/>
    <w:rsid w:val="007E3971"/>
    <w:rsid w:val="007E3BE9"/>
    <w:rsid w:val="007E3C8B"/>
    <w:rsid w:val="007E3DEB"/>
    <w:rsid w:val="007E3E92"/>
    <w:rsid w:val="007E4085"/>
    <w:rsid w:val="007E4235"/>
    <w:rsid w:val="007E44B9"/>
    <w:rsid w:val="007E4B20"/>
    <w:rsid w:val="007E4C67"/>
    <w:rsid w:val="007E4E67"/>
    <w:rsid w:val="007E532E"/>
    <w:rsid w:val="007E5731"/>
    <w:rsid w:val="007E57CB"/>
    <w:rsid w:val="007E5D28"/>
    <w:rsid w:val="007E5F3C"/>
    <w:rsid w:val="007E605C"/>
    <w:rsid w:val="007E6E32"/>
    <w:rsid w:val="007E6E62"/>
    <w:rsid w:val="007E70BF"/>
    <w:rsid w:val="007E738F"/>
    <w:rsid w:val="007E73FB"/>
    <w:rsid w:val="007E75EE"/>
    <w:rsid w:val="007E782C"/>
    <w:rsid w:val="007E79A1"/>
    <w:rsid w:val="007E7FC3"/>
    <w:rsid w:val="007F0470"/>
    <w:rsid w:val="007F0A20"/>
    <w:rsid w:val="007F0A60"/>
    <w:rsid w:val="007F0C87"/>
    <w:rsid w:val="007F16BD"/>
    <w:rsid w:val="007F1752"/>
    <w:rsid w:val="007F1986"/>
    <w:rsid w:val="007F1D34"/>
    <w:rsid w:val="007F1FEB"/>
    <w:rsid w:val="007F21E3"/>
    <w:rsid w:val="007F222B"/>
    <w:rsid w:val="007F2294"/>
    <w:rsid w:val="007F25BF"/>
    <w:rsid w:val="007F2683"/>
    <w:rsid w:val="007F27A2"/>
    <w:rsid w:val="007F2AE3"/>
    <w:rsid w:val="007F2AEB"/>
    <w:rsid w:val="007F2B7B"/>
    <w:rsid w:val="007F2FEE"/>
    <w:rsid w:val="007F3194"/>
    <w:rsid w:val="007F343E"/>
    <w:rsid w:val="007F3AC4"/>
    <w:rsid w:val="007F3D3F"/>
    <w:rsid w:val="007F3DBC"/>
    <w:rsid w:val="007F4205"/>
    <w:rsid w:val="007F441B"/>
    <w:rsid w:val="007F4527"/>
    <w:rsid w:val="007F4552"/>
    <w:rsid w:val="007F4945"/>
    <w:rsid w:val="007F4ADF"/>
    <w:rsid w:val="007F4E05"/>
    <w:rsid w:val="007F5071"/>
    <w:rsid w:val="007F5610"/>
    <w:rsid w:val="007F5748"/>
    <w:rsid w:val="007F5771"/>
    <w:rsid w:val="007F5890"/>
    <w:rsid w:val="007F5D65"/>
    <w:rsid w:val="007F5F59"/>
    <w:rsid w:val="007F5FD9"/>
    <w:rsid w:val="007F6317"/>
    <w:rsid w:val="007F646D"/>
    <w:rsid w:val="007F64B5"/>
    <w:rsid w:val="007F67BE"/>
    <w:rsid w:val="007F6953"/>
    <w:rsid w:val="007F69BB"/>
    <w:rsid w:val="007F6A87"/>
    <w:rsid w:val="007F6B1C"/>
    <w:rsid w:val="007F6B53"/>
    <w:rsid w:val="007F6F6A"/>
    <w:rsid w:val="007F703A"/>
    <w:rsid w:val="007F72E0"/>
    <w:rsid w:val="007F74F4"/>
    <w:rsid w:val="007F758F"/>
    <w:rsid w:val="007F76DE"/>
    <w:rsid w:val="007F77AC"/>
    <w:rsid w:val="007F7F8E"/>
    <w:rsid w:val="00800010"/>
    <w:rsid w:val="00800161"/>
    <w:rsid w:val="008004BA"/>
    <w:rsid w:val="008004D1"/>
    <w:rsid w:val="00800D77"/>
    <w:rsid w:val="0080125F"/>
    <w:rsid w:val="008012D1"/>
    <w:rsid w:val="00801A62"/>
    <w:rsid w:val="00801F40"/>
    <w:rsid w:val="0080204D"/>
    <w:rsid w:val="00802199"/>
    <w:rsid w:val="00802301"/>
    <w:rsid w:val="008024B0"/>
    <w:rsid w:val="008027AA"/>
    <w:rsid w:val="00802A0E"/>
    <w:rsid w:val="00802E4D"/>
    <w:rsid w:val="0080310D"/>
    <w:rsid w:val="008038AA"/>
    <w:rsid w:val="00803ABC"/>
    <w:rsid w:val="00803BC0"/>
    <w:rsid w:val="008040C2"/>
    <w:rsid w:val="008041FF"/>
    <w:rsid w:val="00804493"/>
    <w:rsid w:val="00804572"/>
    <w:rsid w:val="00804AED"/>
    <w:rsid w:val="00804F91"/>
    <w:rsid w:val="008050C6"/>
    <w:rsid w:val="0080527D"/>
    <w:rsid w:val="008052CE"/>
    <w:rsid w:val="00805395"/>
    <w:rsid w:val="0080549B"/>
    <w:rsid w:val="008054F4"/>
    <w:rsid w:val="00805662"/>
    <w:rsid w:val="008056B0"/>
    <w:rsid w:val="008056C5"/>
    <w:rsid w:val="0080572F"/>
    <w:rsid w:val="00805A29"/>
    <w:rsid w:val="00805ECB"/>
    <w:rsid w:val="00806135"/>
    <w:rsid w:val="008061FF"/>
    <w:rsid w:val="00806629"/>
    <w:rsid w:val="00806636"/>
    <w:rsid w:val="008067B8"/>
    <w:rsid w:val="00806B16"/>
    <w:rsid w:val="00806B9F"/>
    <w:rsid w:val="00806E3E"/>
    <w:rsid w:val="0080739A"/>
    <w:rsid w:val="00807530"/>
    <w:rsid w:val="008077BA"/>
    <w:rsid w:val="00807CF0"/>
    <w:rsid w:val="00807EA4"/>
    <w:rsid w:val="008100A9"/>
    <w:rsid w:val="00810524"/>
    <w:rsid w:val="0081058E"/>
    <w:rsid w:val="00810A29"/>
    <w:rsid w:val="00810AAD"/>
    <w:rsid w:val="00810CCF"/>
    <w:rsid w:val="008110C8"/>
    <w:rsid w:val="00811109"/>
    <w:rsid w:val="00811378"/>
    <w:rsid w:val="00811AEB"/>
    <w:rsid w:val="00812018"/>
    <w:rsid w:val="00812279"/>
    <w:rsid w:val="00812816"/>
    <w:rsid w:val="008128CD"/>
    <w:rsid w:val="008129DC"/>
    <w:rsid w:val="0081329E"/>
    <w:rsid w:val="00813552"/>
    <w:rsid w:val="0081413A"/>
    <w:rsid w:val="00814E64"/>
    <w:rsid w:val="00814EE3"/>
    <w:rsid w:val="00814FE2"/>
    <w:rsid w:val="0081508E"/>
    <w:rsid w:val="008150B4"/>
    <w:rsid w:val="00815142"/>
    <w:rsid w:val="0081526D"/>
    <w:rsid w:val="008152D1"/>
    <w:rsid w:val="008153D9"/>
    <w:rsid w:val="00815497"/>
    <w:rsid w:val="008156AC"/>
    <w:rsid w:val="008159DE"/>
    <w:rsid w:val="00815AD7"/>
    <w:rsid w:val="00815C5D"/>
    <w:rsid w:val="00815DFD"/>
    <w:rsid w:val="00815EB3"/>
    <w:rsid w:val="00816493"/>
    <w:rsid w:val="008164CD"/>
    <w:rsid w:val="0081668C"/>
    <w:rsid w:val="00816733"/>
    <w:rsid w:val="00816987"/>
    <w:rsid w:val="00816E66"/>
    <w:rsid w:val="0081791A"/>
    <w:rsid w:val="00817AB8"/>
    <w:rsid w:val="008206B5"/>
    <w:rsid w:val="008209F6"/>
    <w:rsid w:val="00820E7B"/>
    <w:rsid w:val="0082118D"/>
    <w:rsid w:val="0082127E"/>
    <w:rsid w:val="0082136D"/>
    <w:rsid w:val="0082179A"/>
    <w:rsid w:val="008218AA"/>
    <w:rsid w:val="00821923"/>
    <w:rsid w:val="00821B42"/>
    <w:rsid w:val="00821C1F"/>
    <w:rsid w:val="00821CEC"/>
    <w:rsid w:val="00821E6E"/>
    <w:rsid w:val="00822101"/>
    <w:rsid w:val="00822150"/>
    <w:rsid w:val="008222C2"/>
    <w:rsid w:val="00822AA0"/>
    <w:rsid w:val="00822BC1"/>
    <w:rsid w:val="00822E49"/>
    <w:rsid w:val="008230AA"/>
    <w:rsid w:val="0082325D"/>
    <w:rsid w:val="00823709"/>
    <w:rsid w:val="00823AE3"/>
    <w:rsid w:val="00823FD7"/>
    <w:rsid w:val="008245AC"/>
    <w:rsid w:val="00824627"/>
    <w:rsid w:val="008246F2"/>
    <w:rsid w:val="008249B6"/>
    <w:rsid w:val="008249EB"/>
    <w:rsid w:val="00824B83"/>
    <w:rsid w:val="00824BEA"/>
    <w:rsid w:val="00824C50"/>
    <w:rsid w:val="008252D7"/>
    <w:rsid w:val="0082530E"/>
    <w:rsid w:val="008253D9"/>
    <w:rsid w:val="0082549F"/>
    <w:rsid w:val="00825D4D"/>
    <w:rsid w:val="008260A1"/>
    <w:rsid w:val="00826498"/>
    <w:rsid w:val="00826580"/>
    <w:rsid w:val="008267D2"/>
    <w:rsid w:val="0082688A"/>
    <w:rsid w:val="00826C53"/>
    <w:rsid w:val="00826E63"/>
    <w:rsid w:val="00826E7D"/>
    <w:rsid w:val="00827182"/>
    <w:rsid w:val="00827281"/>
    <w:rsid w:val="00827485"/>
    <w:rsid w:val="00827780"/>
    <w:rsid w:val="00827E49"/>
    <w:rsid w:val="00830157"/>
    <w:rsid w:val="00830161"/>
    <w:rsid w:val="00830243"/>
    <w:rsid w:val="0083059B"/>
    <w:rsid w:val="008308AA"/>
    <w:rsid w:val="00830DD4"/>
    <w:rsid w:val="00830E4C"/>
    <w:rsid w:val="00830E62"/>
    <w:rsid w:val="00830EE4"/>
    <w:rsid w:val="008310C5"/>
    <w:rsid w:val="0083110E"/>
    <w:rsid w:val="00831319"/>
    <w:rsid w:val="008314F7"/>
    <w:rsid w:val="0083170D"/>
    <w:rsid w:val="008318CF"/>
    <w:rsid w:val="00831D21"/>
    <w:rsid w:val="00832344"/>
    <w:rsid w:val="00832917"/>
    <w:rsid w:val="00832BF0"/>
    <w:rsid w:val="00832BF3"/>
    <w:rsid w:val="00832C9C"/>
    <w:rsid w:val="008333A1"/>
    <w:rsid w:val="00833471"/>
    <w:rsid w:val="00833472"/>
    <w:rsid w:val="0083349A"/>
    <w:rsid w:val="00833A9D"/>
    <w:rsid w:val="00833D7F"/>
    <w:rsid w:val="00833E8D"/>
    <w:rsid w:val="00833EE4"/>
    <w:rsid w:val="00833F59"/>
    <w:rsid w:val="008340F2"/>
    <w:rsid w:val="008340F6"/>
    <w:rsid w:val="008344DD"/>
    <w:rsid w:val="008348FA"/>
    <w:rsid w:val="00834A09"/>
    <w:rsid w:val="0083551D"/>
    <w:rsid w:val="00835972"/>
    <w:rsid w:val="00836801"/>
    <w:rsid w:val="00836D50"/>
    <w:rsid w:val="00837529"/>
    <w:rsid w:val="00837EF7"/>
    <w:rsid w:val="00837FEE"/>
    <w:rsid w:val="00840002"/>
    <w:rsid w:val="008406B5"/>
    <w:rsid w:val="00840AC3"/>
    <w:rsid w:val="00840DC5"/>
    <w:rsid w:val="00840E77"/>
    <w:rsid w:val="00841248"/>
    <w:rsid w:val="0084125F"/>
    <w:rsid w:val="0084138D"/>
    <w:rsid w:val="00841446"/>
    <w:rsid w:val="00841502"/>
    <w:rsid w:val="008415E2"/>
    <w:rsid w:val="0084172A"/>
    <w:rsid w:val="00841768"/>
    <w:rsid w:val="00841AF6"/>
    <w:rsid w:val="008425C7"/>
    <w:rsid w:val="00842A45"/>
    <w:rsid w:val="00842AB8"/>
    <w:rsid w:val="0084314E"/>
    <w:rsid w:val="008431CB"/>
    <w:rsid w:val="008435E2"/>
    <w:rsid w:val="008435F6"/>
    <w:rsid w:val="0084366D"/>
    <w:rsid w:val="00843686"/>
    <w:rsid w:val="00843785"/>
    <w:rsid w:val="00843916"/>
    <w:rsid w:val="00843971"/>
    <w:rsid w:val="00843D43"/>
    <w:rsid w:val="00843E4C"/>
    <w:rsid w:val="00843F23"/>
    <w:rsid w:val="0084400F"/>
    <w:rsid w:val="0084419E"/>
    <w:rsid w:val="008441C0"/>
    <w:rsid w:val="00844336"/>
    <w:rsid w:val="0084451D"/>
    <w:rsid w:val="008445D9"/>
    <w:rsid w:val="0084461E"/>
    <w:rsid w:val="0084496F"/>
    <w:rsid w:val="00844E46"/>
    <w:rsid w:val="00845196"/>
    <w:rsid w:val="0084526E"/>
    <w:rsid w:val="00845333"/>
    <w:rsid w:val="0084551B"/>
    <w:rsid w:val="00845FD8"/>
    <w:rsid w:val="008461E9"/>
    <w:rsid w:val="0084669F"/>
    <w:rsid w:val="008466CC"/>
    <w:rsid w:val="00846733"/>
    <w:rsid w:val="008468F2"/>
    <w:rsid w:val="00846B4E"/>
    <w:rsid w:val="00846EBA"/>
    <w:rsid w:val="00847099"/>
    <w:rsid w:val="00847183"/>
    <w:rsid w:val="008473C4"/>
    <w:rsid w:val="0084740B"/>
    <w:rsid w:val="0084740D"/>
    <w:rsid w:val="008476A1"/>
    <w:rsid w:val="00847701"/>
    <w:rsid w:val="008477B5"/>
    <w:rsid w:val="00847A8D"/>
    <w:rsid w:val="00847AEA"/>
    <w:rsid w:val="00847D46"/>
    <w:rsid w:val="00847E58"/>
    <w:rsid w:val="00847F9D"/>
    <w:rsid w:val="0085006A"/>
    <w:rsid w:val="00850441"/>
    <w:rsid w:val="008504C3"/>
    <w:rsid w:val="0085054A"/>
    <w:rsid w:val="008507D8"/>
    <w:rsid w:val="008508B1"/>
    <w:rsid w:val="00850DDC"/>
    <w:rsid w:val="008512D4"/>
    <w:rsid w:val="008513C4"/>
    <w:rsid w:val="00851712"/>
    <w:rsid w:val="00851A09"/>
    <w:rsid w:val="00852034"/>
    <w:rsid w:val="00852499"/>
    <w:rsid w:val="0085255A"/>
    <w:rsid w:val="00852592"/>
    <w:rsid w:val="008525E4"/>
    <w:rsid w:val="008528D4"/>
    <w:rsid w:val="00852B5E"/>
    <w:rsid w:val="00852E7C"/>
    <w:rsid w:val="008538CD"/>
    <w:rsid w:val="00853C7C"/>
    <w:rsid w:val="00853CD3"/>
    <w:rsid w:val="00854233"/>
    <w:rsid w:val="00854255"/>
    <w:rsid w:val="00854314"/>
    <w:rsid w:val="008543DB"/>
    <w:rsid w:val="008546C4"/>
    <w:rsid w:val="00854B8A"/>
    <w:rsid w:val="00854D6A"/>
    <w:rsid w:val="008554DE"/>
    <w:rsid w:val="00855536"/>
    <w:rsid w:val="00855711"/>
    <w:rsid w:val="00855D6B"/>
    <w:rsid w:val="00855EE6"/>
    <w:rsid w:val="0085680D"/>
    <w:rsid w:val="0085684C"/>
    <w:rsid w:val="00856930"/>
    <w:rsid w:val="00856955"/>
    <w:rsid w:val="00856C6B"/>
    <w:rsid w:val="00856CE0"/>
    <w:rsid w:val="00856CF5"/>
    <w:rsid w:val="00856FD8"/>
    <w:rsid w:val="00856FEE"/>
    <w:rsid w:val="00857482"/>
    <w:rsid w:val="00857639"/>
    <w:rsid w:val="00857C2A"/>
    <w:rsid w:val="00857E23"/>
    <w:rsid w:val="008602A6"/>
    <w:rsid w:val="0086092B"/>
    <w:rsid w:val="0086097A"/>
    <w:rsid w:val="00860B3C"/>
    <w:rsid w:val="00860B95"/>
    <w:rsid w:val="00860D89"/>
    <w:rsid w:val="00860DA7"/>
    <w:rsid w:val="00861840"/>
    <w:rsid w:val="00861D0A"/>
    <w:rsid w:val="00862018"/>
    <w:rsid w:val="0086226D"/>
    <w:rsid w:val="00862377"/>
    <w:rsid w:val="00862600"/>
    <w:rsid w:val="008626ED"/>
    <w:rsid w:val="0086295F"/>
    <w:rsid w:val="00862A76"/>
    <w:rsid w:val="00862EF7"/>
    <w:rsid w:val="00862F34"/>
    <w:rsid w:val="00863137"/>
    <w:rsid w:val="0086316F"/>
    <w:rsid w:val="00863579"/>
    <w:rsid w:val="00863699"/>
    <w:rsid w:val="00863AD2"/>
    <w:rsid w:val="00863D61"/>
    <w:rsid w:val="00863DB3"/>
    <w:rsid w:val="00863FEC"/>
    <w:rsid w:val="008640C6"/>
    <w:rsid w:val="00864266"/>
    <w:rsid w:val="00864431"/>
    <w:rsid w:val="008645B5"/>
    <w:rsid w:val="0086484D"/>
    <w:rsid w:val="00864863"/>
    <w:rsid w:val="0086494C"/>
    <w:rsid w:val="00864A09"/>
    <w:rsid w:val="00864AA2"/>
    <w:rsid w:val="00864E29"/>
    <w:rsid w:val="008655FD"/>
    <w:rsid w:val="0086583B"/>
    <w:rsid w:val="00865B3A"/>
    <w:rsid w:val="00865BFC"/>
    <w:rsid w:val="00865E77"/>
    <w:rsid w:val="0086631D"/>
    <w:rsid w:val="008663F6"/>
    <w:rsid w:val="008663FD"/>
    <w:rsid w:val="0086646F"/>
    <w:rsid w:val="00866476"/>
    <w:rsid w:val="00866510"/>
    <w:rsid w:val="0086652D"/>
    <w:rsid w:val="008667FE"/>
    <w:rsid w:val="00866B4F"/>
    <w:rsid w:val="00866CC0"/>
    <w:rsid w:val="00866D5B"/>
    <w:rsid w:val="008700F2"/>
    <w:rsid w:val="00870109"/>
    <w:rsid w:val="008703C1"/>
    <w:rsid w:val="00870853"/>
    <w:rsid w:val="008709B5"/>
    <w:rsid w:val="00870DC0"/>
    <w:rsid w:val="0087109F"/>
    <w:rsid w:val="0087133C"/>
    <w:rsid w:val="00871374"/>
    <w:rsid w:val="008713FC"/>
    <w:rsid w:val="0087156C"/>
    <w:rsid w:val="008716E9"/>
    <w:rsid w:val="00871962"/>
    <w:rsid w:val="00871D61"/>
    <w:rsid w:val="00872376"/>
    <w:rsid w:val="008724BC"/>
    <w:rsid w:val="008729A8"/>
    <w:rsid w:val="008729DD"/>
    <w:rsid w:val="00872AF8"/>
    <w:rsid w:val="00872B1F"/>
    <w:rsid w:val="00873328"/>
    <w:rsid w:val="00873363"/>
    <w:rsid w:val="00873600"/>
    <w:rsid w:val="00873671"/>
    <w:rsid w:val="008738B8"/>
    <w:rsid w:val="00873EF7"/>
    <w:rsid w:val="00873F92"/>
    <w:rsid w:val="00874194"/>
    <w:rsid w:val="00874383"/>
    <w:rsid w:val="00874453"/>
    <w:rsid w:val="00874498"/>
    <w:rsid w:val="008746D7"/>
    <w:rsid w:val="008748CC"/>
    <w:rsid w:val="008748EF"/>
    <w:rsid w:val="00874D03"/>
    <w:rsid w:val="00874E42"/>
    <w:rsid w:val="00874F31"/>
    <w:rsid w:val="00874FEF"/>
    <w:rsid w:val="008751A8"/>
    <w:rsid w:val="008751F6"/>
    <w:rsid w:val="0087534A"/>
    <w:rsid w:val="00875562"/>
    <w:rsid w:val="0087604A"/>
    <w:rsid w:val="0087644C"/>
    <w:rsid w:val="00876559"/>
    <w:rsid w:val="00876722"/>
    <w:rsid w:val="0087672E"/>
    <w:rsid w:val="00876A26"/>
    <w:rsid w:val="00876A8C"/>
    <w:rsid w:val="00876C16"/>
    <w:rsid w:val="00876C7C"/>
    <w:rsid w:val="00876F9C"/>
    <w:rsid w:val="00876FDD"/>
    <w:rsid w:val="00877002"/>
    <w:rsid w:val="008773F1"/>
    <w:rsid w:val="00877435"/>
    <w:rsid w:val="00877544"/>
    <w:rsid w:val="00877636"/>
    <w:rsid w:val="00877712"/>
    <w:rsid w:val="0087780D"/>
    <w:rsid w:val="00877882"/>
    <w:rsid w:val="008779C1"/>
    <w:rsid w:val="00877D60"/>
    <w:rsid w:val="008803E0"/>
    <w:rsid w:val="00880B66"/>
    <w:rsid w:val="00880BC9"/>
    <w:rsid w:val="00880EA1"/>
    <w:rsid w:val="008810E2"/>
    <w:rsid w:val="0088139E"/>
    <w:rsid w:val="00881401"/>
    <w:rsid w:val="00881C56"/>
    <w:rsid w:val="00881D69"/>
    <w:rsid w:val="00882423"/>
    <w:rsid w:val="00882616"/>
    <w:rsid w:val="00882675"/>
    <w:rsid w:val="00882794"/>
    <w:rsid w:val="0088296F"/>
    <w:rsid w:val="00882F57"/>
    <w:rsid w:val="0088304A"/>
    <w:rsid w:val="008830F3"/>
    <w:rsid w:val="00883364"/>
    <w:rsid w:val="008839B7"/>
    <w:rsid w:val="00883D5D"/>
    <w:rsid w:val="00883E02"/>
    <w:rsid w:val="008840D0"/>
    <w:rsid w:val="0088411D"/>
    <w:rsid w:val="008843E8"/>
    <w:rsid w:val="00884543"/>
    <w:rsid w:val="0088458B"/>
    <w:rsid w:val="008845AE"/>
    <w:rsid w:val="008846E3"/>
    <w:rsid w:val="00884C5C"/>
    <w:rsid w:val="00884EDA"/>
    <w:rsid w:val="008851D2"/>
    <w:rsid w:val="0088536D"/>
    <w:rsid w:val="0088548C"/>
    <w:rsid w:val="008854D2"/>
    <w:rsid w:val="00885644"/>
    <w:rsid w:val="00885651"/>
    <w:rsid w:val="00885AF9"/>
    <w:rsid w:val="00885DAD"/>
    <w:rsid w:val="008862DC"/>
    <w:rsid w:val="0088640D"/>
    <w:rsid w:val="0088677D"/>
    <w:rsid w:val="00886A1C"/>
    <w:rsid w:val="00886AB9"/>
    <w:rsid w:val="00886BA1"/>
    <w:rsid w:val="0088719D"/>
    <w:rsid w:val="00887253"/>
    <w:rsid w:val="008873F9"/>
    <w:rsid w:val="0088745A"/>
    <w:rsid w:val="0088756C"/>
    <w:rsid w:val="008875C7"/>
    <w:rsid w:val="0088782E"/>
    <w:rsid w:val="00887BCD"/>
    <w:rsid w:val="00887C10"/>
    <w:rsid w:val="00887C14"/>
    <w:rsid w:val="00887C29"/>
    <w:rsid w:val="00890602"/>
    <w:rsid w:val="0089073D"/>
    <w:rsid w:val="00890771"/>
    <w:rsid w:val="00890BA9"/>
    <w:rsid w:val="00890D46"/>
    <w:rsid w:val="00891007"/>
    <w:rsid w:val="00891335"/>
    <w:rsid w:val="00891368"/>
    <w:rsid w:val="0089167E"/>
    <w:rsid w:val="00891719"/>
    <w:rsid w:val="0089199B"/>
    <w:rsid w:val="00891B3D"/>
    <w:rsid w:val="00891D32"/>
    <w:rsid w:val="00891D8A"/>
    <w:rsid w:val="00891E48"/>
    <w:rsid w:val="00891EFD"/>
    <w:rsid w:val="008920B2"/>
    <w:rsid w:val="008925FE"/>
    <w:rsid w:val="008926D8"/>
    <w:rsid w:val="00892856"/>
    <w:rsid w:val="00892B06"/>
    <w:rsid w:val="00892CD4"/>
    <w:rsid w:val="008931B3"/>
    <w:rsid w:val="0089332C"/>
    <w:rsid w:val="00893369"/>
    <w:rsid w:val="0089344B"/>
    <w:rsid w:val="00893528"/>
    <w:rsid w:val="00893606"/>
    <w:rsid w:val="00893724"/>
    <w:rsid w:val="00893AC2"/>
    <w:rsid w:val="00893C4F"/>
    <w:rsid w:val="00893DB4"/>
    <w:rsid w:val="0089415E"/>
    <w:rsid w:val="0089423A"/>
    <w:rsid w:val="008942F5"/>
    <w:rsid w:val="0089450A"/>
    <w:rsid w:val="008947A4"/>
    <w:rsid w:val="008947DC"/>
    <w:rsid w:val="008948D1"/>
    <w:rsid w:val="0089495C"/>
    <w:rsid w:val="00894F1C"/>
    <w:rsid w:val="008954DF"/>
    <w:rsid w:val="0089576A"/>
    <w:rsid w:val="00895BE6"/>
    <w:rsid w:val="00895D0B"/>
    <w:rsid w:val="00895E15"/>
    <w:rsid w:val="008960D5"/>
    <w:rsid w:val="00896177"/>
    <w:rsid w:val="00896385"/>
    <w:rsid w:val="00896487"/>
    <w:rsid w:val="0089666A"/>
    <w:rsid w:val="00896C71"/>
    <w:rsid w:val="00896D32"/>
    <w:rsid w:val="00897338"/>
    <w:rsid w:val="00897837"/>
    <w:rsid w:val="008979EA"/>
    <w:rsid w:val="00897F66"/>
    <w:rsid w:val="008A019F"/>
    <w:rsid w:val="008A0441"/>
    <w:rsid w:val="008A0DA7"/>
    <w:rsid w:val="008A11E2"/>
    <w:rsid w:val="008A1253"/>
    <w:rsid w:val="008A1562"/>
    <w:rsid w:val="008A161A"/>
    <w:rsid w:val="008A1CE2"/>
    <w:rsid w:val="008A21EE"/>
    <w:rsid w:val="008A22F3"/>
    <w:rsid w:val="008A2ABD"/>
    <w:rsid w:val="008A2CCE"/>
    <w:rsid w:val="008A2F16"/>
    <w:rsid w:val="008A30F5"/>
    <w:rsid w:val="008A3726"/>
    <w:rsid w:val="008A3DD2"/>
    <w:rsid w:val="008A3F0A"/>
    <w:rsid w:val="008A45B8"/>
    <w:rsid w:val="008A4900"/>
    <w:rsid w:val="008A4BF5"/>
    <w:rsid w:val="008A4CCD"/>
    <w:rsid w:val="008A518D"/>
    <w:rsid w:val="008A51A3"/>
    <w:rsid w:val="008A52D9"/>
    <w:rsid w:val="008A5306"/>
    <w:rsid w:val="008A5437"/>
    <w:rsid w:val="008A55E1"/>
    <w:rsid w:val="008A57D6"/>
    <w:rsid w:val="008A5C48"/>
    <w:rsid w:val="008A612E"/>
    <w:rsid w:val="008A62F7"/>
    <w:rsid w:val="008A6582"/>
    <w:rsid w:val="008A6862"/>
    <w:rsid w:val="008A6BB8"/>
    <w:rsid w:val="008A6D9C"/>
    <w:rsid w:val="008A72F7"/>
    <w:rsid w:val="008A7361"/>
    <w:rsid w:val="008A750E"/>
    <w:rsid w:val="008A769D"/>
    <w:rsid w:val="008A796F"/>
    <w:rsid w:val="008A7CFA"/>
    <w:rsid w:val="008B02F3"/>
    <w:rsid w:val="008B031A"/>
    <w:rsid w:val="008B0322"/>
    <w:rsid w:val="008B08A4"/>
    <w:rsid w:val="008B1536"/>
    <w:rsid w:val="008B1ABC"/>
    <w:rsid w:val="008B1C38"/>
    <w:rsid w:val="008B2056"/>
    <w:rsid w:val="008B222D"/>
    <w:rsid w:val="008B2374"/>
    <w:rsid w:val="008B23C7"/>
    <w:rsid w:val="008B2751"/>
    <w:rsid w:val="008B2E10"/>
    <w:rsid w:val="008B33D9"/>
    <w:rsid w:val="008B3602"/>
    <w:rsid w:val="008B3771"/>
    <w:rsid w:val="008B38AD"/>
    <w:rsid w:val="008B3D06"/>
    <w:rsid w:val="008B427D"/>
    <w:rsid w:val="008B43DF"/>
    <w:rsid w:val="008B454A"/>
    <w:rsid w:val="008B47C2"/>
    <w:rsid w:val="008B4D47"/>
    <w:rsid w:val="008B534F"/>
    <w:rsid w:val="008B537A"/>
    <w:rsid w:val="008B5906"/>
    <w:rsid w:val="008B597B"/>
    <w:rsid w:val="008B59BF"/>
    <w:rsid w:val="008B5A11"/>
    <w:rsid w:val="008B5B80"/>
    <w:rsid w:val="008B5DEA"/>
    <w:rsid w:val="008B626F"/>
    <w:rsid w:val="008B63B5"/>
    <w:rsid w:val="008B63CC"/>
    <w:rsid w:val="008B63E0"/>
    <w:rsid w:val="008B685E"/>
    <w:rsid w:val="008B693E"/>
    <w:rsid w:val="008B7105"/>
    <w:rsid w:val="008B7209"/>
    <w:rsid w:val="008B7278"/>
    <w:rsid w:val="008B7838"/>
    <w:rsid w:val="008B7C60"/>
    <w:rsid w:val="008B7C77"/>
    <w:rsid w:val="008C00AB"/>
    <w:rsid w:val="008C0134"/>
    <w:rsid w:val="008C03A2"/>
    <w:rsid w:val="008C0454"/>
    <w:rsid w:val="008C056C"/>
    <w:rsid w:val="008C0894"/>
    <w:rsid w:val="008C0A50"/>
    <w:rsid w:val="008C0BD3"/>
    <w:rsid w:val="008C0C5E"/>
    <w:rsid w:val="008C14AF"/>
    <w:rsid w:val="008C1591"/>
    <w:rsid w:val="008C1658"/>
    <w:rsid w:val="008C185F"/>
    <w:rsid w:val="008C199B"/>
    <w:rsid w:val="008C19F1"/>
    <w:rsid w:val="008C1B9A"/>
    <w:rsid w:val="008C1D40"/>
    <w:rsid w:val="008C1F63"/>
    <w:rsid w:val="008C1FFC"/>
    <w:rsid w:val="008C2015"/>
    <w:rsid w:val="008C20B1"/>
    <w:rsid w:val="008C230D"/>
    <w:rsid w:val="008C23F1"/>
    <w:rsid w:val="008C2418"/>
    <w:rsid w:val="008C2B84"/>
    <w:rsid w:val="008C2D1D"/>
    <w:rsid w:val="008C30EA"/>
    <w:rsid w:val="008C3224"/>
    <w:rsid w:val="008C3270"/>
    <w:rsid w:val="008C32AB"/>
    <w:rsid w:val="008C343D"/>
    <w:rsid w:val="008C35CB"/>
    <w:rsid w:val="008C37B4"/>
    <w:rsid w:val="008C3A5D"/>
    <w:rsid w:val="008C3ACE"/>
    <w:rsid w:val="008C3E27"/>
    <w:rsid w:val="008C410F"/>
    <w:rsid w:val="008C42BB"/>
    <w:rsid w:val="008C492C"/>
    <w:rsid w:val="008C4B71"/>
    <w:rsid w:val="008C4D0B"/>
    <w:rsid w:val="008C5621"/>
    <w:rsid w:val="008C56C3"/>
    <w:rsid w:val="008C56EE"/>
    <w:rsid w:val="008C5705"/>
    <w:rsid w:val="008C5969"/>
    <w:rsid w:val="008C59CB"/>
    <w:rsid w:val="008C5AE8"/>
    <w:rsid w:val="008C5AF4"/>
    <w:rsid w:val="008C62CC"/>
    <w:rsid w:val="008C633F"/>
    <w:rsid w:val="008C6562"/>
    <w:rsid w:val="008C6B32"/>
    <w:rsid w:val="008C6B3A"/>
    <w:rsid w:val="008C76E2"/>
    <w:rsid w:val="008C7858"/>
    <w:rsid w:val="008C78D8"/>
    <w:rsid w:val="008C7E90"/>
    <w:rsid w:val="008D056A"/>
    <w:rsid w:val="008D074C"/>
    <w:rsid w:val="008D08B8"/>
    <w:rsid w:val="008D0BF5"/>
    <w:rsid w:val="008D0FA9"/>
    <w:rsid w:val="008D1593"/>
    <w:rsid w:val="008D18C8"/>
    <w:rsid w:val="008D18DF"/>
    <w:rsid w:val="008D1B81"/>
    <w:rsid w:val="008D2075"/>
    <w:rsid w:val="008D21E6"/>
    <w:rsid w:val="008D2497"/>
    <w:rsid w:val="008D28D1"/>
    <w:rsid w:val="008D293E"/>
    <w:rsid w:val="008D2AA3"/>
    <w:rsid w:val="008D2CCF"/>
    <w:rsid w:val="008D2D61"/>
    <w:rsid w:val="008D2D6A"/>
    <w:rsid w:val="008D2E62"/>
    <w:rsid w:val="008D3024"/>
    <w:rsid w:val="008D3050"/>
    <w:rsid w:val="008D348E"/>
    <w:rsid w:val="008D34ED"/>
    <w:rsid w:val="008D3D24"/>
    <w:rsid w:val="008D3E64"/>
    <w:rsid w:val="008D42FC"/>
    <w:rsid w:val="008D49E3"/>
    <w:rsid w:val="008D4CA0"/>
    <w:rsid w:val="008D4F72"/>
    <w:rsid w:val="008D5074"/>
    <w:rsid w:val="008D5250"/>
    <w:rsid w:val="008D52C5"/>
    <w:rsid w:val="008D547A"/>
    <w:rsid w:val="008D54D6"/>
    <w:rsid w:val="008D58BB"/>
    <w:rsid w:val="008D5A1B"/>
    <w:rsid w:val="008D5AC5"/>
    <w:rsid w:val="008D6389"/>
    <w:rsid w:val="008D63F7"/>
    <w:rsid w:val="008D67BA"/>
    <w:rsid w:val="008D684C"/>
    <w:rsid w:val="008D69AE"/>
    <w:rsid w:val="008D6F15"/>
    <w:rsid w:val="008D6F23"/>
    <w:rsid w:val="008D7643"/>
    <w:rsid w:val="008D7AB9"/>
    <w:rsid w:val="008D7B16"/>
    <w:rsid w:val="008D7C03"/>
    <w:rsid w:val="008D7C87"/>
    <w:rsid w:val="008D7D89"/>
    <w:rsid w:val="008D7F03"/>
    <w:rsid w:val="008D7F5E"/>
    <w:rsid w:val="008E000E"/>
    <w:rsid w:val="008E0799"/>
    <w:rsid w:val="008E081D"/>
    <w:rsid w:val="008E0928"/>
    <w:rsid w:val="008E0AF6"/>
    <w:rsid w:val="008E0C0D"/>
    <w:rsid w:val="008E0F9D"/>
    <w:rsid w:val="008E0FD1"/>
    <w:rsid w:val="008E1466"/>
    <w:rsid w:val="008E14A8"/>
    <w:rsid w:val="008E150E"/>
    <w:rsid w:val="008E15BD"/>
    <w:rsid w:val="008E16B7"/>
    <w:rsid w:val="008E1937"/>
    <w:rsid w:val="008E1B7F"/>
    <w:rsid w:val="008E1D8D"/>
    <w:rsid w:val="008E1E84"/>
    <w:rsid w:val="008E236C"/>
    <w:rsid w:val="008E26F0"/>
    <w:rsid w:val="008E2E6F"/>
    <w:rsid w:val="008E2EA6"/>
    <w:rsid w:val="008E31FB"/>
    <w:rsid w:val="008E3322"/>
    <w:rsid w:val="008E349E"/>
    <w:rsid w:val="008E35E6"/>
    <w:rsid w:val="008E37E6"/>
    <w:rsid w:val="008E45A6"/>
    <w:rsid w:val="008E471F"/>
    <w:rsid w:val="008E47A2"/>
    <w:rsid w:val="008E4979"/>
    <w:rsid w:val="008E4CA8"/>
    <w:rsid w:val="008E515D"/>
    <w:rsid w:val="008E5208"/>
    <w:rsid w:val="008E5267"/>
    <w:rsid w:val="008E52DC"/>
    <w:rsid w:val="008E5308"/>
    <w:rsid w:val="008E583F"/>
    <w:rsid w:val="008E5866"/>
    <w:rsid w:val="008E642D"/>
    <w:rsid w:val="008E661A"/>
    <w:rsid w:val="008E6774"/>
    <w:rsid w:val="008E69AC"/>
    <w:rsid w:val="008E6AED"/>
    <w:rsid w:val="008E6DC9"/>
    <w:rsid w:val="008E6E5F"/>
    <w:rsid w:val="008E702C"/>
    <w:rsid w:val="008E7536"/>
    <w:rsid w:val="008E7667"/>
    <w:rsid w:val="008E774A"/>
    <w:rsid w:val="008E77DC"/>
    <w:rsid w:val="008E7DB1"/>
    <w:rsid w:val="008E7F22"/>
    <w:rsid w:val="008F01CE"/>
    <w:rsid w:val="008F05AA"/>
    <w:rsid w:val="008F0728"/>
    <w:rsid w:val="008F09DE"/>
    <w:rsid w:val="008F0A03"/>
    <w:rsid w:val="008F0DB1"/>
    <w:rsid w:val="008F0E12"/>
    <w:rsid w:val="008F0E74"/>
    <w:rsid w:val="008F1202"/>
    <w:rsid w:val="008F1590"/>
    <w:rsid w:val="008F17AF"/>
    <w:rsid w:val="008F19F7"/>
    <w:rsid w:val="008F1A4E"/>
    <w:rsid w:val="008F1A5D"/>
    <w:rsid w:val="008F1E25"/>
    <w:rsid w:val="008F24BB"/>
    <w:rsid w:val="008F24F4"/>
    <w:rsid w:val="008F2559"/>
    <w:rsid w:val="008F2771"/>
    <w:rsid w:val="008F28D0"/>
    <w:rsid w:val="008F28E1"/>
    <w:rsid w:val="008F2B61"/>
    <w:rsid w:val="008F2C61"/>
    <w:rsid w:val="008F2E99"/>
    <w:rsid w:val="008F2F63"/>
    <w:rsid w:val="008F3085"/>
    <w:rsid w:val="008F321C"/>
    <w:rsid w:val="008F3569"/>
    <w:rsid w:val="008F366C"/>
    <w:rsid w:val="008F3695"/>
    <w:rsid w:val="008F3804"/>
    <w:rsid w:val="008F3A26"/>
    <w:rsid w:val="008F3AE5"/>
    <w:rsid w:val="008F3C4B"/>
    <w:rsid w:val="008F3C7C"/>
    <w:rsid w:val="008F436F"/>
    <w:rsid w:val="008F4503"/>
    <w:rsid w:val="008F4842"/>
    <w:rsid w:val="008F489C"/>
    <w:rsid w:val="008F4ABC"/>
    <w:rsid w:val="008F4BF3"/>
    <w:rsid w:val="008F4CA3"/>
    <w:rsid w:val="008F5345"/>
    <w:rsid w:val="008F5474"/>
    <w:rsid w:val="008F5486"/>
    <w:rsid w:val="008F54E2"/>
    <w:rsid w:val="008F5654"/>
    <w:rsid w:val="008F5918"/>
    <w:rsid w:val="008F5A6B"/>
    <w:rsid w:val="008F5D7C"/>
    <w:rsid w:val="008F5DB1"/>
    <w:rsid w:val="008F5F30"/>
    <w:rsid w:val="008F601C"/>
    <w:rsid w:val="008F625E"/>
    <w:rsid w:val="008F6261"/>
    <w:rsid w:val="008F650A"/>
    <w:rsid w:val="008F701A"/>
    <w:rsid w:val="008F7199"/>
    <w:rsid w:val="008F7405"/>
    <w:rsid w:val="008F75AF"/>
    <w:rsid w:val="008F75F0"/>
    <w:rsid w:val="008F78B4"/>
    <w:rsid w:val="008F78C8"/>
    <w:rsid w:val="008F7D75"/>
    <w:rsid w:val="008F7F07"/>
    <w:rsid w:val="009001AE"/>
    <w:rsid w:val="009002F0"/>
    <w:rsid w:val="009006AC"/>
    <w:rsid w:val="009008D2"/>
    <w:rsid w:val="0090093D"/>
    <w:rsid w:val="00900E4C"/>
    <w:rsid w:val="00900E80"/>
    <w:rsid w:val="00901046"/>
    <w:rsid w:val="009014C0"/>
    <w:rsid w:val="00901639"/>
    <w:rsid w:val="00901696"/>
    <w:rsid w:val="00901787"/>
    <w:rsid w:val="009017D1"/>
    <w:rsid w:val="009018AE"/>
    <w:rsid w:val="009018AF"/>
    <w:rsid w:val="00901CF0"/>
    <w:rsid w:val="0090201E"/>
    <w:rsid w:val="009023FC"/>
    <w:rsid w:val="009027D8"/>
    <w:rsid w:val="00902A00"/>
    <w:rsid w:val="00902AE0"/>
    <w:rsid w:val="00902B78"/>
    <w:rsid w:val="00903311"/>
    <w:rsid w:val="00903BF4"/>
    <w:rsid w:val="00903D92"/>
    <w:rsid w:val="0090423D"/>
    <w:rsid w:val="0090425F"/>
    <w:rsid w:val="0090429C"/>
    <w:rsid w:val="00904408"/>
    <w:rsid w:val="009046CD"/>
    <w:rsid w:val="00904880"/>
    <w:rsid w:val="00904A9B"/>
    <w:rsid w:val="0090502C"/>
    <w:rsid w:val="009056BB"/>
    <w:rsid w:val="00905861"/>
    <w:rsid w:val="0090586B"/>
    <w:rsid w:val="00905B91"/>
    <w:rsid w:val="00905ED1"/>
    <w:rsid w:val="009063FB"/>
    <w:rsid w:val="00906849"/>
    <w:rsid w:val="00906867"/>
    <w:rsid w:val="009068B4"/>
    <w:rsid w:val="00906F1B"/>
    <w:rsid w:val="00906F49"/>
    <w:rsid w:val="009075EE"/>
    <w:rsid w:val="00907BAA"/>
    <w:rsid w:val="00907DE9"/>
    <w:rsid w:val="009100DE"/>
    <w:rsid w:val="00910181"/>
    <w:rsid w:val="00910564"/>
    <w:rsid w:val="00910689"/>
    <w:rsid w:val="009106A1"/>
    <w:rsid w:val="0091084B"/>
    <w:rsid w:val="00910A83"/>
    <w:rsid w:val="00911129"/>
    <w:rsid w:val="00911509"/>
    <w:rsid w:val="00911ED8"/>
    <w:rsid w:val="00912184"/>
    <w:rsid w:val="009128FC"/>
    <w:rsid w:val="00912BB8"/>
    <w:rsid w:val="00912FFE"/>
    <w:rsid w:val="00913348"/>
    <w:rsid w:val="00913463"/>
    <w:rsid w:val="009137E3"/>
    <w:rsid w:val="00913C94"/>
    <w:rsid w:val="00913CE9"/>
    <w:rsid w:val="00914122"/>
    <w:rsid w:val="009141C8"/>
    <w:rsid w:val="009142D8"/>
    <w:rsid w:val="0091466A"/>
    <w:rsid w:val="009147C3"/>
    <w:rsid w:val="00914AAB"/>
    <w:rsid w:val="00914C3C"/>
    <w:rsid w:val="00914D08"/>
    <w:rsid w:val="009152B4"/>
    <w:rsid w:val="0091530C"/>
    <w:rsid w:val="00915529"/>
    <w:rsid w:val="009155E7"/>
    <w:rsid w:val="009159A2"/>
    <w:rsid w:val="00915ADB"/>
    <w:rsid w:val="00915DDF"/>
    <w:rsid w:val="0091608A"/>
    <w:rsid w:val="00916973"/>
    <w:rsid w:val="009169B6"/>
    <w:rsid w:val="00916E4C"/>
    <w:rsid w:val="00916EB0"/>
    <w:rsid w:val="00916FCB"/>
    <w:rsid w:val="00917120"/>
    <w:rsid w:val="0091732F"/>
    <w:rsid w:val="0091748E"/>
    <w:rsid w:val="00917859"/>
    <w:rsid w:val="00917AE9"/>
    <w:rsid w:val="00917C07"/>
    <w:rsid w:val="00917E88"/>
    <w:rsid w:val="00917F29"/>
    <w:rsid w:val="0092017B"/>
    <w:rsid w:val="0092072C"/>
    <w:rsid w:val="00920AD5"/>
    <w:rsid w:val="00920B4D"/>
    <w:rsid w:val="00920CCD"/>
    <w:rsid w:val="00920CE3"/>
    <w:rsid w:val="009212D6"/>
    <w:rsid w:val="0092162A"/>
    <w:rsid w:val="009216C5"/>
    <w:rsid w:val="00921C00"/>
    <w:rsid w:val="00922034"/>
    <w:rsid w:val="00922176"/>
    <w:rsid w:val="009227AE"/>
    <w:rsid w:val="00922B67"/>
    <w:rsid w:val="00922B8A"/>
    <w:rsid w:val="009232B4"/>
    <w:rsid w:val="0092388F"/>
    <w:rsid w:val="00923974"/>
    <w:rsid w:val="00923A61"/>
    <w:rsid w:val="00923C92"/>
    <w:rsid w:val="00923DB9"/>
    <w:rsid w:val="0092417D"/>
    <w:rsid w:val="00924195"/>
    <w:rsid w:val="0092429A"/>
    <w:rsid w:val="00924B18"/>
    <w:rsid w:val="00924D43"/>
    <w:rsid w:val="00924E26"/>
    <w:rsid w:val="00924E2F"/>
    <w:rsid w:val="009251AF"/>
    <w:rsid w:val="00925587"/>
    <w:rsid w:val="00925AF3"/>
    <w:rsid w:val="00925F44"/>
    <w:rsid w:val="00926399"/>
    <w:rsid w:val="009263B7"/>
    <w:rsid w:val="00926451"/>
    <w:rsid w:val="009265E9"/>
    <w:rsid w:val="00926732"/>
    <w:rsid w:val="00926854"/>
    <w:rsid w:val="00926A6F"/>
    <w:rsid w:val="00926AFF"/>
    <w:rsid w:val="00926C2D"/>
    <w:rsid w:val="00926C8F"/>
    <w:rsid w:val="00926D7B"/>
    <w:rsid w:val="0092737B"/>
    <w:rsid w:val="00927477"/>
    <w:rsid w:val="00927927"/>
    <w:rsid w:val="00927947"/>
    <w:rsid w:val="00927A49"/>
    <w:rsid w:val="00927A9A"/>
    <w:rsid w:val="00927E1D"/>
    <w:rsid w:val="00927F17"/>
    <w:rsid w:val="00930298"/>
    <w:rsid w:val="009302D6"/>
    <w:rsid w:val="009306C4"/>
    <w:rsid w:val="009309CC"/>
    <w:rsid w:val="00930A0E"/>
    <w:rsid w:val="00930BE4"/>
    <w:rsid w:val="00930C46"/>
    <w:rsid w:val="00930D82"/>
    <w:rsid w:val="009312C4"/>
    <w:rsid w:val="00931974"/>
    <w:rsid w:val="009319E2"/>
    <w:rsid w:val="00931B3D"/>
    <w:rsid w:val="00932048"/>
    <w:rsid w:val="0093208E"/>
    <w:rsid w:val="00932135"/>
    <w:rsid w:val="0093222D"/>
    <w:rsid w:val="009326DB"/>
    <w:rsid w:val="009328C8"/>
    <w:rsid w:val="009328FB"/>
    <w:rsid w:val="00932E27"/>
    <w:rsid w:val="00933069"/>
    <w:rsid w:val="0093323B"/>
    <w:rsid w:val="0093324B"/>
    <w:rsid w:val="009333E3"/>
    <w:rsid w:val="009336FC"/>
    <w:rsid w:val="00933DC1"/>
    <w:rsid w:val="00933E91"/>
    <w:rsid w:val="00934214"/>
    <w:rsid w:val="00934293"/>
    <w:rsid w:val="00934476"/>
    <w:rsid w:val="0093494C"/>
    <w:rsid w:val="00934A18"/>
    <w:rsid w:val="00934D96"/>
    <w:rsid w:val="009350D8"/>
    <w:rsid w:val="0093512F"/>
    <w:rsid w:val="0093537B"/>
    <w:rsid w:val="009354D5"/>
    <w:rsid w:val="009356BF"/>
    <w:rsid w:val="0093585D"/>
    <w:rsid w:val="0093590F"/>
    <w:rsid w:val="00935C4A"/>
    <w:rsid w:val="00935C5E"/>
    <w:rsid w:val="00935D1E"/>
    <w:rsid w:val="00935DD1"/>
    <w:rsid w:val="00935E11"/>
    <w:rsid w:val="009360AE"/>
    <w:rsid w:val="0093658F"/>
    <w:rsid w:val="00936836"/>
    <w:rsid w:val="00936ACD"/>
    <w:rsid w:val="00936AEA"/>
    <w:rsid w:val="00936BBF"/>
    <w:rsid w:val="00936BD5"/>
    <w:rsid w:val="00936C64"/>
    <w:rsid w:val="00937031"/>
    <w:rsid w:val="00937046"/>
    <w:rsid w:val="0093715D"/>
    <w:rsid w:val="00937595"/>
    <w:rsid w:val="009378EC"/>
    <w:rsid w:val="0093795C"/>
    <w:rsid w:val="00937AFC"/>
    <w:rsid w:val="00937B31"/>
    <w:rsid w:val="00937E94"/>
    <w:rsid w:val="00939DBB"/>
    <w:rsid w:val="009400C0"/>
    <w:rsid w:val="00940B36"/>
    <w:rsid w:val="00940C2F"/>
    <w:rsid w:val="00940F7D"/>
    <w:rsid w:val="0094152A"/>
    <w:rsid w:val="00941B6A"/>
    <w:rsid w:val="00941CCF"/>
    <w:rsid w:val="00941D03"/>
    <w:rsid w:val="00941D1A"/>
    <w:rsid w:val="00941E83"/>
    <w:rsid w:val="00942195"/>
    <w:rsid w:val="009421E9"/>
    <w:rsid w:val="00942324"/>
    <w:rsid w:val="00942BCB"/>
    <w:rsid w:val="00942E95"/>
    <w:rsid w:val="00942F5A"/>
    <w:rsid w:val="00943607"/>
    <w:rsid w:val="00943786"/>
    <w:rsid w:val="009437DD"/>
    <w:rsid w:val="00943884"/>
    <w:rsid w:val="009439F4"/>
    <w:rsid w:val="00943ED6"/>
    <w:rsid w:val="00944313"/>
    <w:rsid w:val="0094441C"/>
    <w:rsid w:val="009448BF"/>
    <w:rsid w:val="00944A03"/>
    <w:rsid w:val="0094510C"/>
    <w:rsid w:val="0094511B"/>
    <w:rsid w:val="009451E7"/>
    <w:rsid w:val="00945368"/>
    <w:rsid w:val="009457AB"/>
    <w:rsid w:val="009457F9"/>
    <w:rsid w:val="009461E4"/>
    <w:rsid w:val="00946289"/>
    <w:rsid w:val="009464DA"/>
    <w:rsid w:val="00946BB1"/>
    <w:rsid w:val="00946DF7"/>
    <w:rsid w:val="00946E6A"/>
    <w:rsid w:val="00947DBB"/>
    <w:rsid w:val="00947E86"/>
    <w:rsid w:val="00950061"/>
    <w:rsid w:val="00950325"/>
    <w:rsid w:val="009503E6"/>
    <w:rsid w:val="00950539"/>
    <w:rsid w:val="00950695"/>
    <w:rsid w:val="009506C9"/>
    <w:rsid w:val="009509BC"/>
    <w:rsid w:val="00950A3E"/>
    <w:rsid w:val="00950E30"/>
    <w:rsid w:val="00951528"/>
    <w:rsid w:val="00951C33"/>
    <w:rsid w:val="0095204F"/>
    <w:rsid w:val="0095218C"/>
    <w:rsid w:val="0095233E"/>
    <w:rsid w:val="00952375"/>
    <w:rsid w:val="009525A1"/>
    <w:rsid w:val="00952852"/>
    <w:rsid w:val="00952E86"/>
    <w:rsid w:val="0095302C"/>
    <w:rsid w:val="0095308F"/>
    <w:rsid w:val="0095319B"/>
    <w:rsid w:val="009535C8"/>
    <w:rsid w:val="009537D5"/>
    <w:rsid w:val="00953A89"/>
    <w:rsid w:val="00953CA1"/>
    <w:rsid w:val="00953E83"/>
    <w:rsid w:val="009540D2"/>
    <w:rsid w:val="009540D8"/>
    <w:rsid w:val="009541B0"/>
    <w:rsid w:val="009541F7"/>
    <w:rsid w:val="00954239"/>
    <w:rsid w:val="00954520"/>
    <w:rsid w:val="00954553"/>
    <w:rsid w:val="00954730"/>
    <w:rsid w:val="00954BB1"/>
    <w:rsid w:val="00954BB2"/>
    <w:rsid w:val="00954C6A"/>
    <w:rsid w:val="00954DAF"/>
    <w:rsid w:val="00954F71"/>
    <w:rsid w:val="009551BE"/>
    <w:rsid w:val="009553D7"/>
    <w:rsid w:val="009554B1"/>
    <w:rsid w:val="00955567"/>
    <w:rsid w:val="00955939"/>
    <w:rsid w:val="0095603B"/>
    <w:rsid w:val="0095654E"/>
    <w:rsid w:val="0095655D"/>
    <w:rsid w:val="009568FF"/>
    <w:rsid w:val="00956C8C"/>
    <w:rsid w:val="00956CE0"/>
    <w:rsid w:val="00956D54"/>
    <w:rsid w:val="00957447"/>
    <w:rsid w:val="009577C7"/>
    <w:rsid w:val="00957A28"/>
    <w:rsid w:val="00957D7A"/>
    <w:rsid w:val="0096003D"/>
    <w:rsid w:val="0096007A"/>
    <w:rsid w:val="009602A1"/>
    <w:rsid w:val="0096046C"/>
    <w:rsid w:val="0096068E"/>
    <w:rsid w:val="009608AC"/>
    <w:rsid w:val="009609ED"/>
    <w:rsid w:val="00960C4E"/>
    <w:rsid w:val="00960CF9"/>
    <w:rsid w:val="0096110D"/>
    <w:rsid w:val="00961419"/>
    <w:rsid w:val="0096248A"/>
    <w:rsid w:val="00962A0E"/>
    <w:rsid w:val="00962A44"/>
    <w:rsid w:val="00962C0A"/>
    <w:rsid w:val="009636B0"/>
    <w:rsid w:val="00963D35"/>
    <w:rsid w:val="00964198"/>
    <w:rsid w:val="009641A7"/>
    <w:rsid w:val="0096432D"/>
    <w:rsid w:val="00964494"/>
    <w:rsid w:val="0096490E"/>
    <w:rsid w:val="00964AC3"/>
    <w:rsid w:val="009654D7"/>
    <w:rsid w:val="0096576E"/>
    <w:rsid w:val="00965E66"/>
    <w:rsid w:val="00965E91"/>
    <w:rsid w:val="00965F95"/>
    <w:rsid w:val="009660AF"/>
    <w:rsid w:val="009660F8"/>
    <w:rsid w:val="00966163"/>
    <w:rsid w:val="0096618A"/>
    <w:rsid w:val="00966269"/>
    <w:rsid w:val="009663FF"/>
    <w:rsid w:val="0096653C"/>
    <w:rsid w:val="009665F6"/>
    <w:rsid w:val="009666C4"/>
    <w:rsid w:val="00966829"/>
    <w:rsid w:val="009668E0"/>
    <w:rsid w:val="00966900"/>
    <w:rsid w:val="00966936"/>
    <w:rsid w:val="00966AB0"/>
    <w:rsid w:val="00967072"/>
    <w:rsid w:val="00967101"/>
    <w:rsid w:val="009671CE"/>
    <w:rsid w:val="0096779E"/>
    <w:rsid w:val="00967BD2"/>
    <w:rsid w:val="00967E43"/>
    <w:rsid w:val="00967EDE"/>
    <w:rsid w:val="00967EE9"/>
    <w:rsid w:val="009702C2"/>
    <w:rsid w:val="00970449"/>
    <w:rsid w:val="009708AE"/>
    <w:rsid w:val="00970B68"/>
    <w:rsid w:val="00970F4E"/>
    <w:rsid w:val="00970F83"/>
    <w:rsid w:val="009711AC"/>
    <w:rsid w:val="0097127A"/>
    <w:rsid w:val="009713C3"/>
    <w:rsid w:val="00971933"/>
    <w:rsid w:val="00971A04"/>
    <w:rsid w:val="00971BE2"/>
    <w:rsid w:val="00971D23"/>
    <w:rsid w:val="00971E25"/>
    <w:rsid w:val="00971E60"/>
    <w:rsid w:val="009721F9"/>
    <w:rsid w:val="00972283"/>
    <w:rsid w:val="00972323"/>
    <w:rsid w:val="009725CB"/>
    <w:rsid w:val="0097291B"/>
    <w:rsid w:val="00972A69"/>
    <w:rsid w:val="00972B14"/>
    <w:rsid w:val="00972BA1"/>
    <w:rsid w:val="00972C3C"/>
    <w:rsid w:val="00972D70"/>
    <w:rsid w:val="00972FB9"/>
    <w:rsid w:val="009734AA"/>
    <w:rsid w:val="00973A9E"/>
    <w:rsid w:val="00973B0C"/>
    <w:rsid w:val="009741CD"/>
    <w:rsid w:val="00974698"/>
    <w:rsid w:val="00974758"/>
    <w:rsid w:val="00974ECF"/>
    <w:rsid w:val="0097508F"/>
    <w:rsid w:val="0097532B"/>
    <w:rsid w:val="009754D9"/>
    <w:rsid w:val="0097551B"/>
    <w:rsid w:val="00975700"/>
    <w:rsid w:val="00975705"/>
    <w:rsid w:val="00975A29"/>
    <w:rsid w:val="00975AAD"/>
    <w:rsid w:val="00975CB5"/>
    <w:rsid w:val="00975CF5"/>
    <w:rsid w:val="009766DE"/>
    <w:rsid w:val="0097688C"/>
    <w:rsid w:val="00976C00"/>
    <w:rsid w:val="00976E00"/>
    <w:rsid w:val="00977269"/>
    <w:rsid w:val="009775B0"/>
    <w:rsid w:val="00977745"/>
    <w:rsid w:val="009779E2"/>
    <w:rsid w:val="00977DA0"/>
    <w:rsid w:val="009800A5"/>
    <w:rsid w:val="009802DD"/>
    <w:rsid w:val="009802E1"/>
    <w:rsid w:val="00980499"/>
    <w:rsid w:val="00980C59"/>
    <w:rsid w:val="00980CB6"/>
    <w:rsid w:val="009810EB"/>
    <w:rsid w:val="00981417"/>
    <w:rsid w:val="00981700"/>
    <w:rsid w:val="00981713"/>
    <w:rsid w:val="00981B1B"/>
    <w:rsid w:val="00981C06"/>
    <w:rsid w:val="00981C38"/>
    <w:rsid w:val="00981D06"/>
    <w:rsid w:val="00981EDF"/>
    <w:rsid w:val="0098256E"/>
    <w:rsid w:val="009828FA"/>
    <w:rsid w:val="009836B6"/>
    <w:rsid w:val="009836D5"/>
    <w:rsid w:val="00983A0A"/>
    <w:rsid w:val="00983C38"/>
    <w:rsid w:val="00983C5F"/>
    <w:rsid w:val="00983C6B"/>
    <w:rsid w:val="00983E47"/>
    <w:rsid w:val="009843F9"/>
    <w:rsid w:val="009845AF"/>
    <w:rsid w:val="009847AB"/>
    <w:rsid w:val="00984970"/>
    <w:rsid w:val="00984ACF"/>
    <w:rsid w:val="00984E5B"/>
    <w:rsid w:val="00984EFE"/>
    <w:rsid w:val="00985171"/>
    <w:rsid w:val="00985459"/>
    <w:rsid w:val="00985592"/>
    <w:rsid w:val="00985C59"/>
    <w:rsid w:val="00985D45"/>
    <w:rsid w:val="00986326"/>
    <w:rsid w:val="009865C1"/>
    <w:rsid w:val="00986FAA"/>
    <w:rsid w:val="009871CA"/>
    <w:rsid w:val="00987223"/>
    <w:rsid w:val="009874BF"/>
    <w:rsid w:val="0098760F"/>
    <w:rsid w:val="00987726"/>
    <w:rsid w:val="0098776E"/>
    <w:rsid w:val="009877FF"/>
    <w:rsid w:val="0098791E"/>
    <w:rsid w:val="00987A49"/>
    <w:rsid w:val="0099022F"/>
    <w:rsid w:val="00990470"/>
    <w:rsid w:val="009904FB"/>
    <w:rsid w:val="00990522"/>
    <w:rsid w:val="009905EE"/>
    <w:rsid w:val="009906F7"/>
    <w:rsid w:val="00990849"/>
    <w:rsid w:val="00990A51"/>
    <w:rsid w:val="00990F0C"/>
    <w:rsid w:val="0099116C"/>
    <w:rsid w:val="0099143E"/>
    <w:rsid w:val="009916F6"/>
    <w:rsid w:val="009919FB"/>
    <w:rsid w:val="00991D98"/>
    <w:rsid w:val="0099238A"/>
    <w:rsid w:val="009923EC"/>
    <w:rsid w:val="00992777"/>
    <w:rsid w:val="00992D42"/>
    <w:rsid w:val="0099358F"/>
    <w:rsid w:val="00993728"/>
    <w:rsid w:val="009939C3"/>
    <w:rsid w:val="00993A59"/>
    <w:rsid w:val="00993B35"/>
    <w:rsid w:val="00994007"/>
    <w:rsid w:val="0099431C"/>
    <w:rsid w:val="00994348"/>
    <w:rsid w:val="00994467"/>
    <w:rsid w:val="00994757"/>
    <w:rsid w:val="00994B41"/>
    <w:rsid w:val="00995032"/>
    <w:rsid w:val="00995062"/>
    <w:rsid w:val="0099515A"/>
    <w:rsid w:val="00995F06"/>
    <w:rsid w:val="00995F47"/>
    <w:rsid w:val="0099672C"/>
    <w:rsid w:val="00996893"/>
    <w:rsid w:val="00996ABB"/>
    <w:rsid w:val="00996F8E"/>
    <w:rsid w:val="0099700E"/>
    <w:rsid w:val="009971FC"/>
    <w:rsid w:val="00997274"/>
    <w:rsid w:val="0099728F"/>
    <w:rsid w:val="009972B7"/>
    <w:rsid w:val="009972E4"/>
    <w:rsid w:val="0099741C"/>
    <w:rsid w:val="00997453"/>
    <w:rsid w:val="0099781B"/>
    <w:rsid w:val="00997E7C"/>
    <w:rsid w:val="009A0090"/>
    <w:rsid w:val="009A00EF"/>
    <w:rsid w:val="009A02DD"/>
    <w:rsid w:val="009A0529"/>
    <w:rsid w:val="009A07BF"/>
    <w:rsid w:val="009A0A89"/>
    <w:rsid w:val="009A0D2A"/>
    <w:rsid w:val="009A0E52"/>
    <w:rsid w:val="009A0FC3"/>
    <w:rsid w:val="009A1182"/>
    <w:rsid w:val="009A14B6"/>
    <w:rsid w:val="009A14FA"/>
    <w:rsid w:val="009A16E4"/>
    <w:rsid w:val="009A1D7D"/>
    <w:rsid w:val="009A1FD8"/>
    <w:rsid w:val="009A22E1"/>
    <w:rsid w:val="009A23AF"/>
    <w:rsid w:val="009A2530"/>
    <w:rsid w:val="009A2EE7"/>
    <w:rsid w:val="009A2F0C"/>
    <w:rsid w:val="009A2F27"/>
    <w:rsid w:val="009A32E1"/>
    <w:rsid w:val="009A32FB"/>
    <w:rsid w:val="009A3D14"/>
    <w:rsid w:val="009A3D3D"/>
    <w:rsid w:val="009A3EC2"/>
    <w:rsid w:val="009A4008"/>
    <w:rsid w:val="009A42E3"/>
    <w:rsid w:val="009A4382"/>
    <w:rsid w:val="009A4B40"/>
    <w:rsid w:val="009A4BE7"/>
    <w:rsid w:val="009A52CA"/>
    <w:rsid w:val="009A5439"/>
    <w:rsid w:val="009A55D9"/>
    <w:rsid w:val="009A5700"/>
    <w:rsid w:val="009A5AE5"/>
    <w:rsid w:val="009A5E3B"/>
    <w:rsid w:val="009A60FE"/>
    <w:rsid w:val="009A61BC"/>
    <w:rsid w:val="009A630E"/>
    <w:rsid w:val="009A65B9"/>
    <w:rsid w:val="009A66FA"/>
    <w:rsid w:val="009A684F"/>
    <w:rsid w:val="009A6DCE"/>
    <w:rsid w:val="009A711A"/>
    <w:rsid w:val="009A71DE"/>
    <w:rsid w:val="009A7247"/>
    <w:rsid w:val="009A7623"/>
    <w:rsid w:val="009A7728"/>
    <w:rsid w:val="009A7978"/>
    <w:rsid w:val="009B0135"/>
    <w:rsid w:val="009B03BF"/>
    <w:rsid w:val="009B079A"/>
    <w:rsid w:val="009B0B73"/>
    <w:rsid w:val="009B0C39"/>
    <w:rsid w:val="009B0ECA"/>
    <w:rsid w:val="009B0F8B"/>
    <w:rsid w:val="009B1273"/>
    <w:rsid w:val="009B13BF"/>
    <w:rsid w:val="009B143F"/>
    <w:rsid w:val="009B1458"/>
    <w:rsid w:val="009B160E"/>
    <w:rsid w:val="009B1647"/>
    <w:rsid w:val="009B1690"/>
    <w:rsid w:val="009B1873"/>
    <w:rsid w:val="009B192B"/>
    <w:rsid w:val="009B198A"/>
    <w:rsid w:val="009B19F9"/>
    <w:rsid w:val="009B1C29"/>
    <w:rsid w:val="009B21F6"/>
    <w:rsid w:val="009B23D7"/>
    <w:rsid w:val="009B2755"/>
    <w:rsid w:val="009B276E"/>
    <w:rsid w:val="009B2906"/>
    <w:rsid w:val="009B29DD"/>
    <w:rsid w:val="009B29E6"/>
    <w:rsid w:val="009B2C40"/>
    <w:rsid w:val="009B2E1F"/>
    <w:rsid w:val="009B3009"/>
    <w:rsid w:val="009B308E"/>
    <w:rsid w:val="009B347C"/>
    <w:rsid w:val="009B34C5"/>
    <w:rsid w:val="009B34C9"/>
    <w:rsid w:val="009B359D"/>
    <w:rsid w:val="009B36D9"/>
    <w:rsid w:val="009B3C32"/>
    <w:rsid w:val="009B3EA7"/>
    <w:rsid w:val="009B3F78"/>
    <w:rsid w:val="009B4297"/>
    <w:rsid w:val="009B43B8"/>
    <w:rsid w:val="009B45F3"/>
    <w:rsid w:val="009B49AB"/>
    <w:rsid w:val="009B4CEC"/>
    <w:rsid w:val="009B4DB6"/>
    <w:rsid w:val="009B4FE1"/>
    <w:rsid w:val="009B5583"/>
    <w:rsid w:val="009B56B3"/>
    <w:rsid w:val="009B570E"/>
    <w:rsid w:val="009B58F0"/>
    <w:rsid w:val="009B5AFB"/>
    <w:rsid w:val="009B5F17"/>
    <w:rsid w:val="009B603E"/>
    <w:rsid w:val="009B6159"/>
    <w:rsid w:val="009B6250"/>
    <w:rsid w:val="009B6469"/>
    <w:rsid w:val="009B65E8"/>
    <w:rsid w:val="009B681D"/>
    <w:rsid w:val="009B6C83"/>
    <w:rsid w:val="009B6E3B"/>
    <w:rsid w:val="009B7137"/>
    <w:rsid w:val="009B7389"/>
    <w:rsid w:val="009B73E1"/>
    <w:rsid w:val="009B793D"/>
    <w:rsid w:val="009B7EF6"/>
    <w:rsid w:val="009B7F78"/>
    <w:rsid w:val="009C0149"/>
    <w:rsid w:val="009C0158"/>
    <w:rsid w:val="009C0BE9"/>
    <w:rsid w:val="009C0BF5"/>
    <w:rsid w:val="009C0CE9"/>
    <w:rsid w:val="009C0D80"/>
    <w:rsid w:val="009C101C"/>
    <w:rsid w:val="009C123A"/>
    <w:rsid w:val="009C15A1"/>
    <w:rsid w:val="009C179D"/>
    <w:rsid w:val="009C19A4"/>
    <w:rsid w:val="009C19A5"/>
    <w:rsid w:val="009C1ADF"/>
    <w:rsid w:val="009C1BD0"/>
    <w:rsid w:val="009C1C02"/>
    <w:rsid w:val="009C2134"/>
    <w:rsid w:val="009C21B1"/>
    <w:rsid w:val="009C275F"/>
    <w:rsid w:val="009C2857"/>
    <w:rsid w:val="009C29E1"/>
    <w:rsid w:val="009C2BB2"/>
    <w:rsid w:val="009C2C02"/>
    <w:rsid w:val="009C2CBB"/>
    <w:rsid w:val="009C3056"/>
    <w:rsid w:val="009C3344"/>
    <w:rsid w:val="009C3366"/>
    <w:rsid w:val="009C3738"/>
    <w:rsid w:val="009C3A36"/>
    <w:rsid w:val="009C412F"/>
    <w:rsid w:val="009C4139"/>
    <w:rsid w:val="009C49DB"/>
    <w:rsid w:val="009C4AF9"/>
    <w:rsid w:val="009C4DE4"/>
    <w:rsid w:val="009C4EB9"/>
    <w:rsid w:val="009C4F9B"/>
    <w:rsid w:val="009C4FAE"/>
    <w:rsid w:val="009C610A"/>
    <w:rsid w:val="009C648C"/>
    <w:rsid w:val="009C651D"/>
    <w:rsid w:val="009C6E4A"/>
    <w:rsid w:val="009C6FE7"/>
    <w:rsid w:val="009C79C5"/>
    <w:rsid w:val="009C7CEF"/>
    <w:rsid w:val="009C7EA4"/>
    <w:rsid w:val="009D019F"/>
    <w:rsid w:val="009D0293"/>
    <w:rsid w:val="009D03B8"/>
    <w:rsid w:val="009D06CD"/>
    <w:rsid w:val="009D0ECC"/>
    <w:rsid w:val="009D1393"/>
    <w:rsid w:val="009D1468"/>
    <w:rsid w:val="009D148C"/>
    <w:rsid w:val="009D187E"/>
    <w:rsid w:val="009D19F0"/>
    <w:rsid w:val="009D1A11"/>
    <w:rsid w:val="009D2657"/>
    <w:rsid w:val="009D2679"/>
    <w:rsid w:val="009D2D2B"/>
    <w:rsid w:val="009D2E33"/>
    <w:rsid w:val="009D2F5F"/>
    <w:rsid w:val="009D3056"/>
    <w:rsid w:val="009D312B"/>
    <w:rsid w:val="009D3522"/>
    <w:rsid w:val="009D3862"/>
    <w:rsid w:val="009D420A"/>
    <w:rsid w:val="009D426F"/>
    <w:rsid w:val="009D4859"/>
    <w:rsid w:val="009D4868"/>
    <w:rsid w:val="009D4874"/>
    <w:rsid w:val="009D4925"/>
    <w:rsid w:val="009D4A22"/>
    <w:rsid w:val="009D4A31"/>
    <w:rsid w:val="009D4BEF"/>
    <w:rsid w:val="009D4DBC"/>
    <w:rsid w:val="009D4EC4"/>
    <w:rsid w:val="009D5088"/>
    <w:rsid w:val="009D52B7"/>
    <w:rsid w:val="009D540B"/>
    <w:rsid w:val="009D56B1"/>
    <w:rsid w:val="009D5781"/>
    <w:rsid w:val="009D5ACD"/>
    <w:rsid w:val="009D5F0A"/>
    <w:rsid w:val="009D5F67"/>
    <w:rsid w:val="009D63C8"/>
    <w:rsid w:val="009D6435"/>
    <w:rsid w:val="009D6787"/>
    <w:rsid w:val="009D6C61"/>
    <w:rsid w:val="009D7077"/>
    <w:rsid w:val="009D71AE"/>
    <w:rsid w:val="009D75E4"/>
    <w:rsid w:val="009D796D"/>
    <w:rsid w:val="009D7FE3"/>
    <w:rsid w:val="009E0124"/>
    <w:rsid w:val="009E0517"/>
    <w:rsid w:val="009E0569"/>
    <w:rsid w:val="009E06FB"/>
    <w:rsid w:val="009E07C8"/>
    <w:rsid w:val="009E08FD"/>
    <w:rsid w:val="009E09CB"/>
    <w:rsid w:val="009E0A71"/>
    <w:rsid w:val="009E10CD"/>
    <w:rsid w:val="009E112C"/>
    <w:rsid w:val="009E179B"/>
    <w:rsid w:val="009E1921"/>
    <w:rsid w:val="009E1FBC"/>
    <w:rsid w:val="009E20EB"/>
    <w:rsid w:val="009E22FD"/>
    <w:rsid w:val="009E2356"/>
    <w:rsid w:val="009E254F"/>
    <w:rsid w:val="009E2561"/>
    <w:rsid w:val="009E2934"/>
    <w:rsid w:val="009E2CD0"/>
    <w:rsid w:val="009E2D1E"/>
    <w:rsid w:val="009E2DB3"/>
    <w:rsid w:val="009E2E1A"/>
    <w:rsid w:val="009E32A3"/>
    <w:rsid w:val="009E32B7"/>
    <w:rsid w:val="009E36F5"/>
    <w:rsid w:val="009E3ACC"/>
    <w:rsid w:val="009E3C71"/>
    <w:rsid w:val="009E409A"/>
    <w:rsid w:val="009E4133"/>
    <w:rsid w:val="009E43BD"/>
    <w:rsid w:val="009E47AF"/>
    <w:rsid w:val="009E49CE"/>
    <w:rsid w:val="009E4BAA"/>
    <w:rsid w:val="009E4DAD"/>
    <w:rsid w:val="009E4F5C"/>
    <w:rsid w:val="009E52BA"/>
    <w:rsid w:val="009E5746"/>
    <w:rsid w:val="009E580E"/>
    <w:rsid w:val="009E5905"/>
    <w:rsid w:val="009E5A8B"/>
    <w:rsid w:val="009E5BA7"/>
    <w:rsid w:val="009E685B"/>
    <w:rsid w:val="009E6A14"/>
    <w:rsid w:val="009E6CE2"/>
    <w:rsid w:val="009E6E3C"/>
    <w:rsid w:val="009E6EBD"/>
    <w:rsid w:val="009E7005"/>
    <w:rsid w:val="009E713A"/>
    <w:rsid w:val="009E7F15"/>
    <w:rsid w:val="009E7F52"/>
    <w:rsid w:val="009F0107"/>
    <w:rsid w:val="009F0F3E"/>
    <w:rsid w:val="009F1097"/>
    <w:rsid w:val="009F10F6"/>
    <w:rsid w:val="009F15E3"/>
    <w:rsid w:val="009F165E"/>
    <w:rsid w:val="009F16BD"/>
    <w:rsid w:val="009F1A0A"/>
    <w:rsid w:val="009F1B0F"/>
    <w:rsid w:val="009F1E69"/>
    <w:rsid w:val="009F2175"/>
    <w:rsid w:val="009F238F"/>
    <w:rsid w:val="009F25D1"/>
    <w:rsid w:val="009F2900"/>
    <w:rsid w:val="009F291E"/>
    <w:rsid w:val="009F2C3D"/>
    <w:rsid w:val="009F2E60"/>
    <w:rsid w:val="009F3043"/>
    <w:rsid w:val="009F309D"/>
    <w:rsid w:val="009F329E"/>
    <w:rsid w:val="009F32E6"/>
    <w:rsid w:val="009F332F"/>
    <w:rsid w:val="009F349B"/>
    <w:rsid w:val="009F3786"/>
    <w:rsid w:val="009F3EC4"/>
    <w:rsid w:val="009F3F47"/>
    <w:rsid w:val="009F4089"/>
    <w:rsid w:val="009F4959"/>
    <w:rsid w:val="009F4CA2"/>
    <w:rsid w:val="009F504D"/>
    <w:rsid w:val="009F5547"/>
    <w:rsid w:val="009F55BA"/>
    <w:rsid w:val="009F56FA"/>
    <w:rsid w:val="009F5742"/>
    <w:rsid w:val="009F5744"/>
    <w:rsid w:val="009F5916"/>
    <w:rsid w:val="009F5B0C"/>
    <w:rsid w:val="009F5BF2"/>
    <w:rsid w:val="009F5DF0"/>
    <w:rsid w:val="009F602C"/>
    <w:rsid w:val="009F6360"/>
    <w:rsid w:val="009F65A5"/>
    <w:rsid w:val="009F65C9"/>
    <w:rsid w:val="009F6932"/>
    <w:rsid w:val="009F6AF7"/>
    <w:rsid w:val="009F6B26"/>
    <w:rsid w:val="009F6B64"/>
    <w:rsid w:val="009F6BA2"/>
    <w:rsid w:val="009F70B3"/>
    <w:rsid w:val="009F7194"/>
    <w:rsid w:val="009F737A"/>
    <w:rsid w:val="009F7386"/>
    <w:rsid w:val="009F7573"/>
    <w:rsid w:val="00A0040A"/>
    <w:rsid w:val="00A008A2"/>
    <w:rsid w:val="00A0095B"/>
    <w:rsid w:val="00A00A4E"/>
    <w:rsid w:val="00A00FFB"/>
    <w:rsid w:val="00A014A4"/>
    <w:rsid w:val="00A0177F"/>
    <w:rsid w:val="00A0198B"/>
    <w:rsid w:val="00A01B56"/>
    <w:rsid w:val="00A01D1D"/>
    <w:rsid w:val="00A02692"/>
    <w:rsid w:val="00A02693"/>
    <w:rsid w:val="00A02D25"/>
    <w:rsid w:val="00A03709"/>
    <w:rsid w:val="00A03E69"/>
    <w:rsid w:val="00A03F1E"/>
    <w:rsid w:val="00A045F3"/>
    <w:rsid w:val="00A047DD"/>
    <w:rsid w:val="00A04B58"/>
    <w:rsid w:val="00A04BE9"/>
    <w:rsid w:val="00A04C52"/>
    <w:rsid w:val="00A05424"/>
    <w:rsid w:val="00A0583B"/>
    <w:rsid w:val="00A05A4A"/>
    <w:rsid w:val="00A06295"/>
    <w:rsid w:val="00A06651"/>
    <w:rsid w:val="00A066F7"/>
    <w:rsid w:val="00A06766"/>
    <w:rsid w:val="00A067BE"/>
    <w:rsid w:val="00A06C1C"/>
    <w:rsid w:val="00A06C64"/>
    <w:rsid w:val="00A06C81"/>
    <w:rsid w:val="00A06E28"/>
    <w:rsid w:val="00A0715E"/>
    <w:rsid w:val="00A0735A"/>
    <w:rsid w:val="00A079FD"/>
    <w:rsid w:val="00A07BCE"/>
    <w:rsid w:val="00A07BDD"/>
    <w:rsid w:val="00A07E7D"/>
    <w:rsid w:val="00A10363"/>
    <w:rsid w:val="00A108CB"/>
    <w:rsid w:val="00A10D60"/>
    <w:rsid w:val="00A119D0"/>
    <w:rsid w:val="00A11C36"/>
    <w:rsid w:val="00A11D85"/>
    <w:rsid w:val="00A11D94"/>
    <w:rsid w:val="00A11E2A"/>
    <w:rsid w:val="00A1200F"/>
    <w:rsid w:val="00A12381"/>
    <w:rsid w:val="00A1291B"/>
    <w:rsid w:val="00A12A60"/>
    <w:rsid w:val="00A1323B"/>
    <w:rsid w:val="00A132FD"/>
    <w:rsid w:val="00A13966"/>
    <w:rsid w:val="00A13AFA"/>
    <w:rsid w:val="00A13C92"/>
    <w:rsid w:val="00A14085"/>
    <w:rsid w:val="00A140E4"/>
    <w:rsid w:val="00A14486"/>
    <w:rsid w:val="00A144BB"/>
    <w:rsid w:val="00A14705"/>
    <w:rsid w:val="00A148B7"/>
    <w:rsid w:val="00A14B7A"/>
    <w:rsid w:val="00A14CB8"/>
    <w:rsid w:val="00A14FCE"/>
    <w:rsid w:val="00A150AF"/>
    <w:rsid w:val="00A15B6F"/>
    <w:rsid w:val="00A15C18"/>
    <w:rsid w:val="00A15ED5"/>
    <w:rsid w:val="00A16324"/>
    <w:rsid w:val="00A168D4"/>
    <w:rsid w:val="00A169DC"/>
    <w:rsid w:val="00A17016"/>
    <w:rsid w:val="00A171E1"/>
    <w:rsid w:val="00A17232"/>
    <w:rsid w:val="00A173B3"/>
    <w:rsid w:val="00A173E6"/>
    <w:rsid w:val="00A17480"/>
    <w:rsid w:val="00A176DB"/>
    <w:rsid w:val="00A177CA"/>
    <w:rsid w:val="00A17A22"/>
    <w:rsid w:val="00A17AF0"/>
    <w:rsid w:val="00A17EDF"/>
    <w:rsid w:val="00A2008E"/>
    <w:rsid w:val="00A202D6"/>
    <w:rsid w:val="00A203B8"/>
    <w:rsid w:val="00A2044A"/>
    <w:rsid w:val="00A20592"/>
    <w:rsid w:val="00A2069E"/>
    <w:rsid w:val="00A20EE9"/>
    <w:rsid w:val="00A2103F"/>
    <w:rsid w:val="00A21396"/>
    <w:rsid w:val="00A214C6"/>
    <w:rsid w:val="00A214F6"/>
    <w:rsid w:val="00A215BF"/>
    <w:rsid w:val="00A21821"/>
    <w:rsid w:val="00A21A77"/>
    <w:rsid w:val="00A21B70"/>
    <w:rsid w:val="00A21D0A"/>
    <w:rsid w:val="00A2212B"/>
    <w:rsid w:val="00A2216B"/>
    <w:rsid w:val="00A2238E"/>
    <w:rsid w:val="00A22421"/>
    <w:rsid w:val="00A2277F"/>
    <w:rsid w:val="00A22787"/>
    <w:rsid w:val="00A22F30"/>
    <w:rsid w:val="00A23605"/>
    <w:rsid w:val="00A23743"/>
    <w:rsid w:val="00A23AFC"/>
    <w:rsid w:val="00A24498"/>
    <w:rsid w:val="00A246A8"/>
    <w:rsid w:val="00A24712"/>
    <w:rsid w:val="00A24740"/>
    <w:rsid w:val="00A2492F"/>
    <w:rsid w:val="00A24A1A"/>
    <w:rsid w:val="00A24F3A"/>
    <w:rsid w:val="00A25BD7"/>
    <w:rsid w:val="00A25E17"/>
    <w:rsid w:val="00A2666A"/>
    <w:rsid w:val="00A268AB"/>
    <w:rsid w:val="00A26B24"/>
    <w:rsid w:val="00A26B7C"/>
    <w:rsid w:val="00A26EE8"/>
    <w:rsid w:val="00A2719C"/>
    <w:rsid w:val="00A272E8"/>
    <w:rsid w:val="00A27557"/>
    <w:rsid w:val="00A275B5"/>
    <w:rsid w:val="00A27B56"/>
    <w:rsid w:val="00A27C25"/>
    <w:rsid w:val="00A27F69"/>
    <w:rsid w:val="00A27F89"/>
    <w:rsid w:val="00A3001D"/>
    <w:rsid w:val="00A302EE"/>
    <w:rsid w:val="00A302F7"/>
    <w:rsid w:val="00A30435"/>
    <w:rsid w:val="00A304B0"/>
    <w:rsid w:val="00A30528"/>
    <w:rsid w:val="00A3055E"/>
    <w:rsid w:val="00A30943"/>
    <w:rsid w:val="00A310B1"/>
    <w:rsid w:val="00A310E3"/>
    <w:rsid w:val="00A318DC"/>
    <w:rsid w:val="00A32762"/>
    <w:rsid w:val="00A3277C"/>
    <w:rsid w:val="00A3297C"/>
    <w:rsid w:val="00A32D1C"/>
    <w:rsid w:val="00A3326A"/>
    <w:rsid w:val="00A3328E"/>
    <w:rsid w:val="00A337BB"/>
    <w:rsid w:val="00A33915"/>
    <w:rsid w:val="00A33A46"/>
    <w:rsid w:val="00A33D49"/>
    <w:rsid w:val="00A33EE1"/>
    <w:rsid w:val="00A33F18"/>
    <w:rsid w:val="00A33FFE"/>
    <w:rsid w:val="00A342FC"/>
    <w:rsid w:val="00A34425"/>
    <w:rsid w:val="00A34536"/>
    <w:rsid w:val="00A34914"/>
    <w:rsid w:val="00A3494D"/>
    <w:rsid w:val="00A34A7A"/>
    <w:rsid w:val="00A34ACC"/>
    <w:rsid w:val="00A351FB"/>
    <w:rsid w:val="00A358B3"/>
    <w:rsid w:val="00A3596A"/>
    <w:rsid w:val="00A35D1A"/>
    <w:rsid w:val="00A3637E"/>
    <w:rsid w:val="00A36390"/>
    <w:rsid w:val="00A36598"/>
    <w:rsid w:val="00A36650"/>
    <w:rsid w:val="00A368B9"/>
    <w:rsid w:val="00A36916"/>
    <w:rsid w:val="00A36E53"/>
    <w:rsid w:val="00A37103"/>
    <w:rsid w:val="00A372B4"/>
    <w:rsid w:val="00A37621"/>
    <w:rsid w:val="00A3768C"/>
    <w:rsid w:val="00A37A4C"/>
    <w:rsid w:val="00A37D30"/>
    <w:rsid w:val="00A37DB4"/>
    <w:rsid w:val="00A37FD7"/>
    <w:rsid w:val="00A3A9D9"/>
    <w:rsid w:val="00A402E7"/>
    <w:rsid w:val="00A408F7"/>
    <w:rsid w:val="00A40A27"/>
    <w:rsid w:val="00A40CAD"/>
    <w:rsid w:val="00A41190"/>
    <w:rsid w:val="00A412D3"/>
    <w:rsid w:val="00A414C8"/>
    <w:rsid w:val="00A41977"/>
    <w:rsid w:val="00A41B3B"/>
    <w:rsid w:val="00A41B7D"/>
    <w:rsid w:val="00A41C63"/>
    <w:rsid w:val="00A41E66"/>
    <w:rsid w:val="00A4271C"/>
    <w:rsid w:val="00A42AAC"/>
    <w:rsid w:val="00A42DA3"/>
    <w:rsid w:val="00A4338E"/>
    <w:rsid w:val="00A435A7"/>
    <w:rsid w:val="00A43648"/>
    <w:rsid w:val="00A43846"/>
    <w:rsid w:val="00A4388C"/>
    <w:rsid w:val="00A4399B"/>
    <w:rsid w:val="00A43A71"/>
    <w:rsid w:val="00A44323"/>
    <w:rsid w:val="00A44545"/>
    <w:rsid w:val="00A446EB"/>
    <w:rsid w:val="00A44836"/>
    <w:rsid w:val="00A44A69"/>
    <w:rsid w:val="00A44AC7"/>
    <w:rsid w:val="00A44AEE"/>
    <w:rsid w:val="00A44BCA"/>
    <w:rsid w:val="00A44E92"/>
    <w:rsid w:val="00A44EF7"/>
    <w:rsid w:val="00A44F5E"/>
    <w:rsid w:val="00A44F81"/>
    <w:rsid w:val="00A4564E"/>
    <w:rsid w:val="00A456BD"/>
    <w:rsid w:val="00A46454"/>
    <w:rsid w:val="00A464B5"/>
    <w:rsid w:val="00A4653A"/>
    <w:rsid w:val="00A465FF"/>
    <w:rsid w:val="00A46842"/>
    <w:rsid w:val="00A46A32"/>
    <w:rsid w:val="00A478C0"/>
    <w:rsid w:val="00A47E9A"/>
    <w:rsid w:val="00A47ED6"/>
    <w:rsid w:val="00A47EF1"/>
    <w:rsid w:val="00A50363"/>
    <w:rsid w:val="00A503C4"/>
    <w:rsid w:val="00A50743"/>
    <w:rsid w:val="00A50A12"/>
    <w:rsid w:val="00A50A44"/>
    <w:rsid w:val="00A50B6D"/>
    <w:rsid w:val="00A50B78"/>
    <w:rsid w:val="00A50BAA"/>
    <w:rsid w:val="00A50C4C"/>
    <w:rsid w:val="00A510E6"/>
    <w:rsid w:val="00A5116A"/>
    <w:rsid w:val="00A51B1C"/>
    <w:rsid w:val="00A51C0D"/>
    <w:rsid w:val="00A51C92"/>
    <w:rsid w:val="00A51E94"/>
    <w:rsid w:val="00A51FA0"/>
    <w:rsid w:val="00A52101"/>
    <w:rsid w:val="00A5258A"/>
    <w:rsid w:val="00A525E4"/>
    <w:rsid w:val="00A527AF"/>
    <w:rsid w:val="00A52DF8"/>
    <w:rsid w:val="00A52FB7"/>
    <w:rsid w:val="00A53161"/>
    <w:rsid w:val="00A53424"/>
    <w:rsid w:val="00A534E9"/>
    <w:rsid w:val="00A53F01"/>
    <w:rsid w:val="00A53F62"/>
    <w:rsid w:val="00A5437C"/>
    <w:rsid w:val="00A543A5"/>
    <w:rsid w:val="00A54B23"/>
    <w:rsid w:val="00A54C88"/>
    <w:rsid w:val="00A55072"/>
    <w:rsid w:val="00A55397"/>
    <w:rsid w:val="00A55977"/>
    <w:rsid w:val="00A559D4"/>
    <w:rsid w:val="00A55A98"/>
    <w:rsid w:val="00A55EF5"/>
    <w:rsid w:val="00A55FA4"/>
    <w:rsid w:val="00A55FD3"/>
    <w:rsid w:val="00A568C6"/>
    <w:rsid w:val="00A5694D"/>
    <w:rsid w:val="00A56BFA"/>
    <w:rsid w:val="00A56CE2"/>
    <w:rsid w:val="00A56E3F"/>
    <w:rsid w:val="00A56F63"/>
    <w:rsid w:val="00A56F87"/>
    <w:rsid w:val="00A5712D"/>
    <w:rsid w:val="00A57261"/>
    <w:rsid w:val="00A57560"/>
    <w:rsid w:val="00A5791A"/>
    <w:rsid w:val="00A57B93"/>
    <w:rsid w:val="00A57E38"/>
    <w:rsid w:val="00A60426"/>
    <w:rsid w:val="00A60CFC"/>
    <w:rsid w:val="00A60DD2"/>
    <w:rsid w:val="00A60FC1"/>
    <w:rsid w:val="00A60FFF"/>
    <w:rsid w:val="00A61266"/>
    <w:rsid w:val="00A614CD"/>
    <w:rsid w:val="00A616E6"/>
    <w:rsid w:val="00A61F2C"/>
    <w:rsid w:val="00A62184"/>
    <w:rsid w:val="00A6238C"/>
    <w:rsid w:val="00A62428"/>
    <w:rsid w:val="00A62526"/>
    <w:rsid w:val="00A629DE"/>
    <w:rsid w:val="00A62E36"/>
    <w:rsid w:val="00A62F05"/>
    <w:rsid w:val="00A63078"/>
    <w:rsid w:val="00A6307A"/>
    <w:rsid w:val="00A63A45"/>
    <w:rsid w:val="00A63DAD"/>
    <w:rsid w:val="00A641DC"/>
    <w:rsid w:val="00A643AB"/>
    <w:rsid w:val="00A6441A"/>
    <w:rsid w:val="00A6448C"/>
    <w:rsid w:val="00A648E3"/>
    <w:rsid w:val="00A64AB7"/>
    <w:rsid w:val="00A64B08"/>
    <w:rsid w:val="00A64E3B"/>
    <w:rsid w:val="00A64F41"/>
    <w:rsid w:val="00A64F9A"/>
    <w:rsid w:val="00A650BF"/>
    <w:rsid w:val="00A652B6"/>
    <w:rsid w:val="00A65490"/>
    <w:rsid w:val="00A65523"/>
    <w:rsid w:val="00A65A32"/>
    <w:rsid w:val="00A65B36"/>
    <w:rsid w:val="00A6603C"/>
    <w:rsid w:val="00A667A2"/>
    <w:rsid w:val="00A668C1"/>
    <w:rsid w:val="00A669DB"/>
    <w:rsid w:val="00A66A60"/>
    <w:rsid w:val="00A66D49"/>
    <w:rsid w:val="00A671CD"/>
    <w:rsid w:val="00A67293"/>
    <w:rsid w:val="00A67AC3"/>
    <w:rsid w:val="00A67B8C"/>
    <w:rsid w:val="00A700B0"/>
    <w:rsid w:val="00A704CA"/>
    <w:rsid w:val="00A7106C"/>
    <w:rsid w:val="00A71A77"/>
    <w:rsid w:val="00A71C0C"/>
    <w:rsid w:val="00A722A5"/>
    <w:rsid w:val="00A7238D"/>
    <w:rsid w:val="00A72621"/>
    <w:rsid w:val="00A72786"/>
    <w:rsid w:val="00A72E6B"/>
    <w:rsid w:val="00A73072"/>
    <w:rsid w:val="00A732FD"/>
    <w:rsid w:val="00A7340F"/>
    <w:rsid w:val="00A73423"/>
    <w:rsid w:val="00A736D8"/>
    <w:rsid w:val="00A736FC"/>
    <w:rsid w:val="00A73BA4"/>
    <w:rsid w:val="00A73BDF"/>
    <w:rsid w:val="00A73F24"/>
    <w:rsid w:val="00A73F3F"/>
    <w:rsid w:val="00A740F0"/>
    <w:rsid w:val="00A7419E"/>
    <w:rsid w:val="00A74309"/>
    <w:rsid w:val="00A74333"/>
    <w:rsid w:val="00A74370"/>
    <w:rsid w:val="00A74497"/>
    <w:rsid w:val="00A745B5"/>
    <w:rsid w:val="00A74742"/>
    <w:rsid w:val="00A747EE"/>
    <w:rsid w:val="00A749E6"/>
    <w:rsid w:val="00A74C0C"/>
    <w:rsid w:val="00A7566C"/>
    <w:rsid w:val="00A75761"/>
    <w:rsid w:val="00A75AAD"/>
    <w:rsid w:val="00A75C55"/>
    <w:rsid w:val="00A75C93"/>
    <w:rsid w:val="00A75DDD"/>
    <w:rsid w:val="00A75DEA"/>
    <w:rsid w:val="00A75E84"/>
    <w:rsid w:val="00A76149"/>
    <w:rsid w:val="00A762C2"/>
    <w:rsid w:val="00A763E2"/>
    <w:rsid w:val="00A764E8"/>
    <w:rsid w:val="00A765F8"/>
    <w:rsid w:val="00A7665F"/>
    <w:rsid w:val="00A7669F"/>
    <w:rsid w:val="00A767F8"/>
    <w:rsid w:val="00A767F9"/>
    <w:rsid w:val="00A76814"/>
    <w:rsid w:val="00A7693B"/>
    <w:rsid w:val="00A76AE7"/>
    <w:rsid w:val="00A76C3E"/>
    <w:rsid w:val="00A76C7A"/>
    <w:rsid w:val="00A76DBD"/>
    <w:rsid w:val="00A76DE6"/>
    <w:rsid w:val="00A77044"/>
    <w:rsid w:val="00A773CB"/>
    <w:rsid w:val="00A7761D"/>
    <w:rsid w:val="00A77C7C"/>
    <w:rsid w:val="00A77D22"/>
    <w:rsid w:val="00A8011B"/>
    <w:rsid w:val="00A8024D"/>
    <w:rsid w:val="00A802B2"/>
    <w:rsid w:val="00A803E4"/>
    <w:rsid w:val="00A80442"/>
    <w:rsid w:val="00A805B9"/>
    <w:rsid w:val="00A80CD2"/>
    <w:rsid w:val="00A80D66"/>
    <w:rsid w:val="00A80FE8"/>
    <w:rsid w:val="00A81124"/>
    <w:rsid w:val="00A813F9"/>
    <w:rsid w:val="00A81518"/>
    <w:rsid w:val="00A81689"/>
    <w:rsid w:val="00A81AF3"/>
    <w:rsid w:val="00A81CBD"/>
    <w:rsid w:val="00A81DC8"/>
    <w:rsid w:val="00A82310"/>
    <w:rsid w:val="00A8237D"/>
    <w:rsid w:val="00A824B4"/>
    <w:rsid w:val="00A829C6"/>
    <w:rsid w:val="00A829D3"/>
    <w:rsid w:val="00A82DDC"/>
    <w:rsid w:val="00A82E85"/>
    <w:rsid w:val="00A82FEA"/>
    <w:rsid w:val="00A83062"/>
    <w:rsid w:val="00A830F7"/>
    <w:rsid w:val="00A83149"/>
    <w:rsid w:val="00A83788"/>
    <w:rsid w:val="00A83A2F"/>
    <w:rsid w:val="00A83BD2"/>
    <w:rsid w:val="00A84149"/>
    <w:rsid w:val="00A8415A"/>
    <w:rsid w:val="00A841EB"/>
    <w:rsid w:val="00A84948"/>
    <w:rsid w:val="00A849DB"/>
    <w:rsid w:val="00A84E40"/>
    <w:rsid w:val="00A84E58"/>
    <w:rsid w:val="00A850A6"/>
    <w:rsid w:val="00A854D9"/>
    <w:rsid w:val="00A85789"/>
    <w:rsid w:val="00A857C7"/>
    <w:rsid w:val="00A858B8"/>
    <w:rsid w:val="00A85AF9"/>
    <w:rsid w:val="00A85E46"/>
    <w:rsid w:val="00A85F14"/>
    <w:rsid w:val="00A85F54"/>
    <w:rsid w:val="00A8624E"/>
    <w:rsid w:val="00A865D1"/>
    <w:rsid w:val="00A86709"/>
    <w:rsid w:val="00A86B77"/>
    <w:rsid w:val="00A86CFF"/>
    <w:rsid w:val="00A86D07"/>
    <w:rsid w:val="00A86D11"/>
    <w:rsid w:val="00A86E5E"/>
    <w:rsid w:val="00A86EE7"/>
    <w:rsid w:val="00A870DF"/>
    <w:rsid w:val="00A879A2"/>
    <w:rsid w:val="00A87DA5"/>
    <w:rsid w:val="00A87E57"/>
    <w:rsid w:val="00A90034"/>
    <w:rsid w:val="00A90082"/>
    <w:rsid w:val="00A90091"/>
    <w:rsid w:val="00A90358"/>
    <w:rsid w:val="00A903C8"/>
    <w:rsid w:val="00A90533"/>
    <w:rsid w:val="00A909B6"/>
    <w:rsid w:val="00A90B7F"/>
    <w:rsid w:val="00A90E22"/>
    <w:rsid w:val="00A9101F"/>
    <w:rsid w:val="00A910C7"/>
    <w:rsid w:val="00A911C5"/>
    <w:rsid w:val="00A915D8"/>
    <w:rsid w:val="00A91812"/>
    <w:rsid w:val="00A91C81"/>
    <w:rsid w:val="00A91C92"/>
    <w:rsid w:val="00A920A7"/>
    <w:rsid w:val="00A92126"/>
    <w:rsid w:val="00A92368"/>
    <w:rsid w:val="00A923D3"/>
    <w:rsid w:val="00A926AD"/>
    <w:rsid w:val="00A92C0C"/>
    <w:rsid w:val="00A92EAF"/>
    <w:rsid w:val="00A9330F"/>
    <w:rsid w:val="00A9381C"/>
    <w:rsid w:val="00A93A64"/>
    <w:rsid w:val="00A93B50"/>
    <w:rsid w:val="00A93BD4"/>
    <w:rsid w:val="00A9417B"/>
    <w:rsid w:val="00A94352"/>
    <w:rsid w:val="00A943BA"/>
    <w:rsid w:val="00A94454"/>
    <w:rsid w:val="00A9456D"/>
    <w:rsid w:val="00A9469E"/>
    <w:rsid w:val="00A9475C"/>
    <w:rsid w:val="00A948C5"/>
    <w:rsid w:val="00A949B9"/>
    <w:rsid w:val="00A94F86"/>
    <w:rsid w:val="00A953E4"/>
    <w:rsid w:val="00A955A9"/>
    <w:rsid w:val="00A957B6"/>
    <w:rsid w:val="00A957BA"/>
    <w:rsid w:val="00A9585D"/>
    <w:rsid w:val="00A958D5"/>
    <w:rsid w:val="00A9596F"/>
    <w:rsid w:val="00A95DF7"/>
    <w:rsid w:val="00A95E0C"/>
    <w:rsid w:val="00A95F95"/>
    <w:rsid w:val="00A96260"/>
    <w:rsid w:val="00A96378"/>
    <w:rsid w:val="00A9668E"/>
    <w:rsid w:val="00A96DD3"/>
    <w:rsid w:val="00A96F3B"/>
    <w:rsid w:val="00A97183"/>
    <w:rsid w:val="00A972D3"/>
    <w:rsid w:val="00A972E8"/>
    <w:rsid w:val="00A97335"/>
    <w:rsid w:val="00A9787A"/>
    <w:rsid w:val="00A97B51"/>
    <w:rsid w:val="00A97CF8"/>
    <w:rsid w:val="00A97D71"/>
    <w:rsid w:val="00A97DA3"/>
    <w:rsid w:val="00A97DE9"/>
    <w:rsid w:val="00A97FAC"/>
    <w:rsid w:val="00AA0210"/>
    <w:rsid w:val="00AA0463"/>
    <w:rsid w:val="00AA04B9"/>
    <w:rsid w:val="00AA06DD"/>
    <w:rsid w:val="00AA0BBC"/>
    <w:rsid w:val="00AA0CDB"/>
    <w:rsid w:val="00AA0F6F"/>
    <w:rsid w:val="00AA0FD7"/>
    <w:rsid w:val="00AA1246"/>
    <w:rsid w:val="00AA132F"/>
    <w:rsid w:val="00AA1363"/>
    <w:rsid w:val="00AA15E9"/>
    <w:rsid w:val="00AA1D7E"/>
    <w:rsid w:val="00AA1FCD"/>
    <w:rsid w:val="00AA227C"/>
    <w:rsid w:val="00AA22A9"/>
    <w:rsid w:val="00AA22E4"/>
    <w:rsid w:val="00AA2578"/>
    <w:rsid w:val="00AA2702"/>
    <w:rsid w:val="00AA2A78"/>
    <w:rsid w:val="00AA2FBB"/>
    <w:rsid w:val="00AA2FC5"/>
    <w:rsid w:val="00AA31B7"/>
    <w:rsid w:val="00AA33AA"/>
    <w:rsid w:val="00AA3629"/>
    <w:rsid w:val="00AA375E"/>
    <w:rsid w:val="00AA386C"/>
    <w:rsid w:val="00AA38D9"/>
    <w:rsid w:val="00AA4244"/>
    <w:rsid w:val="00AA4510"/>
    <w:rsid w:val="00AA45FC"/>
    <w:rsid w:val="00AA47CB"/>
    <w:rsid w:val="00AA4910"/>
    <w:rsid w:val="00AA4C52"/>
    <w:rsid w:val="00AA50B9"/>
    <w:rsid w:val="00AA5111"/>
    <w:rsid w:val="00AA5184"/>
    <w:rsid w:val="00AA553A"/>
    <w:rsid w:val="00AA578B"/>
    <w:rsid w:val="00AA5BD6"/>
    <w:rsid w:val="00AA6065"/>
    <w:rsid w:val="00AA66C6"/>
    <w:rsid w:val="00AA6AC9"/>
    <w:rsid w:val="00AA6D5E"/>
    <w:rsid w:val="00AA7001"/>
    <w:rsid w:val="00AA7024"/>
    <w:rsid w:val="00AA716E"/>
    <w:rsid w:val="00AA71A5"/>
    <w:rsid w:val="00AA7554"/>
    <w:rsid w:val="00AA7873"/>
    <w:rsid w:val="00AA78EF"/>
    <w:rsid w:val="00AA7926"/>
    <w:rsid w:val="00AA794A"/>
    <w:rsid w:val="00AA7D23"/>
    <w:rsid w:val="00AA7F07"/>
    <w:rsid w:val="00AB00CA"/>
    <w:rsid w:val="00AB051F"/>
    <w:rsid w:val="00AB0686"/>
    <w:rsid w:val="00AB0729"/>
    <w:rsid w:val="00AB07AB"/>
    <w:rsid w:val="00AB0DEB"/>
    <w:rsid w:val="00AB0E80"/>
    <w:rsid w:val="00AB0F08"/>
    <w:rsid w:val="00AB10C1"/>
    <w:rsid w:val="00AB1201"/>
    <w:rsid w:val="00AB123E"/>
    <w:rsid w:val="00AB13EA"/>
    <w:rsid w:val="00AB1753"/>
    <w:rsid w:val="00AB1805"/>
    <w:rsid w:val="00AB1CE9"/>
    <w:rsid w:val="00AB2015"/>
    <w:rsid w:val="00AB2571"/>
    <w:rsid w:val="00AB27D7"/>
    <w:rsid w:val="00AB282E"/>
    <w:rsid w:val="00AB297D"/>
    <w:rsid w:val="00AB2989"/>
    <w:rsid w:val="00AB2B6E"/>
    <w:rsid w:val="00AB308A"/>
    <w:rsid w:val="00AB38B1"/>
    <w:rsid w:val="00AB3C69"/>
    <w:rsid w:val="00AB3C7A"/>
    <w:rsid w:val="00AB3D2B"/>
    <w:rsid w:val="00AB3D66"/>
    <w:rsid w:val="00AB40F3"/>
    <w:rsid w:val="00AB49DB"/>
    <w:rsid w:val="00AB51DB"/>
    <w:rsid w:val="00AB540F"/>
    <w:rsid w:val="00AB5A03"/>
    <w:rsid w:val="00AB5C4C"/>
    <w:rsid w:val="00AB5FDF"/>
    <w:rsid w:val="00AB617D"/>
    <w:rsid w:val="00AB6526"/>
    <w:rsid w:val="00AB655B"/>
    <w:rsid w:val="00AB659F"/>
    <w:rsid w:val="00AB660C"/>
    <w:rsid w:val="00AB6614"/>
    <w:rsid w:val="00AB6794"/>
    <w:rsid w:val="00AB6862"/>
    <w:rsid w:val="00AB6B68"/>
    <w:rsid w:val="00AB6CAF"/>
    <w:rsid w:val="00AB6E3D"/>
    <w:rsid w:val="00AB6F52"/>
    <w:rsid w:val="00AB70F7"/>
    <w:rsid w:val="00AB71B8"/>
    <w:rsid w:val="00AB72C7"/>
    <w:rsid w:val="00AB7A86"/>
    <w:rsid w:val="00AB7B48"/>
    <w:rsid w:val="00AB7DBD"/>
    <w:rsid w:val="00AB7EF2"/>
    <w:rsid w:val="00AC0201"/>
    <w:rsid w:val="00AC0739"/>
    <w:rsid w:val="00AC0B39"/>
    <w:rsid w:val="00AC0C2A"/>
    <w:rsid w:val="00AC0E73"/>
    <w:rsid w:val="00AC0ED3"/>
    <w:rsid w:val="00AC10B3"/>
    <w:rsid w:val="00AC1198"/>
    <w:rsid w:val="00AC1487"/>
    <w:rsid w:val="00AC15ED"/>
    <w:rsid w:val="00AC165D"/>
    <w:rsid w:val="00AC16DB"/>
    <w:rsid w:val="00AC1750"/>
    <w:rsid w:val="00AC1875"/>
    <w:rsid w:val="00AC2438"/>
    <w:rsid w:val="00AC2491"/>
    <w:rsid w:val="00AC2BE8"/>
    <w:rsid w:val="00AC3064"/>
    <w:rsid w:val="00AC30E3"/>
    <w:rsid w:val="00AC3656"/>
    <w:rsid w:val="00AC36C7"/>
    <w:rsid w:val="00AC379D"/>
    <w:rsid w:val="00AC3EB6"/>
    <w:rsid w:val="00AC42C8"/>
    <w:rsid w:val="00AC4617"/>
    <w:rsid w:val="00AC46F4"/>
    <w:rsid w:val="00AC4726"/>
    <w:rsid w:val="00AC4B7C"/>
    <w:rsid w:val="00AC4E4D"/>
    <w:rsid w:val="00AC51E0"/>
    <w:rsid w:val="00AC520B"/>
    <w:rsid w:val="00AC5726"/>
    <w:rsid w:val="00AC5733"/>
    <w:rsid w:val="00AC599C"/>
    <w:rsid w:val="00AC5A04"/>
    <w:rsid w:val="00AC5A43"/>
    <w:rsid w:val="00AC60FC"/>
    <w:rsid w:val="00AC63FA"/>
    <w:rsid w:val="00AC6499"/>
    <w:rsid w:val="00AC6502"/>
    <w:rsid w:val="00AC650E"/>
    <w:rsid w:val="00AC68C4"/>
    <w:rsid w:val="00AC6B94"/>
    <w:rsid w:val="00AC6BE6"/>
    <w:rsid w:val="00AC7457"/>
    <w:rsid w:val="00AC7469"/>
    <w:rsid w:val="00AC7684"/>
    <w:rsid w:val="00AC76AE"/>
    <w:rsid w:val="00AD0013"/>
    <w:rsid w:val="00AD005A"/>
    <w:rsid w:val="00AD0098"/>
    <w:rsid w:val="00AD01DF"/>
    <w:rsid w:val="00AD0466"/>
    <w:rsid w:val="00AD058E"/>
    <w:rsid w:val="00AD05AF"/>
    <w:rsid w:val="00AD0FCF"/>
    <w:rsid w:val="00AD1379"/>
    <w:rsid w:val="00AD153F"/>
    <w:rsid w:val="00AD18A5"/>
    <w:rsid w:val="00AD18C9"/>
    <w:rsid w:val="00AD1943"/>
    <w:rsid w:val="00AD1A98"/>
    <w:rsid w:val="00AD1F0C"/>
    <w:rsid w:val="00AD2113"/>
    <w:rsid w:val="00AD22F5"/>
    <w:rsid w:val="00AD2319"/>
    <w:rsid w:val="00AD2F7D"/>
    <w:rsid w:val="00AD3132"/>
    <w:rsid w:val="00AD33B5"/>
    <w:rsid w:val="00AD35B7"/>
    <w:rsid w:val="00AD3871"/>
    <w:rsid w:val="00AD3921"/>
    <w:rsid w:val="00AD3BE7"/>
    <w:rsid w:val="00AD3F36"/>
    <w:rsid w:val="00AD41FC"/>
    <w:rsid w:val="00AD4913"/>
    <w:rsid w:val="00AD4933"/>
    <w:rsid w:val="00AD4D30"/>
    <w:rsid w:val="00AD521B"/>
    <w:rsid w:val="00AD554C"/>
    <w:rsid w:val="00AD5F2A"/>
    <w:rsid w:val="00AD696F"/>
    <w:rsid w:val="00AD69F0"/>
    <w:rsid w:val="00AD6B85"/>
    <w:rsid w:val="00AD6BD0"/>
    <w:rsid w:val="00AD6D37"/>
    <w:rsid w:val="00AD6E69"/>
    <w:rsid w:val="00AD6F40"/>
    <w:rsid w:val="00AD6F61"/>
    <w:rsid w:val="00AD6F69"/>
    <w:rsid w:val="00AD7138"/>
    <w:rsid w:val="00AD753F"/>
    <w:rsid w:val="00AD7581"/>
    <w:rsid w:val="00AD77D3"/>
    <w:rsid w:val="00AD793C"/>
    <w:rsid w:val="00AD7B9D"/>
    <w:rsid w:val="00AD7E60"/>
    <w:rsid w:val="00AD7FA6"/>
    <w:rsid w:val="00AE006B"/>
    <w:rsid w:val="00AE056F"/>
    <w:rsid w:val="00AE05EC"/>
    <w:rsid w:val="00AE0740"/>
    <w:rsid w:val="00AE09F6"/>
    <w:rsid w:val="00AE0E85"/>
    <w:rsid w:val="00AE10D0"/>
    <w:rsid w:val="00AE134A"/>
    <w:rsid w:val="00AE1723"/>
    <w:rsid w:val="00AE198E"/>
    <w:rsid w:val="00AE19D6"/>
    <w:rsid w:val="00AE1C0A"/>
    <w:rsid w:val="00AE1EC3"/>
    <w:rsid w:val="00AE1F6F"/>
    <w:rsid w:val="00AE217A"/>
    <w:rsid w:val="00AE225B"/>
    <w:rsid w:val="00AE24DF"/>
    <w:rsid w:val="00AE259C"/>
    <w:rsid w:val="00AE261C"/>
    <w:rsid w:val="00AE26A0"/>
    <w:rsid w:val="00AE2B31"/>
    <w:rsid w:val="00AE3017"/>
    <w:rsid w:val="00AE317B"/>
    <w:rsid w:val="00AE33EB"/>
    <w:rsid w:val="00AE361A"/>
    <w:rsid w:val="00AE36CF"/>
    <w:rsid w:val="00AE3772"/>
    <w:rsid w:val="00AE39B4"/>
    <w:rsid w:val="00AE3BB0"/>
    <w:rsid w:val="00AE3C4F"/>
    <w:rsid w:val="00AE3F84"/>
    <w:rsid w:val="00AE400F"/>
    <w:rsid w:val="00AE4023"/>
    <w:rsid w:val="00AE40CB"/>
    <w:rsid w:val="00AE4116"/>
    <w:rsid w:val="00AE412E"/>
    <w:rsid w:val="00AE4135"/>
    <w:rsid w:val="00AE413B"/>
    <w:rsid w:val="00AE417A"/>
    <w:rsid w:val="00AE47C0"/>
    <w:rsid w:val="00AE4CB4"/>
    <w:rsid w:val="00AE5375"/>
    <w:rsid w:val="00AE5407"/>
    <w:rsid w:val="00AE5F81"/>
    <w:rsid w:val="00AE62E9"/>
    <w:rsid w:val="00AE62EB"/>
    <w:rsid w:val="00AE66E2"/>
    <w:rsid w:val="00AE69F0"/>
    <w:rsid w:val="00AE6A42"/>
    <w:rsid w:val="00AE6A4A"/>
    <w:rsid w:val="00AE6AC3"/>
    <w:rsid w:val="00AE6C63"/>
    <w:rsid w:val="00AE6D10"/>
    <w:rsid w:val="00AE6DB6"/>
    <w:rsid w:val="00AE6F30"/>
    <w:rsid w:val="00AE7FB7"/>
    <w:rsid w:val="00AF01E7"/>
    <w:rsid w:val="00AF024A"/>
    <w:rsid w:val="00AF0B65"/>
    <w:rsid w:val="00AF0CEB"/>
    <w:rsid w:val="00AF0E07"/>
    <w:rsid w:val="00AF1121"/>
    <w:rsid w:val="00AF14B3"/>
    <w:rsid w:val="00AF170D"/>
    <w:rsid w:val="00AF18B1"/>
    <w:rsid w:val="00AF1A45"/>
    <w:rsid w:val="00AF1B78"/>
    <w:rsid w:val="00AF1D09"/>
    <w:rsid w:val="00AF1DCF"/>
    <w:rsid w:val="00AF1DD3"/>
    <w:rsid w:val="00AF20A3"/>
    <w:rsid w:val="00AF2293"/>
    <w:rsid w:val="00AF250A"/>
    <w:rsid w:val="00AF26D0"/>
    <w:rsid w:val="00AF27CF"/>
    <w:rsid w:val="00AF2DA2"/>
    <w:rsid w:val="00AF3054"/>
    <w:rsid w:val="00AF3152"/>
    <w:rsid w:val="00AF32DE"/>
    <w:rsid w:val="00AF358E"/>
    <w:rsid w:val="00AF3945"/>
    <w:rsid w:val="00AF3D1B"/>
    <w:rsid w:val="00AF42D0"/>
    <w:rsid w:val="00AF46ED"/>
    <w:rsid w:val="00AF4812"/>
    <w:rsid w:val="00AF4B09"/>
    <w:rsid w:val="00AF4D4B"/>
    <w:rsid w:val="00AF5165"/>
    <w:rsid w:val="00AF5210"/>
    <w:rsid w:val="00AF52FE"/>
    <w:rsid w:val="00AF546E"/>
    <w:rsid w:val="00AF55EA"/>
    <w:rsid w:val="00AF574A"/>
    <w:rsid w:val="00AF5B37"/>
    <w:rsid w:val="00AF6432"/>
    <w:rsid w:val="00AF6458"/>
    <w:rsid w:val="00AF6584"/>
    <w:rsid w:val="00AF66EE"/>
    <w:rsid w:val="00AF6ADA"/>
    <w:rsid w:val="00AF6B0A"/>
    <w:rsid w:val="00AF6CAF"/>
    <w:rsid w:val="00AF6CB4"/>
    <w:rsid w:val="00AF70BB"/>
    <w:rsid w:val="00AF7160"/>
    <w:rsid w:val="00AF7AE9"/>
    <w:rsid w:val="00AF7B4B"/>
    <w:rsid w:val="00AF7C2C"/>
    <w:rsid w:val="00AF7DDF"/>
    <w:rsid w:val="00B0024F"/>
    <w:rsid w:val="00B00378"/>
    <w:rsid w:val="00B004EE"/>
    <w:rsid w:val="00B00674"/>
    <w:rsid w:val="00B009BA"/>
    <w:rsid w:val="00B00ACE"/>
    <w:rsid w:val="00B00AE2"/>
    <w:rsid w:val="00B00AEE"/>
    <w:rsid w:val="00B00C54"/>
    <w:rsid w:val="00B00C7D"/>
    <w:rsid w:val="00B00EF8"/>
    <w:rsid w:val="00B00F46"/>
    <w:rsid w:val="00B0123E"/>
    <w:rsid w:val="00B01853"/>
    <w:rsid w:val="00B01A8D"/>
    <w:rsid w:val="00B01BF5"/>
    <w:rsid w:val="00B02CAD"/>
    <w:rsid w:val="00B02E88"/>
    <w:rsid w:val="00B02EA7"/>
    <w:rsid w:val="00B03022"/>
    <w:rsid w:val="00B03108"/>
    <w:rsid w:val="00B03150"/>
    <w:rsid w:val="00B031E2"/>
    <w:rsid w:val="00B03823"/>
    <w:rsid w:val="00B03997"/>
    <w:rsid w:val="00B03E09"/>
    <w:rsid w:val="00B042B5"/>
    <w:rsid w:val="00B044AF"/>
    <w:rsid w:val="00B0457F"/>
    <w:rsid w:val="00B0459F"/>
    <w:rsid w:val="00B049F0"/>
    <w:rsid w:val="00B04C7E"/>
    <w:rsid w:val="00B04DBB"/>
    <w:rsid w:val="00B04F26"/>
    <w:rsid w:val="00B0517C"/>
    <w:rsid w:val="00B051C1"/>
    <w:rsid w:val="00B0526D"/>
    <w:rsid w:val="00B053D8"/>
    <w:rsid w:val="00B055C8"/>
    <w:rsid w:val="00B05736"/>
    <w:rsid w:val="00B0593C"/>
    <w:rsid w:val="00B059FD"/>
    <w:rsid w:val="00B06190"/>
    <w:rsid w:val="00B062AE"/>
    <w:rsid w:val="00B0660D"/>
    <w:rsid w:val="00B06704"/>
    <w:rsid w:val="00B06992"/>
    <w:rsid w:val="00B06BF8"/>
    <w:rsid w:val="00B06D65"/>
    <w:rsid w:val="00B06EA9"/>
    <w:rsid w:val="00B07655"/>
    <w:rsid w:val="00B076F2"/>
    <w:rsid w:val="00B076F8"/>
    <w:rsid w:val="00B0778A"/>
    <w:rsid w:val="00B07AF7"/>
    <w:rsid w:val="00B07C45"/>
    <w:rsid w:val="00B07EFD"/>
    <w:rsid w:val="00B1008D"/>
    <w:rsid w:val="00B1048A"/>
    <w:rsid w:val="00B10493"/>
    <w:rsid w:val="00B10742"/>
    <w:rsid w:val="00B10E39"/>
    <w:rsid w:val="00B11020"/>
    <w:rsid w:val="00B1164E"/>
    <w:rsid w:val="00B117E4"/>
    <w:rsid w:val="00B118A8"/>
    <w:rsid w:val="00B1192C"/>
    <w:rsid w:val="00B12046"/>
    <w:rsid w:val="00B12875"/>
    <w:rsid w:val="00B129D8"/>
    <w:rsid w:val="00B139EB"/>
    <w:rsid w:val="00B13A72"/>
    <w:rsid w:val="00B13C08"/>
    <w:rsid w:val="00B13E09"/>
    <w:rsid w:val="00B13FD3"/>
    <w:rsid w:val="00B142F1"/>
    <w:rsid w:val="00B1464E"/>
    <w:rsid w:val="00B148EE"/>
    <w:rsid w:val="00B14D6F"/>
    <w:rsid w:val="00B14D77"/>
    <w:rsid w:val="00B14E99"/>
    <w:rsid w:val="00B14F8F"/>
    <w:rsid w:val="00B150B5"/>
    <w:rsid w:val="00B1540C"/>
    <w:rsid w:val="00B155D2"/>
    <w:rsid w:val="00B15701"/>
    <w:rsid w:val="00B159BF"/>
    <w:rsid w:val="00B159CC"/>
    <w:rsid w:val="00B15B95"/>
    <w:rsid w:val="00B15BCB"/>
    <w:rsid w:val="00B15D89"/>
    <w:rsid w:val="00B16153"/>
    <w:rsid w:val="00B16545"/>
    <w:rsid w:val="00B169D9"/>
    <w:rsid w:val="00B16A58"/>
    <w:rsid w:val="00B16BB7"/>
    <w:rsid w:val="00B16D5B"/>
    <w:rsid w:val="00B16DDC"/>
    <w:rsid w:val="00B16EA7"/>
    <w:rsid w:val="00B16EB5"/>
    <w:rsid w:val="00B1716C"/>
    <w:rsid w:val="00B17230"/>
    <w:rsid w:val="00B17264"/>
    <w:rsid w:val="00B174AE"/>
    <w:rsid w:val="00B174D4"/>
    <w:rsid w:val="00B174E5"/>
    <w:rsid w:val="00B175D7"/>
    <w:rsid w:val="00B17957"/>
    <w:rsid w:val="00B17B1D"/>
    <w:rsid w:val="00B20521"/>
    <w:rsid w:val="00B2093B"/>
    <w:rsid w:val="00B20CF2"/>
    <w:rsid w:val="00B20D6E"/>
    <w:rsid w:val="00B211D6"/>
    <w:rsid w:val="00B21321"/>
    <w:rsid w:val="00B213D1"/>
    <w:rsid w:val="00B21836"/>
    <w:rsid w:val="00B2189D"/>
    <w:rsid w:val="00B21970"/>
    <w:rsid w:val="00B21A7A"/>
    <w:rsid w:val="00B21F67"/>
    <w:rsid w:val="00B21F96"/>
    <w:rsid w:val="00B2200E"/>
    <w:rsid w:val="00B221D3"/>
    <w:rsid w:val="00B22429"/>
    <w:rsid w:val="00B22696"/>
    <w:rsid w:val="00B22B3B"/>
    <w:rsid w:val="00B22B51"/>
    <w:rsid w:val="00B22C72"/>
    <w:rsid w:val="00B2318E"/>
    <w:rsid w:val="00B2331C"/>
    <w:rsid w:val="00B233CC"/>
    <w:rsid w:val="00B23656"/>
    <w:rsid w:val="00B23776"/>
    <w:rsid w:val="00B23971"/>
    <w:rsid w:val="00B23CB8"/>
    <w:rsid w:val="00B23CDA"/>
    <w:rsid w:val="00B23E8D"/>
    <w:rsid w:val="00B23E9E"/>
    <w:rsid w:val="00B24056"/>
    <w:rsid w:val="00B2417A"/>
    <w:rsid w:val="00B2446F"/>
    <w:rsid w:val="00B2493B"/>
    <w:rsid w:val="00B24A7B"/>
    <w:rsid w:val="00B24D71"/>
    <w:rsid w:val="00B258ED"/>
    <w:rsid w:val="00B2596F"/>
    <w:rsid w:val="00B25A77"/>
    <w:rsid w:val="00B25A81"/>
    <w:rsid w:val="00B25B52"/>
    <w:rsid w:val="00B25BB1"/>
    <w:rsid w:val="00B25F97"/>
    <w:rsid w:val="00B26436"/>
    <w:rsid w:val="00B26477"/>
    <w:rsid w:val="00B26A8A"/>
    <w:rsid w:val="00B26B1F"/>
    <w:rsid w:val="00B27157"/>
    <w:rsid w:val="00B272BC"/>
    <w:rsid w:val="00B27506"/>
    <w:rsid w:val="00B27719"/>
    <w:rsid w:val="00B2793F"/>
    <w:rsid w:val="00B27BAC"/>
    <w:rsid w:val="00B27BDF"/>
    <w:rsid w:val="00B27C33"/>
    <w:rsid w:val="00B27D28"/>
    <w:rsid w:val="00B27DC8"/>
    <w:rsid w:val="00B27FB4"/>
    <w:rsid w:val="00B3047F"/>
    <w:rsid w:val="00B304F2"/>
    <w:rsid w:val="00B30B27"/>
    <w:rsid w:val="00B30C1F"/>
    <w:rsid w:val="00B30CD0"/>
    <w:rsid w:val="00B31273"/>
    <w:rsid w:val="00B31C21"/>
    <w:rsid w:val="00B32282"/>
    <w:rsid w:val="00B32301"/>
    <w:rsid w:val="00B323C0"/>
    <w:rsid w:val="00B32A86"/>
    <w:rsid w:val="00B32ACD"/>
    <w:rsid w:val="00B32B14"/>
    <w:rsid w:val="00B32D92"/>
    <w:rsid w:val="00B32DB8"/>
    <w:rsid w:val="00B32E6E"/>
    <w:rsid w:val="00B32EBA"/>
    <w:rsid w:val="00B33587"/>
    <w:rsid w:val="00B33AAE"/>
    <w:rsid w:val="00B33E5A"/>
    <w:rsid w:val="00B33FFB"/>
    <w:rsid w:val="00B340E0"/>
    <w:rsid w:val="00B34192"/>
    <w:rsid w:val="00B34619"/>
    <w:rsid w:val="00B347CC"/>
    <w:rsid w:val="00B349B1"/>
    <w:rsid w:val="00B34B32"/>
    <w:rsid w:val="00B34C0D"/>
    <w:rsid w:val="00B35099"/>
    <w:rsid w:val="00B35133"/>
    <w:rsid w:val="00B353B8"/>
    <w:rsid w:val="00B354EF"/>
    <w:rsid w:val="00B3572D"/>
    <w:rsid w:val="00B358A4"/>
    <w:rsid w:val="00B35C15"/>
    <w:rsid w:val="00B360F6"/>
    <w:rsid w:val="00B3626A"/>
    <w:rsid w:val="00B36296"/>
    <w:rsid w:val="00B365D3"/>
    <w:rsid w:val="00B36920"/>
    <w:rsid w:val="00B3696F"/>
    <w:rsid w:val="00B36C70"/>
    <w:rsid w:val="00B36D5A"/>
    <w:rsid w:val="00B36F16"/>
    <w:rsid w:val="00B3700A"/>
    <w:rsid w:val="00B373EF"/>
    <w:rsid w:val="00B3775F"/>
    <w:rsid w:val="00B37DB8"/>
    <w:rsid w:val="00B40091"/>
    <w:rsid w:val="00B400E8"/>
    <w:rsid w:val="00B401A7"/>
    <w:rsid w:val="00B403B9"/>
    <w:rsid w:val="00B40738"/>
    <w:rsid w:val="00B407CC"/>
    <w:rsid w:val="00B4091B"/>
    <w:rsid w:val="00B40A83"/>
    <w:rsid w:val="00B41202"/>
    <w:rsid w:val="00B412B1"/>
    <w:rsid w:val="00B41485"/>
    <w:rsid w:val="00B4168E"/>
    <w:rsid w:val="00B41779"/>
    <w:rsid w:val="00B41863"/>
    <w:rsid w:val="00B418C9"/>
    <w:rsid w:val="00B41995"/>
    <w:rsid w:val="00B41BC8"/>
    <w:rsid w:val="00B41ED1"/>
    <w:rsid w:val="00B420EB"/>
    <w:rsid w:val="00B4231D"/>
    <w:rsid w:val="00B42574"/>
    <w:rsid w:val="00B4260E"/>
    <w:rsid w:val="00B42792"/>
    <w:rsid w:val="00B428B3"/>
    <w:rsid w:val="00B42964"/>
    <w:rsid w:val="00B4298E"/>
    <w:rsid w:val="00B42A49"/>
    <w:rsid w:val="00B42FCF"/>
    <w:rsid w:val="00B430C3"/>
    <w:rsid w:val="00B43450"/>
    <w:rsid w:val="00B434D4"/>
    <w:rsid w:val="00B435B7"/>
    <w:rsid w:val="00B43608"/>
    <w:rsid w:val="00B43AC7"/>
    <w:rsid w:val="00B43CA3"/>
    <w:rsid w:val="00B43D61"/>
    <w:rsid w:val="00B445FB"/>
    <w:rsid w:val="00B446B8"/>
    <w:rsid w:val="00B44C88"/>
    <w:rsid w:val="00B44DE4"/>
    <w:rsid w:val="00B44F15"/>
    <w:rsid w:val="00B45196"/>
    <w:rsid w:val="00B45228"/>
    <w:rsid w:val="00B4525B"/>
    <w:rsid w:val="00B45A14"/>
    <w:rsid w:val="00B45C0A"/>
    <w:rsid w:val="00B45C19"/>
    <w:rsid w:val="00B45C78"/>
    <w:rsid w:val="00B45D1B"/>
    <w:rsid w:val="00B4643D"/>
    <w:rsid w:val="00B466E5"/>
    <w:rsid w:val="00B4673C"/>
    <w:rsid w:val="00B469BB"/>
    <w:rsid w:val="00B46A57"/>
    <w:rsid w:val="00B46C46"/>
    <w:rsid w:val="00B46D6E"/>
    <w:rsid w:val="00B46DD5"/>
    <w:rsid w:val="00B47040"/>
    <w:rsid w:val="00B47152"/>
    <w:rsid w:val="00B472D3"/>
    <w:rsid w:val="00B47843"/>
    <w:rsid w:val="00B4792E"/>
    <w:rsid w:val="00B47C8A"/>
    <w:rsid w:val="00B5025E"/>
    <w:rsid w:val="00B50321"/>
    <w:rsid w:val="00B50703"/>
    <w:rsid w:val="00B50F98"/>
    <w:rsid w:val="00B5124D"/>
    <w:rsid w:val="00B5136A"/>
    <w:rsid w:val="00B51A00"/>
    <w:rsid w:val="00B51DDF"/>
    <w:rsid w:val="00B52727"/>
    <w:rsid w:val="00B52B4F"/>
    <w:rsid w:val="00B52BB0"/>
    <w:rsid w:val="00B533DF"/>
    <w:rsid w:val="00B53BB1"/>
    <w:rsid w:val="00B53E09"/>
    <w:rsid w:val="00B543F1"/>
    <w:rsid w:val="00B54473"/>
    <w:rsid w:val="00B5468E"/>
    <w:rsid w:val="00B546DB"/>
    <w:rsid w:val="00B54ADC"/>
    <w:rsid w:val="00B54B1A"/>
    <w:rsid w:val="00B54C45"/>
    <w:rsid w:val="00B54DFF"/>
    <w:rsid w:val="00B54E65"/>
    <w:rsid w:val="00B55060"/>
    <w:rsid w:val="00B55213"/>
    <w:rsid w:val="00B55963"/>
    <w:rsid w:val="00B55A1C"/>
    <w:rsid w:val="00B55B31"/>
    <w:rsid w:val="00B55B46"/>
    <w:rsid w:val="00B55DB6"/>
    <w:rsid w:val="00B560C9"/>
    <w:rsid w:val="00B56141"/>
    <w:rsid w:val="00B56300"/>
    <w:rsid w:val="00B5633B"/>
    <w:rsid w:val="00B56348"/>
    <w:rsid w:val="00B56515"/>
    <w:rsid w:val="00B5672C"/>
    <w:rsid w:val="00B568C9"/>
    <w:rsid w:val="00B56A2D"/>
    <w:rsid w:val="00B56AA8"/>
    <w:rsid w:val="00B56CB1"/>
    <w:rsid w:val="00B56DA4"/>
    <w:rsid w:val="00B575FD"/>
    <w:rsid w:val="00B57AE4"/>
    <w:rsid w:val="00B57B07"/>
    <w:rsid w:val="00B57CFD"/>
    <w:rsid w:val="00B57D88"/>
    <w:rsid w:val="00B57DD2"/>
    <w:rsid w:val="00B6062C"/>
    <w:rsid w:val="00B6063B"/>
    <w:rsid w:val="00B60690"/>
    <w:rsid w:val="00B60BD3"/>
    <w:rsid w:val="00B60C4A"/>
    <w:rsid w:val="00B60EFF"/>
    <w:rsid w:val="00B61016"/>
    <w:rsid w:val="00B6108D"/>
    <w:rsid w:val="00B614B5"/>
    <w:rsid w:val="00B61867"/>
    <w:rsid w:val="00B6188C"/>
    <w:rsid w:val="00B61CA1"/>
    <w:rsid w:val="00B61ED6"/>
    <w:rsid w:val="00B6204A"/>
    <w:rsid w:val="00B62103"/>
    <w:rsid w:val="00B62244"/>
    <w:rsid w:val="00B6250B"/>
    <w:rsid w:val="00B62574"/>
    <w:rsid w:val="00B625C7"/>
    <w:rsid w:val="00B62863"/>
    <w:rsid w:val="00B629AA"/>
    <w:rsid w:val="00B62B33"/>
    <w:rsid w:val="00B62B93"/>
    <w:rsid w:val="00B637B4"/>
    <w:rsid w:val="00B63C14"/>
    <w:rsid w:val="00B63FA7"/>
    <w:rsid w:val="00B63FA8"/>
    <w:rsid w:val="00B64155"/>
    <w:rsid w:val="00B6423D"/>
    <w:rsid w:val="00B6440B"/>
    <w:rsid w:val="00B64605"/>
    <w:rsid w:val="00B6472A"/>
    <w:rsid w:val="00B6496B"/>
    <w:rsid w:val="00B64976"/>
    <w:rsid w:val="00B64A90"/>
    <w:rsid w:val="00B65486"/>
    <w:rsid w:val="00B659B5"/>
    <w:rsid w:val="00B659C6"/>
    <w:rsid w:val="00B65D8A"/>
    <w:rsid w:val="00B65EC0"/>
    <w:rsid w:val="00B66071"/>
    <w:rsid w:val="00B66168"/>
    <w:rsid w:val="00B664FE"/>
    <w:rsid w:val="00B6658E"/>
    <w:rsid w:val="00B667F9"/>
    <w:rsid w:val="00B669CE"/>
    <w:rsid w:val="00B66A3E"/>
    <w:rsid w:val="00B66C50"/>
    <w:rsid w:val="00B66D83"/>
    <w:rsid w:val="00B67445"/>
    <w:rsid w:val="00B67E51"/>
    <w:rsid w:val="00B7001A"/>
    <w:rsid w:val="00B70068"/>
    <w:rsid w:val="00B7021D"/>
    <w:rsid w:val="00B7044C"/>
    <w:rsid w:val="00B704B5"/>
    <w:rsid w:val="00B7069D"/>
    <w:rsid w:val="00B706F3"/>
    <w:rsid w:val="00B7070F"/>
    <w:rsid w:val="00B707EF"/>
    <w:rsid w:val="00B70AD8"/>
    <w:rsid w:val="00B70B1B"/>
    <w:rsid w:val="00B70B88"/>
    <w:rsid w:val="00B70EF3"/>
    <w:rsid w:val="00B712B0"/>
    <w:rsid w:val="00B713D2"/>
    <w:rsid w:val="00B71494"/>
    <w:rsid w:val="00B71C72"/>
    <w:rsid w:val="00B71CD0"/>
    <w:rsid w:val="00B71E7F"/>
    <w:rsid w:val="00B72357"/>
    <w:rsid w:val="00B723C0"/>
    <w:rsid w:val="00B72412"/>
    <w:rsid w:val="00B725D3"/>
    <w:rsid w:val="00B7279F"/>
    <w:rsid w:val="00B72973"/>
    <w:rsid w:val="00B7319D"/>
    <w:rsid w:val="00B733E6"/>
    <w:rsid w:val="00B73EF2"/>
    <w:rsid w:val="00B73F47"/>
    <w:rsid w:val="00B73FAB"/>
    <w:rsid w:val="00B73FBC"/>
    <w:rsid w:val="00B7411C"/>
    <w:rsid w:val="00B7415C"/>
    <w:rsid w:val="00B74285"/>
    <w:rsid w:val="00B74BC4"/>
    <w:rsid w:val="00B74E18"/>
    <w:rsid w:val="00B75303"/>
    <w:rsid w:val="00B7587A"/>
    <w:rsid w:val="00B75996"/>
    <w:rsid w:val="00B75C36"/>
    <w:rsid w:val="00B75D59"/>
    <w:rsid w:val="00B75EC1"/>
    <w:rsid w:val="00B75FC9"/>
    <w:rsid w:val="00B76324"/>
    <w:rsid w:val="00B76A8B"/>
    <w:rsid w:val="00B76CBE"/>
    <w:rsid w:val="00B76CE0"/>
    <w:rsid w:val="00B76E60"/>
    <w:rsid w:val="00B77372"/>
    <w:rsid w:val="00B7799E"/>
    <w:rsid w:val="00B77A98"/>
    <w:rsid w:val="00B77ACE"/>
    <w:rsid w:val="00B77CD6"/>
    <w:rsid w:val="00B77D37"/>
    <w:rsid w:val="00B77D8B"/>
    <w:rsid w:val="00B77E0B"/>
    <w:rsid w:val="00B800DE"/>
    <w:rsid w:val="00B80217"/>
    <w:rsid w:val="00B80451"/>
    <w:rsid w:val="00B8045F"/>
    <w:rsid w:val="00B80560"/>
    <w:rsid w:val="00B80805"/>
    <w:rsid w:val="00B80811"/>
    <w:rsid w:val="00B808B2"/>
    <w:rsid w:val="00B80B1C"/>
    <w:rsid w:val="00B80C45"/>
    <w:rsid w:val="00B80D3F"/>
    <w:rsid w:val="00B810C1"/>
    <w:rsid w:val="00B81205"/>
    <w:rsid w:val="00B813BB"/>
    <w:rsid w:val="00B81565"/>
    <w:rsid w:val="00B816FA"/>
    <w:rsid w:val="00B81CA9"/>
    <w:rsid w:val="00B82341"/>
    <w:rsid w:val="00B824E8"/>
    <w:rsid w:val="00B825AF"/>
    <w:rsid w:val="00B82726"/>
    <w:rsid w:val="00B829B6"/>
    <w:rsid w:val="00B82CA8"/>
    <w:rsid w:val="00B82E74"/>
    <w:rsid w:val="00B83038"/>
    <w:rsid w:val="00B8360E"/>
    <w:rsid w:val="00B8381B"/>
    <w:rsid w:val="00B8398F"/>
    <w:rsid w:val="00B83A51"/>
    <w:rsid w:val="00B8406C"/>
    <w:rsid w:val="00B84091"/>
    <w:rsid w:val="00B84189"/>
    <w:rsid w:val="00B841E1"/>
    <w:rsid w:val="00B84886"/>
    <w:rsid w:val="00B84981"/>
    <w:rsid w:val="00B84E5C"/>
    <w:rsid w:val="00B84F71"/>
    <w:rsid w:val="00B8501B"/>
    <w:rsid w:val="00B8604F"/>
    <w:rsid w:val="00B860A8"/>
    <w:rsid w:val="00B863B9"/>
    <w:rsid w:val="00B8664D"/>
    <w:rsid w:val="00B866CD"/>
    <w:rsid w:val="00B8679F"/>
    <w:rsid w:val="00B86933"/>
    <w:rsid w:val="00B86B30"/>
    <w:rsid w:val="00B86B95"/>
    <w:rsid w:val="00B86CBE"/>
    <w:rsid w:val="00B86D8A"/>
    <w:rsid w:val="00B86E1B"/>
    <w:rsid w:val="00B86F0B"/>
    <w:rsid w:val="00B87233"/>
    <w:rsid w:val="00B873B2"/>
    <w:rsid w:val="00B87975"/>
    <w:rsid w:val="00B87B29"/>
    <w:rsid w:val="00B87BB8"/>
    <w:rsid w:val="00B905A9"/>
    <w:rsid w:val="00B905AB"/>
    <w:rsid w:val="00B906EA"/>
    <w:rsid w:val="00B90809"/>
    <w:rsid w:val="00B908FF"/>
    <w:rsid w:val="00B90A0D"/>
    <w:rsid w:val="00B90B07"/>
    <w:rsid w:val="00B90C02"/>
    <w:rsid w:val="00B90C54"/>
    <w:rsid w:val="00B90C89"/>
    <w:rsid w:val="00B90DCB"/>
    <w:rsid w:val="00B9125C"/>
    <w:rsid w:val="00B9131C"/>
    <w:rsid w:val="00B91369"/>
    <w:rsid w:val="00B9158D"/>
    <w:rsid w:val="00B91E8F"/>
    <w:rsid w:val="00B922EA"/>
    <w:rsid w:val="00B923B5"/>
    <w:rsid w:val="00B927CE"/>
    <w:rsid w:val="00B92929"/>
    <w:rsid w:val="00B929A8"/>
    <w:rsid w:val="00B92C98"/>
    <w:rsid w:val="00B92E3B"/>
    <w:rsid w:val="00B92FB1"/>
    <w:rsid w:val="00B93048"/>
    <w:rsid w:val="00B9333B"/>
    <w:rsid w:val="00B934D0"/>
    <w:rsid w:val="00B93D3D"/>
    <w:rsid w:val="00B93E21"/>
    <w:rsid w:val="00B93E62"/>
    <w:rsid w:val="00B940E2"/>
    <w:rsid w:val="00B94606"/>
    <w:rsid w:val="00B9462C"/>
    <w:rsid w:val="00B9468B"/>
    <w:rsid w:val="00B9470D"/>
    <w:rsid w:val="00B947EA"/>
    <w:rsid w:val="00B949A3"/>
    <w:rsid w:val="00B94DF0"/>
    <w:rsid w:val="00B951F7"/>
    <w:rsid w:val="00B95218"/>
    <w:rsid w:val="00B952BA"/>
    <w:rsid w:val="00B95990"/>
    <w:rsid w:val="00B95A8E"/>
    <w:rsid w:val="00B95BDD"/>
    <w:rsid w:val="00B95C02"/>
    <w:rsid w:val="00B960A6"/>
    <w:rsid w:val="00B960EB"/>
    <w:rsid w:val="00B96339"/>
    <w:rsid w:val="00B9653D"/>
    <w:rsid w:val="00B96788"/>
    <w:rsid w:val="00B967B0"/>
    <w:rsid w:val="00B96B88"/>
    <w:rsid w:val="00B96F0A"/>
    <w:rsid w:val="00B96F41"/>
    <w:rsid w:val="00B97075"/>
    <w:rsid w:val="00B970F3"/>
    <w:rsid w:val="00B974E6"/>
    <w:rsid w:val="00B974F5"/>
    <w:rsid w:val="00B975CD"/>
    <w:rsid w:val="00B976EF"/>
    <w:rsid w:val="00B9778D"/>
    <w:rsid w:val="00B97C69"/>
    <w:rsid w:val="00B97D1C"/>
    <w:rsid w:val="00B97D67"/>
    <w:rsid w:val="00B97D68"/>
    <w:rsid w:val="00BA0156"/>
    <w:rsid w:val="00BA0236"/>
    <w:rsid w:val="00BA0A14"/>
    <w:rsid w:val="00BA0B5A"/>
    <w:rsid w:val="00BA0CC2"/>
    <w:rsid w:val="00BA0F0F"/>
    <w:rsid w:val="00BA109C"/>
    <w:rsid w:val="00BA113D"/>
    <w:rsid w:val="00BA1383"/>
    <w:rsid w:val="00BA13CE"/>
    <w:rsid w:val="00BA14C4"/>
    <w:rsid w:val="00BA18CC"/>
    <w:rsid w:val="00BA1D3A"/>
    <w:rsid w:val="00BA20B4"/>
    <w:rsid w:val="00BA20DD"/>
    <w:rsid w:val="00BA25D1"/>
    <w:rsid w:val="00BA2C4A"/>
    <w:rsid w:val="00BA2C60"/>
    <w:rsid w:val="00BA31B2"/>
    <w:rsid w:val="00BA322A"/>
    <w:rsid w:val="00BA349B"/>
    <w:rsid w:val="00BA3A17"/>
    <w:rsid w:val="00BA40D1"/>
    <w:rsid w:val="00BA42F6"/>
    <w:rsid w:val="00BA4404"/>
    <w:rsid w:val="00BA463C"/>
    <w:rsid w:val="00BA4995"/>
    <w:rsid w:val="00BA4A64"/>
    <w:rsid w:val="00BA55E4"/>
    <w:rsid w:val="00BA57B8"/>
    <w:rsid w:val="00BA592D"/>
    <w:rsid w:val="00BA64B1"/>
    <w:rsid w:val="00BA65B7"/>
    <w:rsid w:val="00BA665F"/>
    <w:rsid w:val="00BA6B46"/>
    <w:rsid w:val="00BA709D"/>
    <w:rsid w:val="00BA722C"/>
    <w:rsid w:val="00BA756B"/>
    <w:rsid w:val="00BA7832"/>
    <w:rsid w:val="00BA7BBA"/>
    <w:rsid w:val="00BA7F03"/>
    <w:rsid w:val="00BB035D"/>
    <w:rsid w:val="00BB052D"/>
    <w:rsid w:val="00BB0950"/>
    <w:rsid w:val="00BB0A94"/>
    <w:rsid w:val="00BB0AF1"/>
    <w:rsid w:val="00BB0C1D"/>
    <w:rsid w:val="00BB118F"/>
    <w:rsid w:val="00BB15FF"/>
    <w:rsid w:val="00BB1BD8"/>
    <w:rsid w:val="00BB1DE5"/>
    <w:rsid w:val="00BB1F22"/>
    <w:rsid w:val="00BB1FDA"/>
    <w:rsid w:val="00BB228E"/>
    <w:rsid w:val="00BB22D7"/>
    <w:rsid w:val="00BB2680"/>
    <w:rsid w:val="00BB2A38"/>
    <w:rsid w:val="00BB2D1C"/>
    <w:rsid w:val="00BB2F66"/>
    <w:rsid w:val="00BB36C9"/>
    <w:rsid w:val="00BB3C1C"/>
    <w:rsid w:val="00BB3C55"/>
    <w:rsid w:val="00BB3F30"/>
    <w:rsid w:val="00BB41EC"/>
    <w:rsid w:val="00BB4264"/>
    <w:rsid w:val="00BB4523"/>
    <w:rsid w:val="00BB4693"/>
    <w:rsid w:val="00BB4A0E"/>
    <w:rsid w:val="00BB4BB2"/>
    <w:rsid w:val="00BB4DC5"/>
    <w:rsid w:val="00BB4F35"/>
    <w:rsid w:val="00BB51D2"/>
    <w:rsid w:val="00BB558B"/>
    <w:rsid w:val="00BB579E"/>
    <w:rsid w:val="00BB5BDC"/>
    <w:rsid w:val="00BB6015"/>
    <w:rsid w:val="00BB6196"/>
    <w:rsid w:val="00BB661F"/>
    <w:rsid w:val="00BB6683"/>
    <w:rsid w:val="00BB6BB0"/>
    <w:rsid w:val="00BB6BB2"/>
    <w:rsid w:val="00BB6C24"/>
    <w:rsid w:val="00BB7054"/>
    <w:rsid w:val="00BB7906"/>
    <w:rsid w:val="00BB79E6"/>
    <w:rsid w:val="00BB7E65"/>
    <w:rsid w:val="00BB7FEC"/>
    <w:rsid w:val="00BC03F6"/>
    <w:rsid w:val="00BC0592"/>
    <w:rsid w:val="00BC071C"/>
    <w:rsid w:val="00BC0804"/>
    <w:rsid w:val="00BC0953"/>
    <w:rsid w:val="00BC0D4A"/>
    <w:rsid w:val="00BC124A"/>
    <w:rsid w:val="00BC1562"/>
    <w:rsid w:val="00BC1ABB"/>
    <w:rsid w:val="00BC1BDC"/>
    <w:rsid w:val="00BC1BFB"/>
    <w:rsid w:val="00BC1E4E"/>
    <w:rsid w:val="00BC1E75"/>
    <w:rsid w:val="00BC231C"/>
    <w:rsid w:val="00BC234C"/>
    <w:rsid w:val="00BC2536"/>
    <w:rsid w:val="00BC29AD"/>
    <w:rsid w:val="00BC3023"/>
    <w:rsid w:val="00BC321C"/>
    <w:rsid w:val="00BC3305"/>
    <w:rsid w:val="00BC3461"/>
    <w:rsid w:val="00BC35EE"/>
    <w:rsid w:val="00BC368E"/>
    <w:rsid w:val="00BC39E9"/>
    <w:rsid w:val="00BC3BE3"/>
    <w:rsid w:val="00BC3D9C"/>
    <w:rsid w:val="00BC3DEE"/>
    <w:rsid w:val="00BC47F2"/>
    <w:rsid w:val="00BC4975"/>
    <w:rsid w:val="00BC4A35"/>
    <w:rsid w:val="00BC551D"/>
    <w:rsid w:val="00BC5595"/>
    <w:rsid w:val="00BC5793"/>
    <w:rsid w:val="00BC59BB"/>
    <w:rsid w:val="00BC5AB6"/>
    <w:rsid w:val="00BC5C43"/>
    <w:rsid w:val="00BC5DB8"/>
    <w:rsid w:val="00BC5DD7"/>
    <w:rsid w:val="00BC5F3E"/>
    <w:rsid w:val="00BC5FAE"/>
    <w:rsid w:val="00BC6087"/>
    <w:rsid w:val="00BC6199"/>
    <w:rsid w:val="00BC6934"/>
    <w:rsid w:val="00BC6939"/>
    <w:rsid w:val="00BC69FB"/>
    <w:rsid w:val="00BC6A0E"/>
    <w:rsid w:val="00BC6A2F"/>
    <w:rsid w:val="00BC70A5"/>
    <w:rsid w:val="00BC7158"/>
    <w:rsid w:val="00BC74E4"/>
    <w:rsid w:val="00BC7639"/>
    <w:rsid w:val="00BC7780"/>
    <w:rsid w:val="00BC7E18"/>
    <w:rsid w:val="00BD0078"/>
    <w:rsid w:val="00BD039A"/>
    <w:rsid w:val="00BD0633"/>
    <w:rsid w:val="00BD0AD5"/>
    <w:rsid w:val="00BD0C56"/>
    <w:rsid w:val="00BD0CE5"/>
    <w:rsid w:val="00BD0CF0"/>
    <w:rsid w:val="00BD0EB8"/>
    <w:rsid w:val="00BD1384"/>
    <w:rsid w:val="00BD14E1"/>
    <w:rsid w:val="00BD1541"/>
    <w:rsid w:val="00BD15B0"/>
    <w:rsid w:val="00BD15F0"/>
    <w:rsid w:val="00BD1675"/>
    <w:rsid w:val="00BD17C1"/>
    <w:rsid w:val="00BD18D9"/>
    <w:rsid w:val="00BD1950"/>
    <w:rsid w:val="00BD19F0"/>
    <w:rsid w:val="00BD1B8B"/>
    <w:rsid w:val="00BD1CBC"/>
    <w:rsid w:val="00BD1CBE"/>
    <w:rsid w:val="00BD1DE2"/>
    <w:rsid w:val="00BD2179"/>
    <w:rsid w:val="00BD2922"/>
    <w:rsid w:val="00BD2A0F"/>
    <w:rsid w:val="00BD2A8B"/>
    <w:rsid w:val="00BD2B20"/>
    <w:rsid w:val="00BD2CE1"/>
    <w:rsid w:val="00BD2EBB"/>
    <w:rsid w:val="00BD2F9F"/>
    <w:rsid w:val="00BD3499"/>
    <w:rsid w:val="00BD349C"/>
    <w:rsid w:val="00BD3535"/>
    <w:rsid w:val="00BD3732"/>
    <w:rsid w:val="00BD3865"/>
    <w:rsid w:val="00BD3900"/>
    <w:rsid w:val="00BD3D7D"/>
    <w:rsid w:val="00BD3E04"/>
    <w:rsid w:val="00BD4597"/>
    <w:rsid w:val="00BD483D"/>
    <w:rsid w:val="00BD490C"/>
    <w:rsid w:val="00BD509E"/>
    <w:rsid w:val="00BD5220"/>
    <w:rsid w:val="00BD5468"/>
    <w:rsid w:val="00BD55E9"/>
    <w:rsid w:val="00BD569E"/>
    <w:rsid w:val="00BD59F1"/>
    <w:rsid w:val="00BD5CDE"/>
    <w:rsid w:val="00BD5F82"/>
    <w:rsid w:val="00BD62A7"/>
    <w:rsid w:val="00BD65CA"/>
    <w:rsid w:val="00BD65CB"/>
    <w:rsid w:val="00BD6639"/>
    <w:rsid w:val="00BD66F7"/>
    <w:rsid w:val="00BD6B60"/>
    <w:rsid w:val="00BD6B63"/>
    <w:rsid w:val="00BD6B67"/>
    <w:rsid w:val="00BD7060"/>
    <w:rsid w:val="00BD7081"/>
    <w:rsid w:val="00BD70B1"/>
    <w:rsid w:val="00BD7104"/>
    <w:rsid w:val="00BD7455"/>
    <w:rsid w:val="00BD7546"/>
    <w:rsid w:val="00BD771E"/>
    <w:rsid w:val="00BD7FA8"/>
    <w:rsid w:val="00BE0067"/>
    <w:rsid w:val="00BE0206"/>
    <w:rsid w:val="00BE0246"/>
    <w:rsid w:val="00BE054C"/>
    <w:rsid w:val="00BE0608"/>
    <w:rsid w:val="00BE0868"/>
    <w:rsid w:val="00BE0884"/>
    <w:rsid w:val="00BE0A39"/>
    <w:rsid w:val="00BE0D79"/>
    <w:rsid w:val="00BE0E05"/>
    <w:rsid w:val="00BE0EE0"/>
    <w:rsid w:val="00BE0F5B"/>
    <w:rsid w:val="00BE11F5"/>
    <w:rsid w:val="00BE1325"/>
    <w:rsid w:val="00BE16F0"/>
    <w:rsid w:val="00BE19AD"/>
    <w:rsid w:val="00BE19FC"/>
    <w:rsid w:val="00BE1A19"/>
    <w:rsid w:val="00BE1C6A"/>
    <w:rsid w:val="00BE1ECF"/>
    <w:rsid w:val="00BE1F66"/>
    <w:rsid w:val="00BE21F8"/>
    <w:rsid w:val="00BE2819"/>
    <w:rsid w:val="00BE2880"/>
    <w:rsid w:val="00BE2962"/>
    <w:rsid w:val="00BE33B5"/>
    <w:rsid w:val="00BE34D9"/>
    <w:rsid w:val="00BE36B8"/>
    <w:rsid w:val="00BE3D9D"/>
    <w:rsid w:val="00BE4087"/>
    <w:rsid w:val="00BE4C56"/>
    <w:rsid w:val="00BE5675"/>
    <w:rsid w:val="00BE57A5"/>
    <w:rsid w:val="00BE5927"/>
    <w:rsid w:val="00BE59A7"/>
    <w:rsid w:val="00BE5A93"/>
    <w:rsid w:val="00BE5B33"/>
    <w:rsid w:val="00BE5D59"/>
    <w:rsid w:val="00BE5EB7"/>
    <w:rsid w:val="00BE5EBD"/>
    <w:rsid w:val="00BE612E"/>
    <w:rsid w:val="00BE6171"/>
    <w:rsid w:val="00BE627D"/>
    <w:rsid w:val="00BE677B"/>
    <w:rsid w:val="00BE6934"/>
    <w:rsid w:val="00BE69FB"/>
    <w:rsid w:val="00BE6BF5"/>
    <w:rsid w:val="00BE6CE9"/>
    <w:rsid w:val="00BE6E6B"/>
    <w:rsid w:val="00BE707A"/>
    <w:rsid w:val="00BE7149"/>
    <w:rsid w:val="00BE7622"/>
    <w:rsid w:val="00BE7697"/>
    <w:rsid w:val="00BE7808"/>
    <w:rsid w:val="00BE7982"/>
    <w:rsid w:val="00BE7AAF"/>
    <w:rsid w:val="00BE7BA6"/>
    <w:rsid w:val="00BE7D45"/>
    <w:rsid w:val="00BE7D77"/>
    <w:rsid w:val="00BE7EE7"/>
    <w:rsid w:val="00BF0098"/>
    <w:rsid w:val="00BF0398"/>
    <w:rsid w:val="00BF055D"/>
    <w:rsid w:val="00BF07BF"/>
    <w:rsid w:val="00BF090D"/>
    <w:rsid w:val="00BF0981"/>
    <w:rsid w:val="00BF0B15"/>
    <w:rsid w:val="00BF0B8D"/>
    <w:rsid w:val="00BF0BFD"/>
    <w:rsid w:val="00BF0E6F"/>
    <w:rsid w:val="00BF0FA1"/>
    <w:rsid w:val="00BF116F"/>
    <w:rsid w:val="00BF11A0"/>
    <w:rsid w:val="00BF14F1"/>
    <w:rsid w:val="00BF18B9"/>
    <w:rsid w:val="00BF1916"/>
    <w:rsid w:val="00BF1970"/>
    <w:rsid w:val="00BF1BC3"/>
    <w:rsid w:val="00BF1E09"/>
    <w:rsid w:val="00BF1EC6"/>
    <w:rsid w:val="00BF21AD"/>
    <w:rsid w:val="00BF2207"/>
    <w:rsid w:val="00BF2528"/>
    <w:rsid w:val="00BF258A"/>
    <w:rsid w:val="00BF26AB"/>
    <w:rsid w:val="00BF26D5"/>
    <w:rsid w:val="00BF2770"/>
    <w:rsid w:val="00BF27E0"/>
    <w:rsid w:val="00BF2A8D"/>
    <w:rsid w:val="00BF2FFA"/>
    <w:rsid w:val="00BF3551"/>
    <w:rsid w:val="00BF372E"/>
    <w:rsid w:val="00BF376B"/>
    <w:rsid w:val="00BF3E25"/>
    <w:rsid w:val="00BF4135"/>
    <w:rsid w:val="00BF420A"/>
    <w:rsid w:val="00BF4678"/>
    <w:rsid w:val="00BF4954"/>
    <w:rsid w:val="00BF4EB9"/>
    <w:rsid w:val="00BF4FC8"/>
    <w:rsid w:val="00BF4FE3"/>
    <w:rsid w:val="00BF524B"/>
    <w:rsid w:val="00BF5AFC"/>
    <w:rsid w:val="00BF5F3D"/>
    <w:rsid w:val="00BF625B"/>
    <w:rsid w:val="00BF63FF"/>
    <w:rsid w:val="00BF7274"/>
    <w:rsid w:val="00BF746E"/>
    <w:rsid w:val="00BF758E"/>
    <w:rsid w:val="00BF79A4"/>
    <w:rsid w:val="00BF79D9"/>
    <w:rsid w:val="00BF7C87"/>
    <w:rsid w:val="00BF7EDC"/>
    <w:rsid w:val="00C000A3"/>
    <w:rsid w:val="00C0013B"/>
    <w:rsid w:val="00C00289"/>
    <w:rsid w:val="00C003AF"/>
    <w:rsid w:val="00C00869"/>
    <w:rsid w:val="00C00B4D"/>
    <w:rsid w:val="00C00C13"/>
    <w:rsid w:val="00C00FC1"/>
    <w:rsid w:val="00C017E1"/>
    <w:rsid w:val="00C01BC8"/>
    <w:rsid w:val="00C023EE"/>
    <w:rsid w:val="00C024B2"/>
    <w:rsid w:val="00C028FF"/>
    <w:rsid w:val="00C02AC4"/>
    <w:rsid w:val="00C02C47"/>
    <w:rsid w:val="00C02D83"/>
    <w:rsid w:val="00C03026"/>
    <w:rsid w:val="00C03079"/>
    <w:rsid w:val="00C03300"/>
    <w:rsid w:val="00C0333E"/>
    <w:rsid w:val="00C0343C"/>
    <w:rsid w:val="00C038C7"/>
    <w:rsid w:val="00C03967"/>
    <w:rsid w:val="00C03D47"/>
    <w:rsid w:val="00C03FA0"/>
    <w:rsid w:val="00C04268"/>
    <w:rsid w:val="00C04343"/>
    <w:rsid w:val="00C044A6"/>
    <w:rsid w:val="00C04585"/>
    <w:rsid w:val="00C047A4"/>
    <w:rsid w:val="00C0484D"/>
    <w:rsid w:val="00C04B6A"/>
    <w:rsid w:val="00C04C2B"/>
    <w:rsid w:val="00C04C75"/>
    <w:rsid w:val="00C04CF7"/>
    <w:rsid w:val="00C04D4E"/>
    <w:rsid w:val="00C04D91"/>
    <w:rsid w:val="00C0585C"/>
    <w:rsid w:val="00C06151"/>
    <w:rsid w:val="00C06201"/>
    <w:rsid w:val="00C062D2"/>
    <w:rsid w:val="00C06338"/>
    <w:rsid w:val="00C064F4"/>
    <w:rsid w:val="00C06583"/>
    <w:rsid w:val="00C0682C"/>
    <w:rsid w:val="00C06886"/>
    <w:rsid w:val="00C06AB1"/>
    <w:rsid w:val="00C06CF1"/>
    <w:rsid w:val="00C0705C"/>
    <w:rsid w:val="00C07118"/>
    <w:rsid w:val="00C071D3"/>
    <w:rsid w:val="00C078FF"/>
    <w:rsid w:val="00C07A10"/>
    <w:rsid w:val="00C07BBB"/>
    <w:rsid w:val="00C1009C"/>
    <w:rsid w:val="00C100AE"/>
    <w:rsid w:val="00C101B2"/>
    <w:rsid w:val="00C1041D"/>
    <w:rsid w:val="00C104E1"/>
    <w:rsid w:val="00C1106A"/>
    <w:rsid w:val="00C11247"/>
    <w:rsid w:val="00C114AB"/>
    <w:rsid w:val="00C11659"/>
    <w:rsid w:val="00C116FA"/>
    <w:rsid w:val="00C118FC"/>
    <w:rsid w:val="00C11A4C"/>
    <w:rsid w:val="00C11AAF"/>
    <w:rsid w:val="00C12299"/>
    <w:rsid w:val="00C12313"/>
    <w:rsid w:val="00C1251C"/>
    <w:rsid w:val="00C1277B"/>
    <w:rsid w:val="00C12844"/>
    <w:rsid w:val="00C12A42"/>
    <w:rsid w:val="00C13411"/>
    <w:rsid w:val="00C135DB"/>
    <w:rsid w:val="00C135EA"/>
    <w:rsid w:val="00C13B9E"/>
    <w:rsid w:val="00C13E71"/>
    <w:rsid w:val="00C13FF3"/>
    <w:rsid w:val="00C14283"/>
    <w:rsid w:val="00C144F1"/>
    <w:rsid w:val="00C146F4"/>
    <w:rsid w:val="00C14B56"/>
    <w:rsid w:val="00C15015"/>
    <w:rsid w:val="00C15086"/>
    <w:rsid w:val="00C151A6"/>
    <w:rsid w:val="00C15444"/>
    <w:rsid w:val="00C15589"/>
    <w:rsid w:val="00C1609B"/>
    <w:rsid w:val="00C161E9"/>
    <w:rsid w:val="00C16496"/>
    <w:rsid w:val="00C1650F"/>
    <w:rsid w:val="00C16760"/>
    <w:rsid w:val="00C170A7"/>
    <w:rsid w:val="00C170DD"/>
    <w:rsid w:val="00C17241"/>
    <w:rsid w:val="00C17706"/>
    <w:rsid w:val="00C17A43"/>
    <w:rsid w:val="00C17B0B"/>
    <w:rsid w:val="00C17F9B"/>
    <w:rsid w:val="00C203D8"/>
    <w:rsid w:val="00C204BD"/>
    <w:rsid w:val="00C205B8"/>
    <w:rsid w:val="00C2090A"/>
    <w:rsid w:val="00C2149D"/>
    <w:rsid w:val="00C2152C"/>
    <w:rsid w:val="00C2179A"/>
    <w:rsid w:val="00C21813"/>
    <w:rsid w:val="00C21A49"/>
    <w:rsid w:val="00C21B32"/>
    <w:rsid w:val="00C21C60"/>
    <w:rsid w:val="00C21D2E"/>
    <w:rsid w:val="00C2217C"/>
    <w:rsid w:val="00C22775"/>
    <w:rsid w:val="00C22941"/>
    <w:rsid w:val="00C22B33"/>
    <w:rsid w:val="00C22E84"/>
    <w:rsid w:val="00C232D6"/>
    <w:rsid w:val="00C2332D"/>
    <w:rsid w:val="00C23805"/>
    <w:rsid w:val="00C23A6E"/>
    <w:rsid w:val="00C23B97"/>
    <w:rsid w:val="00C23BD9"/>
    <w:rsid w:val="00C23FB5"/>
    <w:rsid w:val="00C2404B"/>
    <w:rsid w:val="00C245E6"/>
    <w:rsid w:val="00C24729"/>
    <w:rsid w:val="00C24A65"/>
    <w:rsid w:val="00C24EBE"/>
    <w:rsid w:val="00C2576A"/>
    <w:rsid w:val="00C25B0A"/>
    <w:rsid w:val="00C25DC5"/>
    <w:rsid w:val="00C25EE3"/>
    <w:rsid w:val="00C267F0"/>
    <w:rsid w:val="00C2680B"/>
    <w:rsid w:val="00C26A47"/>
    <w:rsid w:val="00C26EF6"/>
    <w:rsid w:val="00C27A65"/>
    <w:rsid w:val="00C27D4B"/>
    <w:rsid w:val="00C303AB"/>
    <w:rsid w:val="00C303B6"/>
    <w:rsid w:val="00C30464"/>
    <w:rsid w:val="00C304EA"/>
    <w:rsid w:val="00C30504"/>
    <w:rsid w:val="00C305DA"/>
    <w:rsid w:val="00C3062F"/>
    <w:rsid w:val="00C3071F"/>
    <w:rsid w:val="00C30A71"/>
    <w:rsid w:val="00C30CBD"/>
    <w:rsid w:val="00C30DA5"/>
    <w:rsid w:val="00C30E15"/>
    <w:rsid w:val="00C31006"/>
    <w:rsid w:val="00C31459"/>
    <w:rsid w:val="00C31F2C"/>
    <w:rsid w:val="00C31FB2"/>
    <w:rsid w:val="00C322A3"/>
    <w:rsid w:val="00C32794"/>
    <w:rsid w:val="00C328C7"/>
    <w:rsid w:val="00C32C4D"/>
    <w:rsid w:val="00C32F9D"/>
    <w:rsid w:val="00C32FC6"/>
    <w:rsid w:val="00C33495"/>
    <w:rsid w:val="00C3362C"/>
    <w:rsid w:val="00C33A1A"/>
    <w:rsid w:val="00C33FBC"/>
    <w:rsid w:val="00C34127"/>
    <w:rsid w:val="00C3420A"/>
    <w:rsid w:val="00C342E2"/>
    <w:rsid w:val="00C34ECF"/>
    <w:rsid w:val="00C3533C"/>
    <w:rsid w:val="00C3549C"/>
    <w:rsid w:val="00C356CE"/>
    <w:rsid w:val="00C35741"/>
    <w:rsid w:val="00C35800"/>
    <w:rsid w:val="00C35877"/>
    <w:rsid w:val="00C35C26"/>
    <w:rsid w:val="00C363BB"/>
    <w:rsid w:val="00C369CF"/>
    <w:rsid w:val="00C36D3D"/>
    <w:rsid w:val="00C36E11"/>
    <w:rsid w:val="00C36F32"/>
    <w:rsid w:val="00C36F62"/>
    <w:rsid w:val="00C3701F"/>
    <w:rsid w:val="00C37247"/>
    <w:rsid w:val="00C37825"/>
    <w:rsid w:val="00C3782C"/>
    <w:rsid w:val="00C37942"/>
    <w:rsid w:val="00C37A11"/>
    <w:rsid w:val="00C37AA6"/>
    <w:rsid w:val="00C40155"/>
    <w:rsid w:val="00C4098B"/>
    <w:rsid w:val="00C40996"/>
    <w:rsid w:val="00C40A69"/>
    <w:rsid w:val="00C40B60"/>
    <w:rsid w:val="00C40D4F"/>
    <w:rsid w:val="00C40D88"/>
    <w:rsid w:val="00C40EE8"/>
    <w:rsid w:val="00C412F5"/>
    <w:rsid w:val="00C4137E"/>
    <w:rsid w:val="00C41392"/>
    <w:rsid w:val="00C41834"/>
    <w:rsid w:val="00C418CA"/>
    <w:rsid w:val="00C41DAD"/>
    <w:rsid w:val="00C41E5C"/>
    <w:rsid w:val="00C42426"/>
    <w:rsid w:val="00C42583"/>
    <w:rsid w:val="00C42802"/>
    <w:rsid w:val="00C42AEE"/>
    <w:rsid w:val="00C42B51"/>
    <w:rsid w:val="00C42CB2"/>
    <w:rsid w:val="00C42E34"/>
    <w:rsid w:val="00C4337F"/>
    <w:rsid w:val="00C433AD"/>
    <w:rsid w:val="00C434CD"/>
    <w:rsid w:val="00C437DF"/>
    <w:rsid w:val="00C43FAE"/>
    <w:rsid w:val="00C44252"/>
    <w:rsid w:val="00C442F3"/>
    <w:rsid w:val="00C443A4"/>
    <w:rsid w:val="00C444B8"/>
    <w:rsid w:val="00C44501"/>
    <w:rsid w:val="00C44528"/>
    <w:rsid w:val="00C449FC"/>
    <w:rsid w:val="00C44B0F"/>
    <w:rsid w:val="00C44B99"/>
    <w:rsid w:val="00C4511A"/>
    <w:rsid w:val="00C457F2"/>
    <w:rsid w:val="00C45B1E"/>
    <w:rsid w:val="00C45B99"/>
    <w:rsid w:val="00C45CFE"/>
    <w:rsid w:val="00C45D19"/>
    <w:rsid w:val="00C45D9E"/>
    <w:rsid w:val="00C45F7B"/>
    <w:rsid w:val="00C4616B"/>
    <w:rsid w:val="00C46591"/>
    <w:rsid w:val="00C4679F"/>
    <w:rsid w:val="00C467BE"/>
    <w:rsid w:val="00C467FC"/>
    <w:rsid w:val="00C4680D"/>
    <w:rsid w:val="00C4693B"/>
    <w:rsid w:val="00C46A87"/>
    <w:rsid w:val="00C46CD0"/>
    <w:rsid w:val="00C46E31"/>
    <w:rsid w:val="00C46EC8"/>
    <w:rsid w:val="00C47428"/>
    <w:rsid w:val="00C47644"/>
    <w:rsid w:val="00C479EC"/>
    <w:rsid w:val="00C47A2C"/>
    <w:rsid w:val="00C47BB1"/>
    <w:rsid w:val="00C47BF3"/>
    <w:rsid w:val="00C50210"/>
    <w:rsid w:val="00C50294"/>
    <w:rsid w:val="00C506D6"/>
    <w:rsid w:val="00C5079D"/>
    <w:rsid w:val="00C508E2"/>
    <w:rsid w:val="00C50B9E"/>
    <w:rsid w:val="00C50C07"/>
    <w:rsid w:val="00C50C09"/>
    <w:rsid w:val="00C50D0D"/>
    <w:rsid w:val="00C5113C"/>
    <w:rsid w:val="00C511F3"/>
    <w:rsid w:val="00C513F5"/>
    <w:rsid w:val="00C514C0"/>
    <w:rsid w:val="00C5150B"/>
    <w:rsid w:val="00C51870"/>
    <w:rsid w:val="00C51EAF"/>
    <w:rsid w:val="00C5205B"/>
    <w:rsid w:val="00C52183"/>
    <w:rsid w:val="00C5230E"/>
    <w:rsid w:val="00C525D3"/>
    <w:rsid w:val="00C52DC1"/>
    <w:rsid w:val="00C53327"/>
    <w:rsid w:val="00C533F3"/>
    <w:rsid w:val="00C5345F"/>
    <w:rsid w:val="00C53AA4"/>
    <w:rsid w:val="00C54118"/>
    <w:rsid w:val="00C543AF"/>
    <w:rsid w:val="00C54AE1"/>
    <w:rsid w:val="00C54C6D"/>
    <w:rsid w:val="00C54F99"/>
    <w:rsid w:val="00C5506D"/>
    <w:rsid w:val="00C550E4"/>
    <w:rsid w:val="00C551DB"/>
    <w:rsid w:val="00C55355"/>
    <w:rsid w:val="00C553CE"/>
    <w:rsid w:val="00C556B4"/>
    <w:rsid w:val="00C5574B"/>
    <w:rsid w:val="00C5593C"/>
    <w:rsid w:val="00C55945"/>
    <w:rsid w:val="00C560D9"/>
    <w:rsid w:val="00C56267"/>
    <w:rsid w:val="00C56373"/>
    <w:rsid w:val="00C563D3"/>
    <w:rsid w:val="00C563F6"/>
    <w:rsid w:val="00C5641E"/>
    <w:rsid w:val="00C564E9"/>
    <w:rsid w:val="00C5677E"/>
    <w:rsid w:val="00C56793"/>
    <w:rsid w:val="00C5688E"/>
    <w:rsid w:val="00C5731C"/>
    <w:rsid w:val="00C573E1"/>
    <w:rsid w:val="00C579B7"/>
    <w:rsid w:val="00C57AD3"/>
    <w:rsid w:val="00C57FFC"/>
    <w:rsid w:val="00C60073"/>
    <w:rsid w:val="00C60493"/>
    <w:rsid w:val="00C60518"/>
    <w:rsid w:val="00C6089B"/>
    <w:rsid w:val="00C60C58"/>
    <w:rsid w:val="00C6133C"/>
    <w:rsid w:val="00C61975"/>
    <w:rsid w:val="00C61AF4"/>
    <w:rsid w:val="00C61D55"/>
    <w:rsid w:val="00C61EE3"/>
    <w:rsid w:val="00C620F0"/>
    <w:rsid w:val="00C6215C"/>
    <w:rsid w:val="00C62189"/>
    <w:rsid w:val="00C62544"/>
    <w:rsid w:val="00C627BF"/>
    <w:rsid w:val="00C629FD"/>
    <w:rsid w:val="00C62C59"/>
    <w:rsid w:val="00C63057"/>
    <w:rsid w:val="00C630D7"/>
    <w:rsid w:val="00C63985"/>
    <w:rsid w:val="00C639EA"/>
    <w:rsid w:val="00C63B23"/>
    <w:rsid w:val="00C63EAC"/>
    <w:rsid w:val="00C63F16"/>
    <w:rsid w:val="00C63F92"/>
    <w:rsid w:val="00C647E3"/>
    <w:rsid w:val="00C6481B"/>
    <w:rsid w:val="00C64C95"/>
    <w:rsid w:val="00C64E67"/>
    <w:rsid w:val="00C652DB"/>
    <w:rsid w:val="00C65D10"/>
    <w:rsid w:val="00C65F36"/>
    <w:rsid w:val="00C65FDA"/>
    <w:rsid w:val="00C660E1"/>
    <w:rsid w:val="00C66298"/>
    <w:rsid w:val="00C664C5"/>
    <w:rsid w:val="00C66A1C"/>
    <w:rsid w:val="00C66C69"/>
    <w:rsid w:val="00C66D55"/>
    <w:rsid w:val="00C66FAE"/>
    <w:rsid w:val="00C67525"/>
    <w:rsid w:val="00C6758E"/>
    <w:rsid w:val="00C6760B"/>
    <w:rsid w:val="00C67961"/>
    <w:rsid w:val="00C67F4B"/>
    <w:rsid w:val="00C70096"/>
    <w:rsid w:val="00C70276"/>
    <w:rsid w:val="00C7027C"/>
    <w:rsid w:val="00C70CC7"/>
    <w:rsid w:val="00C710B4"/>
    <w:rsid w:val="00C7169E"/>
    <w:rsid w:val="00C71708"/>
    <w:rsid w:val="00C71C38"/>
    <w:rsid w:val="00C72012"/>
    <w:rsid w:val="00C721ED"/>
    <w:rsid w:val="00C721F7"/>
    <w:rsid w:val="00C72352"/>
    <w:rsid w:val="00C7249B"/>
    <w:rsid w:val="00C726D3"/>
    <w:rsid w:val="00C727D5"/>
    <w:rsid w:val="00C728B0"/>
    <w:rsid w:val="00C729DB"/>
    <w:rsid w:val="00C72A20"/>
    <w:rsid w:val="00C72AC1"/>
    <w:rsid w:val="00C72BBC"/>
    <w:rsid w:val="00C72C7C"/>
    <w:rsid w:val="00C72D2E"/>
    <w:rsid w:val="00C730F5"/>
    <w:rsid w:val="00C7371B"/>
    <w:rsid w:val="00C742C9"/>
    <w:rsid w:val="00C7444D"/>
    <w:rsid w:val="00C74729"/>
    <w:rsid w:val="00C7480D"/>
    <w:rsid w:val="00C74AFA"/>
    <w:rsid w:val="00C74C58"/>
    <w:rsid w:val="00C751D2"/>
    <w:rsid w:val="00C75304"/>
    <w:rsid w:val="00C754FD"/>
    <w:rsid w:val="00C755AF"/>
    <w:rsid w:val="00C7563F"/>
    <w:rsid w:val="00C75960"/>
    <w:rsid w:val="00C75AE4"/>
    <w:rsid w:val="00C75B93"/>
    <w:rsid w:val="00C75C91"/>
    <w:rsid w:val="00C75ECB"/>
    <w:rsid w:val="00C75F23"/>
    <w:rsid w:val="00C76316"/>
    <w:rsid w:val="00C7659C"/>
    <w:rsid w:val="00C76778"/>
    <w:rsid w:val="00C7685C"/>
    <w:rsid w:val="00C76B4B"/>
    <w:rsid w:val="00C76BFF"/>
    <w:rsid w:val="00C76D0A"/>
    <w:rsid w:val="00C771F1"/>
    <w:rsid w:val="00C772A9"/>
    <w:rsid w:val="00C77660"/>
    <w:rsid w:val="00C77846"/>
    <w:rsid w:val="00C77AAD"/>
    <w:rsid w:val="00C77C84"/>
    <w:rsid w:val="00C77FCA"/>
    <w:rsid w:val="00C802A5"/>
    <w:rsid w:val="00C803F1"/>
    <w:rsid w:val="00C804FE"/>
    <w:rsid w:val="00C80586"/>
    <w:rsid w:val="00C80B10"/>
    <w:rsid w:val="00C80C65"/>
    <w:rsid w:val="00C80C93"/>
    <w:rsid w:val="00C80DD9"/>
    <w:rsid w:val="00C80FD5"/>
    <w:rsid w:val="00C81007"/>
    <w:rsid w:val="00C8117C"/>
    <w:rsid w:val="00C81421"/>
    <w:rsid w:val="00C81873"/>
    <w:rsid w:val="00C819A4"/>
    <w:rsid w:val="00C819B1"/>
    <w:rsid w:val="00C81C32"/>
    <w:rsid w:val="00C82005"/>
    <w:rsid w:val="00C82373"/>
    <w:rsid w:val="00C823EF"/>
    <w:rsid w:val="00C82427"/>
    <w:rsid w:val="00C825A4"/>
    <w:rsid w:val="00C82AA4"/>
    <w:rsid w:val="00C82AF2"/>
    <w:rsid w:val="00C82BF9"/>
    <w:rsid w:val="00C82ECF"/>
    <w:rsid w:val="00C832C4"/>
    <w:rsid w:val="00C83558"/>
    <w:rsid w:val="00C8359B"/>
    <w:rsid w:val="00C837E0"/>
    <w:rsid w:val="00C838C0"/>
    <w:rsid w:val="00C839F4"/>
    <w:rsid w:val="00C840CC"/>
    <w:rsid w:val="00C84238"/>
    <w:rsid w:val="00C84304"/>
    <w:rsid w:val="00C843A3"/>
    <w:rsid w:val="00C846AD"/>
    <w:rsid w:val="00C84936"/>
    <w:rsid w:val="00C84BC3"/>
    <w:rsid w:val="00C84E42"/>
    <w:rsid w:val="00C84FC7"/>
    <w:rsid w:val="00C8520C"/>
    <w:rsid w:val="00C8597F"/>
    <w:rsid w:val="00C85C85"/>
    <w:rsid w:val="00C85EFE"/>
    <w:rsid w:val="00C860C9"/>
    <w:rsid w:val="00C8629D"/>
    <w:rsid w:val="00C86434"/>
    <w:rsid w:val="00C865E6"/>
    <w:rsid w:val="00C86680"/>
    <w:rsid w:val="00C869F5"/>
    <w:rsid w:val="00C86ACD"/>
    <w:rsid w:val="00C86B14"/>
    <w:rsid w:val="00C86C49"/>
    <w:rsid w:val="00C87044"/>
    <w:rsid w:val="00C872C9"/>
    <w:rsid w:val="00C87450"/>
    <w:rsid w:val="00C87513"/>
    <w:rsid w:val="00C8767C"/>
    <w:rsid w:val="00C876F8"/>
    <w:rsid w:val="00C87881"/>
    <w:rsid w:val="00C87F1A"/>
    <w:rsid w:val="00C902C8"/>
    <w:rsid w:val="00C90770"/>
    <w:rsid w:val="00C9088C"/>
    <w:rsid w:val="00C9099B"/>
    <w:rsid w:val="00C90FF1"/>
    <w:rsid w:val="00C92716"/>
    <w:rsid w:val="00C92885"/>
    <w:rsid w:val="00C92A74"/>
    <w:rsid w:val="00C92AA4"/>
    <w:rsid w:val="00C92CAB"/>
    <w:rsid w:val="00C92DD7"/>
    <w:rsid w:val="00C931CE"/>
    <w:rsid w:val="00C935F2"/>
    <w:rsid w:val="00C93857"/>
    <w:rsid w:val="00C93B7B"/>
    <w:rsid w:val="00C93E78"/>
    <w:rsid w:val="00C93EAD"/>
    <w:rsid w:val="00C94287"/>
    <w:rsid w:val="00C94493"/>
    <w:rsid w:val="00C944DE"/>
    <w:rsid w:val="00C944EB"/>
    <w:rsid w:val="00C94E09"/>
    <w:rsid w:val="00C94EAE"/>
    <w:rsid w:val="00C94F5B"/>
    <w:rsid w:val="00C95240"/>
    <w:rsid w:val="00C9560E"/>
    <w:rsid w:val="00C95A67"/>
    <w:rsid w:val="00C95D4D"/>
    <w:rsid w:val="00C95DF6"/>
    <w:rsid w:val="00C961A7"/>
    <w:rsid w:val="00C964B7"/>
    <w:rsid w:val="00C9659F"/>
    <w:rsid w:val="00C96805"/>
    <w:rsid w:val="00C96BDD"/>
    <w:rsid w:val="00C97525"/>
    <w:rsid w:val="00C9760E"/>
    <w:rsid w:val="00C97E67"/>
    <w:rsid w:val="00CA0218"/>
    <w:rsid w:val="00CA0226"/>
    <w:rsid w:val="00CA03EE"/>
    <w:rsid w:val="00CA0823"/>
    <w:rsid w:val="00CA09F8"/>
    <w:rsid w:val="00CA0B3B"/>
    <w:rsid w:val="00CA0E8D"/>
    <w:rsid w:val="00CA1236"/>
    <w:rsid w:val="00CA129E"/>
    <w:rsid w:val="00CA1890"/>
    <w:rsid w:val="00CA1D20"/>
    <w:rsid w:val="00CA216C"/>
    <w:rsid w:val="00CA2262"/>
    <w:rsid w:val="00CA29D6"/>
    <w:rsid w:val="00CA2BDA"/>
    <w:rsid w:val="00CA2E60"/>
    <w:rsid w:val="00CA324F"/>
    <w:rsid w:val="00CA325A"/>
    <w:rsid w:val="00CA3984"/>
    <w:rsid w:val="00CA3BA6"/>
    <w:rsid w:val="00CA3BB7"/>
    <w:rsid w:val="00CA3E9E"/>
    <w:rsid w:val="00CA4197"/>
    <w:rsid w:val="00CA4206"/>
    <w:rsid w:val="00CA4287"/>
    <w:rsid w:val="00CA44E1"/>
    <w:rsid w:val="00CA4880"/>
    <w:rsid w:val="00CA4A7A"/>
    <w:rsid w:val="00CA4B1B"/>
    <w:rsid w:val="00CA4CCB"/>
    <w:rsid w:val="00CA4FFE"/>
    <w:rsid w:val="00CA51B1"/>
    <w:rsid w:val="00CA5233"/>
    <w:rsid w:val="00CA5435"/>
    <w:rsid w:val="00CA5E2F"/>
    <w:rsid w:val="00CA5F21"/>
    <w:rsid w:val="00CA61C6"/>
    <w:rsid w:val="00CA62FE"/>
    <w:rsid w:val="00CA6341"/>
    <w:rsid w:val="00CA635B"/>
    <w:rsid w:val="00CA66F2"/>
    <w:rsid w:val="00CA671F"/>
    <w:rsid w:val="00CA68DE"/>
    <w:rsid w:val="00CA6AB5"/>
    <w:rsid w:val="00CA6F0A"/>
    <w:rsid w:val="00CA744D"/>
    <w:rsid w:val="00CA793F"/>
    <w:rsid w:val="00CA7ACF"/>
    <w:rsid w:val="00CA7C55"/>
    <w:rsid w:val="00CA7F32"/>
    <w:rsid w:val="00CB05A0"/>
    <w:rsid w:val="00CB077C"/>
    <w:rsid w:val="00CB089E"/>
    <w:rsid w:val="00CB09DE"/>
    <w:rsid w:val="00CB0E81"/>
    <w:rsid w:val="00CB1072"/>
    <w:rsid w:val="00CB1BC2"/>
    <w:rsid w:val="00CB1C61"/>
    <w:rsid w:val="00CB1F75"/>
    <w:rsid w:val="00CB2062"/>
    <w:rsid w:val="00CB22A0"/>
    <w:rsid w:val="00CB280E"/>
    <w:rsid w:val="00CB2A42"/>
    <w:rsid w:val="00CB2D28"/>
    <w:rsid w:val="00CB30D0"/>
    <w:rsid w:val="00CB31BF"/>
    <w:rsid w:val="00CB3379"/>
    <w:rsid w:val="00CB34E8"/>
    <w:rsid w:val="00CB356D"/>
    <w:rsid w:val="00CB35D4"/>
    <w:rsid w:val="00CB3856"/>
    <w:rsid w:val="00CB3A66"/>
    <w:rsid w:val="00CB3BE1"/>
    <w:rsid w:val="00CB3BF2"/>
    <w:rsid w:val="00CB3DA8"/>
    <w:rsid w:val="00CB3F6E"/>
    <w:rsid w:val="00CB40E2"/>
    <w:rsid w:val="00CB4144"/>
    <w:rsid w:val="00CB45BE"/>
    <w:rsid w:val="00CB46B1"/>
    <w:rsid w:val="00CB47B1"/>
    <w:rsid w:val="00CB49A8"/>
    <w:rsid w:val="00CB4D20"/>
    <w:rsid w:val="00CB4E32"/>
    <w:rsid w:val="00CB4F1F"/>
    <w:rsid w:val="00CB4FE2"/>
    <w:rsid w:val="00CB514D"/>
    <w:rsid w:val="00CB52B0"/>
    <w:rsid w:val="00CB5648"/>
    <w:rsid w:val="00CB56AB"/>
    <w:rsid w:val="00CB5885"/>
    <w:rsid w:val="00CB5A7F"/>
    <w:rsid w:val="00CB5AB6"/>
    <w:rsid w:val="00CB5CB8"/>
    <w:rsid w:val="00CB5CF5"/>
    <w:rsid w:val="00CB5E23"/>
    <w:rsid w:val="00CB5F9D"/>
    <w:rsid w:val="00CB60A2"/>
    <w:rsid w:val="00CB628D"/>
    <w:rsid w:val="00CB6786"/>
    <w:rsid w:val="00CB68A2"/>
    <w:rsid w:val="00CB68D9"/>
    <w:rsid w:val="00CB6958"/>
    <w:rsid w:val="00CB6993"/>
    <w:rsid w:val="00CB6C5F"/>
    <w:rsid w:val="00CB6CF4"/>
    <w:rsid w:val="00CB6D84"/>
    <w:rsid w:val="00CB6ED9"/>
    <w:rsid w:val="00CB718B"/>
    <w:rsid w:val="00CB72BA"/>
    <w:rsid w:val="00CB74C0"/>
    <w:rsid w:val="00CB7564"/>
    <w:rsid w:val="00CB7693"/>
    <w:rsid w:val="00CB7947"/>
    <w:rsid w:val="00CB7BCA"/>
    <w:rsid w:val="00CB7DB0"/>
    <w:rsid w:val="00CB7F59"/>
    <w:rsid w:val="00CC0259"/>
    <w:rsid w:val="00CC02B9"/>
    <w:rsid w:val="00CC0439"/>
    <w:rsid w:val="00CC0441"/>
    <w:rsid w:val="00CC0D28"/>
    <w:rsid w:val="00CC0F3D"/>
    <w:rsid w:val="00CC139B"/>
    <w:rsid w:val="00CC1594"/>
    <w:rsid w:val="00CC16AC"/>
    <w:rsid w:val="00CC1BA7"/>
    <w:rsid w:val="00CC1BB9"/>
    <w:rsid w:val="00CC1C2E"/>
    <w:rsid w:val="00CC2017"/>
    <w:rsid w:val="00CC228B"/>
    <w:rsid w:val="00CC288D"/>
    <w:rsid w:val="00CC3127"/>
    <w:rsid w:val="00CC3234"/>
    <w:rsid w:val="00CC3464"/>
    <w:rsid w:val="00CC34EC"/>
    <w:rsid w:val="00CC36E3"/>
    <w:rsid w:val="00CC3D9E"/>
    <w:rsid w:val="00CC3F3C"/>
    <w:rsid w:val="00CC3FF1"/>
    <w:rsid w:val="00CC4439"/>
    <w:rsid w:val="00CC4533"/>
    <w:rsid w:val="00CC45CA"/>
    <w:rsid w:val="00CC460A"/>
    <w:rsid w:val="00CC46B8"/>
    <w:rsid w:val="00CC46C5"/>
    <w:rsid w:val="00CC4BA7"/>
    <w:rsid w:val="00CC4CE8"/>
    <w:rsid w:val="00CC5052"/>
    <w:rsid w:val="00CC562E"/>
    <w:rsid w:val="00CC580F"/>
    <w:rsid w:val="00CC58D7"/>
    <w:rsid w:val="00CC5DDA"/>
    <w:rsid w:val="00CC5E08"/>
    <w:rsid w:val="00CC5E18"/>
    <w:rsid w:val="00CC5F85"/>
    <w:rsid w:val="00CC5FBD"/>
    <w:rsid w:val="00CC5FE6"/>
    <w:rsid w:val="00CC660C"/>
    <w:rsid w:val="00CC6629"/>
    <w:rsid w:val="00CC68A9"/>
    <w:rsid w:val="00CC6A55"/>
    <w:rsid w:val="00CC6CB6"/>
    <w:rsid w:val="00CC6E42"/>
    <w:rsid w:val="00CC6F81"/>
    <w:rsid w:val="00CC70DF"/>
    <w:rsid w:val="00CC736F"/>
    <w:rsid w:val="00CC7AAA"/>
    <w:rsid w:val="00CC7C61"/>
    <w:rsid w:val="00CC7DE9"/>
    <w:rsid w:val="00CC7F63"/>
    <w:rsid w:val="00CD0146"/>
    <w:rsid w:val="00CD023B"/>
    <w:rsid w:val="00CD032E"/>
    <w:rsid w:val="00CD0487"/>
    <w:rsid w:val="00CD079A"/>
    <w:rsid w:val="00CD0864"/>
    <w:rsid w:val="00CD0A1B"/>
    <w:rsid w:val="00CD0BF5"/>
    <w:rsid w:val="00CD1067"/>
    <w:rsid w:val="00CD1110"/>
    <w:rsid w:val="00CD12D9"/>
    <w:rsid w:val="00CD1305"/>
    <w:rsid w:val="00CD137A"/>
    <w:rsid w:val="00CD13A0"/>
    <w:rsid w:val="00CD14E4"/>
    <w:rsid w:val="00CD1602"/>
    <w:rsid w:val="00CD16AE"/>
    <w:rsid w:val="00CD1C29"/>
    <w:rsid w:val="00CD1C3D"/>
    <w:rsid w:val="00CD1EB6"/>
    <w:rsid w:val="00CD1EE9"/>
    <w:rsid w:val="00CD2085"/>
    <w:rsid w:val="00CD23D9"/>
    <w:rsid w:val="00CD2800"/>
    <w:rsid w:val="00CD2C4C"/>
    <w:rsid w:val="00CD2CDD"/>
    <w:rsid w:val="00CD2F1D"/>
    <w:rsid w:val="00CD30AD"/>
    <w:rsid w:val="00CD31E2"/>
    <w:rsid w:val="00CD325F"/>
    <w:rsid w:val="00CD338C"/>
    <w:rsid w:val="00CD3460"/>
    <w:rsid w:val="00CD36B6"/>
    <w:rsid w:val="00CD3A3C"/>
    <w:rsid w:val="00CD3F70"/>
    <w:rsid w:val="00CD3FBE"/>
    <w:rsid w:val="00CD49C1"/>
    <w:rsid w:val="00CD4CC0"/>
    <w:rsid w:val="00CD4CDA"/>
    <w:rsid w:val="00CD4E48"/>
    <w:rsid w:val="00CD513F"/>
    <w:rsid w:val="00CD5293"/>
    <w:rsid w:val="00CD5496"/>
    <w:rsid w:val="00CD583B"/>
    <w:rsid w:val="00CD585D"/>
    <w:rsid w:val="00CD5B12"/>
    <w:rsid w:val="00CD5CA2"/>
    <w:rsid w:val="00CD5E55"/>
    <w:rsid w:val="00CD60AB"/>
    <w:rsid w:val="00CD60CD"/>
    <w:rsid w:val="00CD693F"/>
    <w:rsid w:val="00CD69E1"/>
    <w:rsid w:val="00CD6C6C"/>
    <w:rsid w:val="00CD6C6D"/>
    <w:rsid w:val="00CD6D56"/>
    <w:rsid w:val="00CD6FD9"/>
    <w:rsid w:val="00CD762A"/>
    <w:rsid w:val="00CD767D"/>
    <w:rsid w:val="00CE02A3"/>
    <w:rsid w:val="00CE038A"/>
    <w:rsid w:val="00CE03D7"/>
    <w:rsid w:val="00CE06FD"/>
    <w:rsid w:val="00CE085B"/>
    <w:rsid w:val="00CE08A4"/>
    <w:rsid w:val="00CE0B4E"/>
    <w:rsid w:val="00CE0BA9"/>
    <w:rsid w:val="00CE0D9F"/>
    <w:rsid w:val="00CE16E2"/>
    <w:rsid w:val="00CE1998"/>
    <w:rsid w:val="00CE1CC8"/>
    <w:rsid w:val="00CE20B0"/>
    <w:rsid w:val="00CE2674"/>
    <w:rsid w:val="00CE28B9"/>
    <w:rsid w:val="00CE292C"/>
    <w:rsid w:val="00CE2A39"/>
    <w:rsid w:val="00CE33E9"/>
    <w:rsid w:val="00CE3404"/>
    <w:rsid w:val="00CE3504"/>
    <w:rsid w:val="00CE382F"/>
    <w:rsid w:val="00CE3987"/>
    <w:rsid w:val="00CE3E8E"/>
    <w:rsid w:val="00CE3F2D"/>
    <w:rsid w:val="00CE4186"/>
    <w:rsid w:val="00CE434E"/>
    <w:rsid w:val="00CE460A"/>
    <w:rsid w:val="00CE478F"/>
    <w:rsid w:val="00CE49D0"/>
    <w:rsid w:val="00CE49FB"/>
    <w:rsid w:val="00CE4B3E"/>
    <w:rsid w:val="00CE4BF5"/>
    <w:rsid w:val="00CE5581"/>
    <w:rsid w:val="00CE5634"/>
    <w:rsid w:val="00CE5EC8"/>
    <w:rsid w:val="00CE5F18"/>
    <w:rsid w:val="00CE5F52"/>
    <w:rsid w:val="00CE60F9"/>
    <w:rsid w:val="00CE6137"/>
    <w:rsid w:val="00CE6402"/>
    <w:rsid w:val="00CE65B1"/>
    <w:rsid w:val="00CE68AF"/>
    <w:rsid w:val="00CE692E"/>
    <w:rsid w:val="00CE6E3F"/>
    <w:rsid w:val="00CE709E"/>
    <w:rsid w:val="00CE70EA"/>
    <w:rsid w:val="00CE71D1"/>
    <w:rsid w:val="00CE72A9"/>
    <w:rsid w:val="00CE7416"/>
    <w:rsid w:val="00CE76F7"/>
    <w:rsid w:val="00CE7D2E"/>
    <w:rsid w:val="00CE7DD8"/>
    <w:rsid w:val="00CF03E2"/>
    <w:rsid w:val="00CF05EC"/>
    <w:rsid w:val="00CF0756"/>
    <w:rsid w:val="00CF0883"/>
    <w:rsid w:val="00CF091F"/>
    <w:rsid w:val="00CF0A93"/>
    <w:rsid w:val="00CF0AF4"/>
    <w:rsid w:val="00CF0E92"/>
    <w:rsid w:val="00CF0EC5"/>
    <w:rsid w:val="00CF0EF0"/>
    <w:rsid w:val="00CF0FF5"/>
    <w:rsid w:val="00CF1014"/>
    <w:rsid w:val="00CF1761"/>
    <w:rsid w:val="00CF18A4"/>
    <w:rsid w:val="00CF18B5"/>
    <w:rsid w:val="00CF1D2D"/>
    <w:rsid w:val="00CF21AE"/>
    <w:rsid w:val="00CF2234"/>
    <w:rsid w:val="00CF22AD"/>
    <w:rsid w:val="00CF28E5"/>
    <w:rsid w:val="00CF2E8E"/>
    <w:rsid w:val="00CF2F29"/>
    <w:rsid w:val="00CF2FD3"/>
    <w:rsid w:val="00CF31EA"/>
    <w:rsid w:val="00CF3557"/>
    <w:rsid w:val="00CF388A"/>
    <w:rsid w:val="00CF3983"/>
    <w:rsid w:val="00CF3F2C"/>
    <w:rsid w:val="00CF3F46"/>
    <w:rsid w:val="00CF40E8"/>
    <w:rsid w:val="00CF4577"/>
    <w:rsid w:val="00CF466B"/>
    <w:rsid w:val="00CF477D"/>
    <w:rsid w:val="00CF49B0"/>
    <w:rsid w:val="00CF4E89"/>
    <w:rsid w:val="00CF4FC1"/>
    <w:rsid w:val="00CF50B4"/>
    <w:rsid w:val="00CF534B"/>
    <w:rsid w:val="00CF564B"/>
    <w:rsid w:val="00CF5B5A"/>
    <w:rsid w:val="00CF5C90"/>
    <w:rsid w:val="00CF6162"/>
    <w:rsid w:val="00CF62D4"/>
    <w:rsid w:val="00CF6479"/>
    <w:rsid w:val="00CF6986"/>
    <w:rsid w:val="00CF6C6A"/>
    <w:rsid w:val="00CF6ECE"/>
    <w:rsid w:val="00CF6F5B"/>
    <w:rsid w:val="00CF7857"/>
    <w:rsid w:val="00CF7ABE"/>
    <w:rsid w:val="00CF7D03"/>
    <w:rsid w:val="00D00136"/>
    <w:rsid w:val="00D00A9A"/>
    <w:rsid w:val="00D00F92"/>
    <w:rsid w:val="00D018D2"/>
    <w:rsid w:val="00D01DAF"/>
    <w:rsid w:val="00D01E9D"/>
    <w:rsid w:val="00D02070"/>
    <w:rsid w:val="00D02307"/>
    <w:rsid w:val="00D023B5"/>
    <w:rsid w:val="00D025E7"/>
    <w:rsid w:val="00D0275B"/>
    <w:rsid w:val="00D028B4"/>
    <w:rsid w:val="00D02A4B"/>
    <w:rsid w:val="00D02ADA"/>
    <w:rsid w:val="00D02D7E"/>
    <w:rsid w:val="00D031E1"/>
    <w:rsid w:val="00D0335D"/>
    <w:rsid w:val="00D044DA"/>
    <w:rsid w:val="00D046C3"/>
    <w:rsid w:val="00D0477D"/>
    <w:rsid w:val="00D047AB"/>
    <w:rsid w:val="00D04800"/>
    <w:rsid w:val="00D04983"/>
    <w:rsid w:val="00D04E05"/>
    <w:rsid w:val="00D04FC1"/>
    <w:rsid w:val="00D05381"/>
    <w:rsid w:val="00D05635"/>
    <w:rsid w:val="00D05754"/>
    <w:rsid w:val="00D057F6"/>
    <w:rsid w:val="00D059B9"/>
    <w:rsid w:val="00D06111"/>
    <w:rsid w:val="00D068D1"/>
    <w:rsid w:val="00D06A20"/>
    <w:rsid w:val="00D06B48"/>
    <w:rsid w:val="00D06F1C"/>
    <w:rsid w:val="00D0711A"/>
    <w:rsid w:val="00D0751D"/>
    <w:rsid w:val="00D07AC8"/>
    <w:rsid w:val="00D07F8C"/>
    <w:rsid w:val="00D0ECF5"/>
    <w:rsid w:val="00D103AD"/>
    <w:rsid w:val="00D10440"/>
    <w:rsid w:val="00D10829"/>
    <w:rsid w:val="00D10881"/>
    <w:rsid w:val="00D108AE"/>
    <w:rsid w:val="00D108DD"/>
    <w:rsid w:val="00D109D2"/>
    <w:rsid w:val="00D10EEA"/>
    <w:rsid w:val="00D10FDB"/>
    <w:rsid w:val="00D11137"/>
    <w:rsid w:val="00D11551"/>
    <w:rsid w:val="00D117DA"/>
    <w:rsid w:val="00D11AF2"/>
    <w:rsid w:val="00D123A8"/>
    <w:rsid w:val="00D125A7"/>
    <w:rsid w:val="00D1291C"/>
    <w:rsid w:val="00D129CD"/>
    <w:rsid w:val="00D12ACE"/>
    <w:rsid w:val="00D12B42"/>
    <w:rsid w:val="00D12CC0"/>
    <w:rsid w:val="00D1301F"/>
    <w:rsid w:val="00D1317F"/>
    <w:rsid w:val="00D131E7"/>
    <w:rsid w:val="00D131ED"/>
    <w:rsid w:val="00D134EF"/>
    <w:rsid w:val="00D138B7"/>
    <w:rsid w:val="00D13B5D"/>
    <w:rsid w:val="00D14467"/>
    <w:rsid w:val="00D14B0B"/>
    <w:rsid w:val="00D151A3"/>
    <w:rsid w:val="00D151E8"/>
    <w:rsid w:val="00D153DB"/>
    <w:rsid w:val="00D1555C"/>
    <w:rsid w:val="00D15A9A"/>
    <w:rsid w:val="00D15C0F"/>
    <w:rsid w:val="00D15C23"/>
    <w:rsid w:val="00D15D42"/>
    <w:rsid w:val="00D15EB3"/>
    <w:rsid w:val="00D15EE1"/>
    <w:rsid w:val="00D16429"/>
    <w:rsid w:val="00D16800"/>
    <w:rsid w:val="00D16A94"/>
    <w:rsid w:val="00D16DC3"/>
    <w:rsid w:val="00D16F9F"/>
    <w:rsid w:val="00D1756E"/>
    <w:rsid w:val="00D1773D"/>
    <w:rsid w:val="00D17A7E"/>
    <w:rsid w:val="00D17D32"/>
    <w:rsid w:val="00D17EBE"/>
    <w:rsid w:val="00D201E3"/>
    <w:rsid w:val="00D205E9"/>
    <w:rsid w:val="00D20D90"/>
    <w:rsid w:val="00D21401"/>
    <w:rsid w:val="00D2179B"/>
    <w:rsid w:val="00D21819"/>
    <w:rsid w:val="00D21A03"/>
    <w:rsid w:val="00D21E1E"/>
    <w:rsid w:val="00D21F43"/>
    <w:rsid w:val="00D21F47"/>
    <w:rsid w:val="00D2207D"/>
    <w:rsid w:val="00D2255D"/>
    <w:rsid w:val="00D2258C"/>
    <w:rsid w:val="00D226F1"/>
    <w:rsid w:val="00D2286E"/>
    <w:rsid w:val="00D229A7"/>
    <w:rsid w:val="00D22ED4"/>
    <w:rsid w:val="00D23180"/>
    <w:rsid w:val="00D233CE"/>
    <w:rsid w:val="00D233E4"/>
    <w:rsid w:val="00D2343C"/>
    <w:rsid w:val="00D23445"/>
    <w:rsid w:val="00D23608"/>
    <w:rsid w:val="00D23724"/>
    <w:rsid w:val="00D23B69"/>
    <w:rsid w:val="00D23D30"/>
    <w:rsid w:val="00D23F68"/>
    <w:rsid w:val="00D24BC4"/>
    <w:rsid w:val="00D24FFE"/>
    <w:rsid w:val="00D254B2"/>
    <w:rsid w:val="00D255B1"/>
    <w:rsid w:val="00D2564D"/>
    <w:rsid w:val="00D25796"/>
    <w:rsid w:val="00D257B5"/>
    <w:rsid w:val="00D25B58"/>
    <w:rsid w:val="00D25C03"/>
    <w:rsid w:val="00D25D73"/>
    <w:rsid w:val="00D25D78"/>
    <w:rsid w:val="00D25DBF"/>
    <w:rsid w:val="00D262D0"/>
    <w:rsid w:val="00D2651D"/>
    <w:rsid w:val="00D267C0"/>
    <w:rsid w:val="00D2681A"/>
    <w:rsid w:val="00D26B1D"/>
    <w:rsid w:val="00D26EC0"/>
    <w:rsid w:val="00D26EFA"/>
    <w:rsid w:val="00D27203"/>
    <w:rsid w:val="00D27244"/>
    <w:rsid w:val="00D27982"/>
    <w:rsid w:val="00D279B5"/>
    <w:rsid w:val="00D279D3"/>
    <w:rsid w:val="00D27C4D"/>
    <w:rsid w:val="00D27D5D"/>
    <w:rsid w:val="00D302ED"/>
    <w:rsid w:val="00D3045B"/>
    <w:rsid w:val="00D3069A"/>
    <w:rsid w:val="00D3086A"/>
    <w:rsid w:val="00D3096F"/>
    <w:rsid w:val="00D30E82"/>
    <w:rsid w:val="00D3108A"/>
    <w:rsid w:val="00D3123B"/>
    <w:rsid w:val="00D317F4"/>
    <w:rsid w:val="00D31CB1"/>
    <w:rsid w:val="00D31D5C"/>
    <w:rsid w:val="00D322CA"/>
    <w:rsid w:val="00D328A7"/>
    <w:rsid w:val="00D32AA8"/>
    <w:rsid w:val="00D32C80"/>
    <w:rsid w:val="00D32E64"/>
    <w:rsid w:val="00D32EAB"/>
    <w:rsid w:val="00D331ED"/>
    <w:rsid w:val="00D335E9"/>
    <w:rsid w:val="00D33604"/>
    <w:rsid w:val="00D33659"/>
    <w:rsid w:val="00D33D55"/>
    <w:rsid w:val="00D33E34"/>
    <w:rsid w:val="00D3414E"/>
    <w:rsid w:val="00D34252"/>
    <w:rsid w:val="00D342D0"/>
    <w:rsid w:val="00D34540"/>
    <w:rsid w:val="00D346B8"/>
    <w:rsid w:val="00D34888"/>
    <w:rsid w:val="00D34AB8"/>
    <w:rsid w:val="00D34D2F"/>
    <w:rsid w:val="00D350B1"/>
    <w:rsid w:val="00D3535A"/>
    <w:rsid w:val="00D3587E"/>
    <w:rsid w:val="00D35CF7"/>
    <w:rsid w:val="00D35CFF"/>
    <w:rsid w:val="00D35F3F"/>
    <w:rsid w:val="00D35FE6"/>
    <w:rsid w:val="00D360A8"/>
    <w:rsid w:val="00D363FC"/>
    <w:rsid w:val="00D3664B"/>
    <w:rsid w:val="00D367AE"/>
    <w:rsid w:val="00D36836"/>
    <w:rsid w:val="00D36C48"/>
    <w:rsid w:val="00D37129"/>
    <w:rsid w:val="00D3750E"/>
    <w:rsid w:val="00D37615"/>
    <w:rsid w:val="00D3761F"/>
    <w:rsid w:val="00D377FA"/>
    <w:rsid w:val="00D378EA"/>
    <w:rsid w:val="00D37903"/>
    <w:rsid w:val="00D37A0F"/>
    <w:rsid w:val="00D37CB0"/>
    <w:rsid w:val="00D37E21"/>
    <w:rsid w:val="00D40034"/>
    <w:rsid w:val="00D4009E"/>
    <w:rsid w:val="00D402BB"/>
    <w:rsid w:val="00D4054B"/>
    <w:rsid w:val="00D40988"/>
    <w:rsid w:val="00D409C3"/>
    <w:rsid w:val="00D409D5"/>
    <w:rsid w:val="00D40AA0"/>
    <w:rsid w:val="00D40CD3"/>
    <w:rsid w:val="00D40D18"/>
    <w:rsid w:val="00D40FFB"/>
    <w:rsid w:val="00D411B2"/>
    <w:rsid w:val="00D4162C"/>
    <w:rsid w:val="00D417F8"/>
    <w:rsid w:val="00D41866"/>
    <w:rsid w:val="00D41C6E"/>
    <w:rsid w:val="00D41CBA"/>
    <w:rsid w:val="00D41D6C"/>
    <w:rsid w:val="00D4205B"/>
    <w:rsid w:val="00D42106"/>
    <w:rsid w:val="00D42152"/>
    <w:rsid w:val="00D4215E"/>
    <w:rsid w:val="00D42161"/>
    <w:rsid w:val="00D42342"/>
    <w:rsid w:val="00D425D2"/>
    <w:rsid w:val="00D42771"/>
    <w:rsid w:val="00D429D5"/>
    <w:rsid w:val="00D429E5"/>
    <w:rsid w:val="00D42BC9"/>
    <w:rsid w:val="00D42D17"/>
    <w:rsid w:val="00D430B4"/>
    <w:rsid w:val="00D431E2"/>
    <w:rsid w:val="00D432D3"/>
    <w:rsid w:val="00D438B6"/>
    <w:rsid w:val="00D439F2"/>
    <w:rsid w:val="00D43E8B"/>
    <w:rsid w:val="00D4401B"/>
    <w:rsid w:val="00D4412C"/>
    <w:rsid w:val="00D44404"/>
    <w:rsid w:val="00D44533"/>
    <w:rsid w:val="00D446B8"/>
    <w:rsid w:val="00D4476B"/>
    <w:rsid w:val="00D4487F"/>
    <w:rsid w:val="00D44934"/>
    <w:rsid w:val="00D44A5E"/>
    <w:rsid w:val="00D44AB0"/>
    <w:rsid w:val="00D44BA4"/>
    <w:rsid w:val="00D44F60"/>
    <w:rsid w:val="00D45337"/>
    <w:rsid w:val="00D456B1"/>
    <w:rsid w:val="00D45725"/>
    <w:rsid w:val="00D458D5"/>
    <w:rsid w:val="00D45DB4"/>
    <w:rsid w:val="00D4611B"/>
    <w:rsid w:val="00D46652"/>
    <w:rsid w:val="00D468A4"/>
    <w:rsid w:val="00D468FF"/>
    <w:rsid w:val="00D46903"/>
    <w:rsid w:val="00D46D5D"/>
    <w:rsid w:val="00D46DC6"/>
    <w:rsid w:val="00D46E6D"/>
    <w:rsid w:val="00D47059"/>
    <w:rsid w:val="00D47206"/>
    <w:rsid w:val="00D47275"/>
    <w:rsid w:val="00D478F2"/>
    <w:rsid w:val="00D47E71"/>
    <w:rsid w:val="00D50038"/>
    <w:rsid w:val="00D50398"/>
    <w:rsid w:val="00D5086D"/>
    <w:rsid w:val="00D50B2D"/>
    <w:rsid w:val="00D50B94"/>
    <w:rsid w:val="00D50C55"/>
    <w:rsid w:val="00D50E15"/>
    <w:rsid w:val="00D50EC3"/>
    <w:rsid w:val="00D51094"/>
    <w:rsid w:val="00D510C7"/>
    <w:rsid w:val="00D512A8"/>
    <w:rsid w:val="00D51B3F"/>
    <w:rsid w:val="00D51F68"/>
    <w:rsid w:val="00D52348"/>
    <w:rsid w:val="00D523BB"/>
    <w:rsid w:val="00D523FE"/>
    <w:rsid w:val="00D52741"/>
    <w:rsid w:val="00D52808"/>
    <w:rsid w:val="00D52A4A"/>
    <w:rsid w:val="00D52C09"/>
    <w:rsid w:val="00D52EC8"/>
    <w:rsid w:val="00D52F29"/>
    <w:rsid w:val="00D5323B"/>
    <w:rsid w:val="00D536F1"/>
    <w:rsid w:val="00D5370D"/>
    <w:rsid w:val="00D53921"/>
    <w:rsid w:val="00D53CD3"/>
    <w:rsid w:val="00D54039"/>
    <w:rsid w:val="00D540D8"/>
    <w:rsid w:val="00D54227"/>
    <w:rsid w:val="00D54259"/>
    <w:rsid w:val="00D54398"/>
    <w:rsid w:val="00D543A7"/>
    <w:rsid w:val="00D545EE"/>
    <w:rsid w:val="00D54685"/>
    <w:rsid w:val="00D54B56"/>
    <w:rsid w:val="00D54BE5"/>
    <w:rsid w:val="00D54CE0"/>
    <w:rsid w:val="00D54F25"/>
    <w:rsid w:val="00D55282"/>
    <w:rsid w:val="00D555DF"/>
    <w:rsid w:val="00D55681"/>
    <w:rsid w:val="00D55696"/>
    <w:rsid w:val="00D55790"/>
    <w:rsid w:val="00D557B7"/>
    <w:rsid w:val="00D55C1F"/>
    <w:rsid w:val="00D560E6"/>
    <w:rsid w:val="00D56263"/>
    <w:rsid w:val="00D5631A"/>
    <w:rsid w:val="00D56482"/>
    <w:rsid w:val="00D5648A"/>
    <w:rsid w:val="00D5653B"/>
    <w:rsid w:val="00D5668B"/>
    <w:rsid w:val="00D566A1"/>
    <w:rsid w:val="00D567A7"/>
    <w:rsid w:val="00D56881"/>
    <w:rsid w:val="00D56EEE"/>
    <w:rsid w:val="00D5712D"/>
    <w:rsid w:val="00D571FA"/>
    <w:rsid w:val="00D57507"/>
    <w:rsid w:val="00D57541"/>
    <w:rsid w:val="00D577C1"/>
    <w:rsid w:val="00D57BC6"/>
    <w:rsid w:val="00D57DF7"/>
    <w:rsid w:val="00D6092A"/>
    <w:rsid w:val="00D60AB0"/>
    <w:rsid w:val="00D60BB6"/>
    <w:rsid w:val="00D60BE0"/>
    <w:rsid w:val="00D61084"/>
    <w:rsid w:val="00D612E3"/>
    <w:rsid w:val="00D6155A"/>
    <w:rsid w:val="00D61F47"/>
    <w:rsid w:val="00D62077"/>
    <w:rsid w:val="00D62179"/>
    <w:rsid w:val="00D62371"/>
    <w:rsid w:val="00D635F0"/>
    <w:rsid w:val="00D63C16"/>
    <w:rsid w:val="00D63CC1"/>
    <w:rsid w:val="00D641B7"/>
    <w:rsid w:val="00D64328"/>
    <w:rsid w:val="00D64471"/>
    <w:rsid w:val="00D646D2"/>
    <w:rsid w:val="00D64AD1"/>
    <w:rsid w:val="00D64B0A"/>
    <w:rsid w:val="00D64C7B"/>
    <w:rsid w:val="00D64E02"/>
    <w:rsid w:val="00D64F34"/>
    <w:rsid w:val="00D652BF"/>
    <w:rsid w:val="00D6535F"/>
    <w:rsid w:val="00D655BB"/>
    <w:rsid w:val="00D6584A"/>
    <w:rsid w:val="00D65881"/>
    <w:rsid w:val="00D65CD7"/>
    <w:rsid w:val="00D65F35"/>
    <w:rsid w:val="00D65FD1"/>
    <w:rsid w:val="00D667EE"/>
    <w:rsid w:val="00D6705B"/>
    <w:rsid w:val="00D6705D"/>
    <w:rsid w:val="00D6712D"/>
    <w:rsid w:val="00D67285"/>
    <w:rsid w:val="00D67447"/>
    <w:rsid w:val="00D67EAC"/>
    <w:rsid w:val="00D7002F"/>
    <w:rsid w:val="00D7003E"/>
    <w:rsid w:val="00D70530"/>
    <w:rsid w:val="00D7077F"/>
    <w:rsid w:val="00D70950"/>
    <w:rsid w:val="00D70B82"/>
    <w:rsid w:val="00D70C9B"/>
    <w:rsid w:val="00D70DB1"/>
    <w:rsid w:val="00D71401"/>
    <w:rsid w:val="00D71893"/>
    <w:rsid w:val="00D7209C"/>
    <w:rsid w:val="00D72307"/>
    <w:rsid w:val="00D726D7"/>
    <w:rsid w:val="00D72794"/>
    <w:rsid w:val="00D727EA"/>
    <w:rsid w:val="00D72BDE"/>
    <w:rsid w:val="00D72E59"/>
    <w:rsid w:val="00D72ED8"/>
    <w:rsid w:val="00D73010"/>
    <w:rsid w:val="00D736C0"/>
    <w:rsid w:val="00D7381D"/>
    <w:rsid w:val="00D74208"/>
    <w:rsid w:val="00D74409"/>
    <w:rsid w:val="00D74E89"/>
    <w:rsid w:val="00D74FAB"/>
    <w:rsid w:val="00D7519F"/>
    <w:rsid w:val="00D7534E"/>
    <w:rsid w:val="00D753B6"/>
    <w:rsid w:val="00D7541D"/>
    <w:rsid w:val="00D758E7"/>
    <w:rsid w:val="00D75A7D"/>
    <w:rsid w:val="00D75C03"/>
    <w:rsid w:val="00D75CE0"/>
    <w:rsid w:val="00D76040"/>
    <w:rsid w:val="00D76075"/>
    <w:rsid w:val="00D763E4"/>
    <w:rsid w:val="00D7653D"/>
    <w:rsid w:val="00D76818"/>
    <w:rsid w:val="00D76AC3"/>
    <w:rsid w:val="00D76BCE"/>
    <w:rsid w:val="00D76CA7"/>
    <w:rsid w:val="00D76DF1"/>
    <w:rsid w:val="00D76E10"/>
    <w:rsid w:val="00D76E22"/>
    <w:rsid w:val="00D76E3D"/>
    <w:rsid w:val="00D7702C"/>
    <w:rsid w:val="00D77193"/>
    <w:rsid w:val="00D771BA"/>
    <w:rsid w:val="00D777D9"/>
    <w:rsid w:val="00D777FD"/>
    <w:rsid w:val="00D77A04"/>
    <w:rsid w:val="00D77B86"/>
    <w:rsid w:val="00D77C7A"/>
    <w:rsid w:val="00D77DAA"/>
    <w:rsid w:val="00D77E24"/>
    <w:rsid w:val="00D77FA2"/>
    <w:rsid w:val="00D77FC3"/>
    <w:rsid w:val="00D80070"/>
    <w:rsid w:val="00D8034F"/>
    <w:rsid w:val="00D80795"/>
    <w:rsid w:val="00D8089A"/>
    <w:rsid w:val="00D80ABD"/>
    <w:rsid w:val="00D80B75"/>
    <w:rsid w:val="00D80C67"/>
    <w:rsid w:val="00D81139"/>
    <w:rsid w:val="00D8124E"/>
    <w:rsid w:val="00D812B2"/>
    <w:rsid w:val="00D813B3"/>
    <w:rsid w:val="00D8177A"/>
    <w:rsid w:val="00D817C3"/>
    <w:rsid w:val="00D818F9"/>
    <w:rsid w:val="00D81995"/>
    <w:rsid w:val="00D81BB8"/>
    <w:rsid w:val="00D81E62"/>
    <w:rsid w:val="00D81FCC"/>
    <w:rsid w:val="00D8208C"/>
    <w:rsid w:val="00D822C3"/>
    <w:rsid w:val="00D828CB"/>
    <w:rsid w:val="00D82913"/>
    <w:rsid w:val="00D82B34"/>
    <w:rsid w:val="00D82F3F"/>
    <w:rsid w:val="00D83622"/>
    <w:rsid w:val="00D83E12"/>
    <w:rsid w:val="00D840E8"/>
    <w:rsid w:val="00D8411D"/>
    <w:rsid w:val="00D84254"/>
    <w:rsid w:val="00D842EB"/>
    <w:rsid w:val="00D84A42"/>
    <w:rsid w:val="00D84BD9"/>
    <w:rsid w:val="00D84E7E"/>
    <w:rsid w:val="00D85197"/>
    <w:rsid w:val="00D85377"/>
    <w:rsid w:val="00D859EF"/>
    <w:rsid w:val="00D85A02"/>
    <w:rsid w:val="00D85B2E"/>
    <w:rsid w:val="00D85D1D"/>
    <w:rsid w:val="00D86559"/>
    <w:rsid w:val="00D866E7"/>
    <w:rsid w:val="00D86706"/>
    <w:rsid w:val="00D868EE"/>
    <w:rsid w:val="00D86900"/>
    <w:rsid w:val="00D871B6"/>
    <w:rsid w:val="00D871CE"/>
    <w:rsid w:val="00D87312"/>
    <w:rsid w:val="00D87C73"/>
    <w:rsid w:val="00D90157"/>
    <w:rsid w:val="00D904D5"/>
    <w:rsid w:val="00D904DA"/>
    <w:rsid w:val="00D90640"/>
    <w:rsid w:val="00D90776"/>
    <w:rsid w:val="00D907C9"/>
    <w:rsid w:val="00D9084C"/>
    <w:rsid w:val="00D90A4A"/>
    <w:rsid w:val="00D90EA7"/>
    <w:rsid w:val="00D910A5"/>
    <w:rsid w:val="00D91142"/>
    <w:rsid w:val="00D9130C"/>
    <w:rsid w:val="00D91695"/>
    <w:rsid w:val="00D9187B"/>
    <w:rsid w:val="00D91AC4"/>
    <w:rsid w:val="00D9219A"/>
    <w:rsid w:val="00D921D3"/>
    <w:rsid w:val="00D921D8"/>
    <w:rsid w:val="00D92257"/>
    <w:rsid w:val="00D92371"/>
    <w:rsid w:val="00D9273D"/>
    <w:rsid w:val="00D928BE"/>
    <w:rsid w:val="00D9290B"/>
    <w:rsid w:val="00D92DC6"/>
    <w:rsid w:val="00D92DE0"/>
    <w:rsid w:val="00D93954"/>
    <w:rsid w:val="00D93964"/>
    <w:rsid w:val="00D93B00"/>
    <w:rsid w:val="00D9407B"/>
    <w:rsid w:val="00D940D3"/>
    <w:rsid w:val="00D941F2"/>
    <w:rsid w:val="00D9440D"/>
    <w:rsid w:val="00D94618"/>
    <w:rsid w:val="00D946CD"/>
    <w:rsid w:val="00D9479D"/>
    <w:rsid w:val="00D94D82"/>
    <w:rsid w:val="00D9513C"/>
    <w:rsid w:val="00D9517C"/>
    <w:rsid w:val="00D9521F"/>
    <w:rsid w:val="00D95316"/>
    <w:rsid w:val="00D95DAB"/>
    <w:rsid w:val="00D9607A"/>
    <w:rsid w:val="00D9615C"/>
    <w:rsid w:val="00D9623F"/>
    <w:rsid w:val="00D96583"/>
    <w:rsid w:val="00D96CA2"/>
    <w:rsid w:val="00D97124"/>
    <w:rsid w:val="00D9749E"/>
    <w:rsid w:val="00D975A1"/>
    <w:rsid w:val="00D9790D"/>
    <w:rsid w:val="00D97A7D"/>
    <w:rsid w:val="00D97B94"/>
    <w:rsid w:val="00DA0103"/>
    <w:rsid w:val="00DA0388"/>
    <w:rsid w:val="00DA0629"/>
    <w:rsid w:val="00DA08D8"/>
    <w:rsid w:val="00DA08F4"/>
    <w:rsid w:val="00DA09F0"/>
    <w:rsid w:val="00DA0B23"/>
    <w:rsid w:val="00DA0C5C"/>
    <w:rsid w:val="00DA0E80"/>
    <w:rsid w:val="00DA0EDA"/>
    <w:rsid w:val="00DA104D"/>
    <w:rsid w:val="00DA141C"/>
    <w:rsid w:val="00DA16B6"/>
    <w:rsid w:val="00DA18AA"/>
    <w:rsid w:val="00DA1A1C"/>
    <w:rsid w:val="00DA1AAD"/>
    <w:rsid w:val="00DA1AFE"/>
    <w:rsid w:val="00DA1D26"/>
    <w:rsid w:val="00DA215C"/>
    <w:rsid w:val="00DA2435"/>
    <w:rsid w:val="00DA28D5"/>
    <w:rsid w:val="00DA2908"/>
    <w:rsid w:val="00DA309B"/>
    <w:rsid w:val="00DA30AA"/>
    <w:rsid w:val="00DA3480"/>
    <w:rsid w:val="00DA34FB"/>
    <w:rsid w:val="00DA35EA"/>
    <w:rsid w:val="00DA370A"/>
    <w:rsid w:val="00DA377F"/>
    <w:rsid w:val="00DA4136"/>
    <w:rsid w:val="00DA4142"/>
    <w:rsid w:val="00DA42FB"/>
    <w:rsid w:val="00DA4422"/>
    <w:rsid w:val="00DA449B"/>
    <w:rsid w:val="00DA4658"/>
    <w:rsid w:val="00DA4A40"/>
    <w:rsid w:val="00DA4EA9"/>
    <w:rsid w:val="00DA4FEC"/>
    <w:rsid w:val="00DA524F"/>
    <w:rsid w:val="00DA5769"/>
    <w:rsid w:val="00DA5845"/>
    <w:rsid w:val="00DA5AEC"/>
    <w:rsid w:val="00DA5BC1"/>
    <w:rsid w:val="00DA5BE7"/>
    <w:rsid w:val="00DA5D1D"/>
    <w:rsid w:val="00DA5D5F"/>
    <w:rsid w:val="00DA5D7B"/>
    <w:rsid w:val="00DA62DA"/>
    <w:rsid w:val="00DA6330"/>
    <w:rsid w:val="00DA63A9"/>
    <w:rsid w:val="00DA6481"/>
    <w:rsid w:val="00DA659D"/>
    <w:rsid w:val="00DA6ABF"/>
    <w:rsid w:val="00DA6B21"/>
    <w:rsid w:val="00DA6CA5"/>
    <w:rsid w:val="00DA6E0C"/>
    <w:rsid w:val="00DA700B"/>
    <w:rsid w:val="00DA709C"/>
    <w:rsid w:val="00DA7470"/>
    <w:rsid w:val="00DA74C9"/>
    <w:rsid w:val="00DA7539"/>
    <w:rsid w:val="00DA75BE"/>
    <w:rsid w:val="00DA77B3"/>
    <w:rsid w:val="00DA7818"/>
    <w:rsid w:val="00DA7823"/>
    <w:rsid w:val="00DA7BDE"/>
    <w:rsid w:val="00DB0203"/>
    <w:rsid w:val="00DB04BC"/>
    <w:rsid w:val="00DB0635"/>
    <w:rsid w:val="00DB0946"/>
    <w:rsid w:val="00DB0B52"/>
    <w:rsid w:val="00DB0BD7"/>
    <w:rsid w:val="00DB0E0F"/>
    <w:rsid w:val="00DB0FA1"/>
    <w:rsid w:val="00DB0FF8"/>
    <w:rsid w:val="00DB1167"/>
    <w:rsid w:val="00DB16CE"/>
    <w:rsid w:val="00DB1D4B"/>
    <w:rsid w:val="00DB1F1F"/>
    <w:rsid w:val="00DB2273"/>
    <w:rsid w:val="00DB22E9"/>
    <w:rsid w:val="00DB2EE4"/>
    <w:rsid w:val="00DB31A1"/>
    <w:rsid w:val="00DB31E1"/>
    <w:rsid w:val="00DB37F3"/>
    <w:rsid w:val="00DB3821"/>
    <w:rsid w:val="00DB3BE8"/>
    <w:rsid w:val="00DB3DAD"/>
    <w:rsid w:val="00DB44A8"/>
    <w:rsid w:val="00DB44FE"/>
    <w:rsid w:val="00DB455F"/>
    <w:rsid w:val="00DB48DE"/>
    <w:rsid w:val="00DB4DF2"/>
    <w:rsid w:val="00DB4FC4"/>
    <w:rsid w:val="00DB50B0"/>
    <w:rsid w:val="00DB51A0"/>
    <w:rsid w:val="00DB5201"/>
    <w:rsid w:val="00DB52C7"/>
    <w:rsid w:val="00DB5362"/>
    <w:rsid w:val="00DB541D"/>
    <w:rsid w:val="00DB5637"/>
    <w:rsid w:val="00DB58D6"/>
    <w:rsid w:val="00DB5B75"/>
    <w:rsid w:val="00DB5D9F"/>
    <w:rsid w:val="00DB6035"/>
    <w:rsid w:val="00DB62F1"/>
    <w:rsid w:val="00DB6362"/>
    <w:rsid w:val="00DB64D2"/>
    <w:rsid w:val="00DB68C6"/>
    <w:rsid w:val="00DB6A57"/>
    <w:rsid w:val="00DB6BBA"/>
    <w:rsid w:val="00DB6DCF"/>
    <w:rsid w:val="00DB716A"/>
    <w:rsid w:val="00DB745E"/>
    <w:rsid w:val="00DB7550"/>
    <w:rsid w:val="00DB766C"/>
    <w:rsid w:val="00DB768D"/>
    <w:rsid w:val="00DB76BF"/>
    <w:rsid w:val="00DB7ADC"/>
    <w:rsid w:val="00DC039E"/>
    <w:rsid w:val="00DC081A"/>
    <w:rsid w:val="00DC0B72"/>
    <w:rsid w:val="00DC0BE3"/>
    <w:rsid w:val="00DC0CD9"/>
    <w:rsid w:val="00DC0DAA"/>
    <w:rsid w:val="00DC0F02"/>
    <w:rsid w:val="00DC0FB6"/>
    <w:rsid w:val="00DC1213"/>
    <w:rsid w:val="00DC143D"/>
    <w:rsid w:val="00DC1487"/>
    <w:rsid w:val="00DC1568"/>
    <w:rsid w:val="00DC156B"/>
    <w:rsid w:val="00DC15D2"/>
    <w:rsid w:val="00DC1D0C"/>
    <w:rsid w:val="00DC1D9C"/>
    <w:rsid w:val="00DC1FA2"/>
    <w:rsid w:val="00DC2272"/>
    <w:rsid w:val="00DC232D"/>
    <w:rsid w:val="00DC2472"/>
    <w:rsid w:val="00DC2619"/>
    <w:rsid w:val="00DC2716"/>
    <w:rsid w:val="00DC27AA"/>
    <w:rsid w:val="00DC27F6"/>
    <w:rsid w:val="00DC2A7A"/>
    <w:rsid w:val="00DC2CEF"/>
    <w:rsid w:val="00DC2D1E"/>
    <w:rsid w:val="00DC2EFD"/>
    <w:rsid w:val="00DC2F43"/>
    <w:rsid w:val="00DC32B8"/>
    <w:rsid w:val="00DC35FA"/>
    <w:rsid w:val="00DC36BA"/>
    <w:rsid w:val="00DC36E1"/>
    <w:rsid w:val="00DC40F9"/>
    <w:rsid w:val="00DC42BF"/>
    <w:rsid w:val="00DC4469"/>
    <w:rsid w:val="00DC4B52"/>
    <w:rsid w:val="00DC4D7D"/>
    <w:rsid w:val="00DC4E14"/>
    <w:rsid w:val="00DC5137"/>
    <w:rsid w:val="00DC55CA"/>
    <w:rsid w:val="00DC563D"/>
    <w:rsid w:val="00DC58BB"/>
    <w:rsid w:val="00DC5971"/>
    <w:rsid w:val="00DC5D20"/>
    <w:rsid w:val="00DC5D63"/>
    <w:rsid w:val="00DC6086"/>
    <w:rsid w:val="00DC6529"/>
    <w:rsid w:val="00DC6957"/>
    <w:rsid w:val="00DC7009"/>
    <w:rsid w:val="00DC7041"/>
    <w:rsid w:val="00DC74E7"/>
    <w:rsid w:val="00DC76B3"/>
    <w:rsid w:val="00DC793D"/>
    <w:rsid w:val="00DC7A3F"/>
    <w:rsid w:val="00DC7C69"/>
    <w:rsid w:val="00DC7CE7"/>
    <w:rsid w:val="00DD0550"/>
    <w:rsid w:val="00DD0992"/>
    <w:rsid w:val="00DD0E01"/>
    <w:rsid w:val="00DD16BF"/>
    <w:rsid w:val="00DD1814"/>
    <w:rsid w:val="00DD1AD2"/>
    <w:rsid w:val="00DD1E89"/>
    <w:rsid w:val="00DD2205"/>
    <w:rsid w:val="00DD23E9"/>
    <w:rsid w:val="00DD2426"/>
    <w:rsid w:val="00DD286C"/>
    <w:rsid w:val="00DD2AB6"/>
    <w:rsid w:val="00DD2B2C"/>
    <w:rsid w:val="00DD2E6B"/>
    <w:rsid w:val="00DD2F96"/>
    <w:rsid w:val="00DD30A7"/>
    <w:rsid w:val="00DD3217"/>
    <w:rsid w:val="00DD32FE"/>
    <w:rsid w:val="00DD3C89"/>
    <w:rsid w:val="00DD3C9E"/>
    <w:rsid w:val="00DD3F2D"/>
    <w:rsid w:val="00DD3F41"/>
    <w:rsid w:val="00DD40BF"/>
    <w:rsid w:val="00DD4171"/>
    <w:rsid w:val="00DD488F"/>
    <w:rsid w:val="00DD5090"/>
    <w:rsid w:val="00DD5407"/>
    <w:rsid w:val="00DD561E"/>
    <w:rsid w:val="00DD5C04"/>
    <w:rsid w:val="00DD6324"/>
    <w:rsid w:val="00DD6530"/>
    <w:rsid w:val="00DD6DCA"/>
    <w:rsid w:val="00DD733F"/>
    <w:rsid w:val="00DD7348"/>
    <w:rsid w:val="00DD75BC"/>
    <w:rsid w:val="00DD77B2"/>
    <w:rsid w:val="00DD7BFA"/>
    <w:rsid w:val="00DD7DE4"/>
    <w:rsid w:val="00DD7EC0"/>
    <w:rsid w:val="00DE01D8"/>
    <w:rsid w:val="00DE01E4"/>
    <w:rsid w:val="00DE0281"/>
    <w:rsid w:val="00DE069B"/>
    <w:rsid w:val="00DE090D"/>
    <w:rsid w:val="00DE0D03"/>
    <w:rsid w:val="00DE0D18"/>
    <w:rsid w:val="00DE0D9B"/>
    <w:rsid w:val="00DE0FD2"/>
    <w:rsid w:val="00DE1246"/>
    <w:rsid w:val="00DE12BF"/>
    <w:rsid w:val="00DE1390"/>
    <w:rsid w:val="00DE1404"/>
    <w:rsid w:val="00DE1794"/>
    <w:rsid w:val="00DE2214"/>
    <w:rsid w:val="00DE22A5"/>
    <w:rsid w:val="00DE233B"/>
    <w:rsid w:val="00DE2499"/>
    <w:rsid w:val="00DE26AD"/>
    <w:rsid w:val="00DE2874"/>
    <w:rsid w:val="00DE2B75"/>
    <w:rsid w:val="00DE2BE8"/>
    <w:rsid w:val="00DE2C1A"/>
    <w:rsid w:val="00DE2CC4"/>
    <w:rsid w:val="00DE3377"/>
    <w:rsid w:val="00DE3435"/>
    <w:rsid w:val="00DE35DD"/>
    <w:rsid w:val="00DE36B4"/>
    <w:rsid w:val="00DE3B8F"/>
    <w:rsid w:val="00DE3CA4"/>
    <w:rsid w:val="00DE3DBF"/>
    <w:rsid w:val="00DE3F5F"/>
    <w:rsid w:val="00DE3F62"/>
    <w:rsid w:val="00DE407F"/>
    <w:rsid w:val="00DE46B1"/>
    <w:rsid w:val="00DE492E"/>
    <w:rsid w:val="00DE4B3D"/>
    <w:rsid w:val="00DE5320"/>
    <w:rsid w:val="00DE547F"/>
    <w:rsid w:val="00DE54B1"/>
    <w:rsid w:val="00DE57C7"/>
    <w:rsid w:val="00DE5F27"/>
    <w:rsid w:val="00DE5F83"/>
    <w:rsid w:val="00DE5F9C"/>
    <w:rsid w:val="00DE6038"/>
    <w:rsid w:val="00DE6249"/>
    <w:rsid w:val="00DE6966"/>
    <w:rsid w:val="00DE6A92"/>
    <w:rsid w:val="00DE6C4C"/>
    <w:rsid w:val="00DE6DF8"/>
    <w:rsid w:val="00DE7162"/>
    <w:rsid w:val="00DE7546"/>
    <w:rsid w:val="00DE7667"/>
    <w:rsid w:val="00DE7B11"/>
    <w:rsid w:val="00DE7DEB"/>
    <w:rsid w:val="00DF0184"/>
    <w:rsid w:val="00DF0501"/>
    <w:rsid w:val="00DF0658"/>
    <w:rsid w:val="00DF0775"/>
    <w:rsid w:val="00DF07E3"/>
    <w:rsid w:val="00DF094A"/>
    <w:rsid w:val="00DF0A5C"/>
    <w:rsid w:val="00DF0F30"/>
    <w:rsid w:val="00DF1107"/>
    <w:rsid w:val="00DF12D0"/>
    <w:rsid w:val="00DF15D0"/>
    <w:rsid w:val="00DF1BCA"/>
    <w:rsid w:val="00DF1BE8"/>
    <w:rsid w:val="00DF1C5A"/>
    <w:rsid w:val="00DF1E5A"/>
    <w:rsid w:val="00DF20F0"/>
    <w:rsid w:val="00DF22D6"/>
    <w:rsid w:val="00DF24B6"/>
    <w:rsid w:val="00DF261F"/>
    <w:rsid w:val="00DF2BFA"/>
    <w:rsid w:val="00DF2E51"/>
    <w:rsid w:val="00DF2F90"/>
    <w:rsid w:val="00DF31C6"/>
    <w:rsid w:val="00DF37C8"/>
    <w:rsid w:val="00DF38DC"/>
    <w:rsid w:val="00DF3B9B"/>
    <w:rsid w:val="00DF3B9C"/>
    <w:rsid w:val="00DF4052"/>
    <w:rsid w:val="00DF4122"/>
    <w:rsid w:val="00DF41E2"/>
    <w:rsid w:val="00DF434A"/>
    <w:rsid w:val="00DF46A0"/>
    <w:rsid w:val="00DF491C"/>
    <w:rsid w:val="00DF4A25"/>
    <w:rsid w:val="00DF4B4E"/>
    <w:rsid w:val="00DF4D72"/>
    <w:rsid w:val="00DF4E7F"/>
    <w:rsid w:val="00DF5503"/>
    <w:rsid w:val="00DF596F"/>
    <w:rsid w:val="00DF5AC2"/>
    <w:rsid w:val="00DF5C03"/>
    <w:rsid w:val="00DF5E98"/>
    <w:rsid w:val="00DF616E"/>
    <w:rsid w:val="00DF62C0"/>
    <w:rsid w:val="00DF6BB5"/>
    <w:rsid w:val="00DF6DBB"/>
    <w:rsid w:val="00DF6F3E"/>
    <w:rsid w:val="00DF6F66"/>
    <w:rsid w:val="00DF6F6A"/>
    <w:rsid w:val="00DF73D3"/>
    <w:rsid w:val="00DF75CB"/>
    <w:rsid w:val="00DF775F"/>
    <w:rsid w:val="00DF7C2D"/>
    <w:rsid w:val="00DF7F12"/>
    <w:rsid w:val="00E00013"/>
    <w:rsid w:val="00E00041"/>
    <w:rsid w:val="00E00311"/>
    <w:rsid w:val="00E003BF"/>
    <w:rsid w:val="00E0085E"/>
    <w:rsid w:val="00E008F8"/>
    <w:rsid w:val="00E00C09"/>
    <w:rsid w:val="00E00DA1"/>
    <w:rsid w:val="00E00F1F"/>
    <w:rsid w:val="00E016E6"/>
    <w:rsid w:val="00E01CA8"/>
    <w:rsid w:val="00E01CFE"/>
    <w:rsid w:val="00E01D3B"/>
    <w:rsid w:val="00E01E93"/>
    <w:rsid w:val="00E01F45"/>
    <w:rsid w:val="00E0208D"/>
    <w:rsid w:val="00E0224C"/>
    <w:rsid w:val="00E0234E"/>
    <w:rsid w:val="00E0278C"/>
    <w:rsid w:val="00E02AE6"/>
    <w:rsid w:val="00E02C0E"/>
    <w:rsid w:val="00E02C0F"/>
    <w:rsid w:val="00E02D92"/>
    <w:rsid w:val="00E02E16"/>
    <w:rsid w:val="00E0336D"/>
    <w:rsid w:val="00E03469"/>
    <w:rsid w:val="00E034AA"/>
    <w:rsid w:val="00E03596"/>
    <w:rsid w:val="00E037DC"/>
    <w:rsid w:val="00E03A41"/>
    <w:rsid w:val="00E03CB7"/>
    <w:rsid w:val="00E03E32"/>
    <w:rsid w:val="00E04084"/>
    <w:rsid w:val="00E040E7"/>
    <w:rsid w:val="00E047E0"/>
    <w:rsid w:val="00E0499E"/>
    <w:rsid w:val="00E049FE"/>
    <w:rsid w:val="00E04BD3"/>
    <w:rsid w:val="00E05294"/>
    <w:rsid w:val="00E053D6"/>
    <w:rsid w:val="00E0574A"/>
    <w:rsid w:val="00E05852"/>
    <w:rsid w:val="00E05B22"/>
    <w:rsid w:val="00E05B49"/>
    <w:rsid w:val="00E0618B"/>
    <w:rsid w:val="00E061B6"/>
    <w:rsid w:val="00E06E17"/>
    <w:rsid w:val="00E06F92"/>
    <w:rsid w:val="00E06FA4"/>
    <w:rsid w:val="00E07ADD"/>
    <w:rsid w:val="00E07F7E"/>
    <w:rsid w:val="00E1003D"/>
    <w:rsid w:val="00E1007E"/>
    <w:rsid w:val="00E10BBE"/>
    <w:rsid w:val="00E11428"/>
    <w:rsid w:val="00E117CD"/>
    <w:rsid w:val="00E11AEC"/>
    <w:rsid w:val="00E11BB5"/>
    <w:rsid w:val="00E12063"/>
    <w:rsid w:val="00E1221A"/>
    <w:rsid w:val="00E126AF"/>
    <w:rsid w:val="00E12986"/>
    <w:rsid w:val="00E12D98"/>
    <w:rsid w:val="00E12DAC"/>
    <w:rsid w:val="00E12EED"/>
    <w:rsid w:val="00E13043"/>
    <w:rsid w:val="00E136CB"/>
    <w:rsid w:val="00E13877"/>
    <w:rsid w:val="00E142DE"/>
    <w:rsid w:val="00E143A5"/>
    <w:rsid w:val="00E14946"/>
    <w:rsid w:val="00E14B9E"/>
    <w:rsid w:val="00E14C0E"/>
    <w:rsid w:val="00E14CA1"/>
    <w:rsid w:val="00E14E11"/>
    <w:rsid w:val="00E14FE6"/>
    <w:rsid w:val="00E15417"/>
    <w:rsid w:val="00E1568B"/>
    <w:rsid w:val="00E15693"/>
    <w:rsid w:val="00E15872"/>
    <w:rsid w:val="00E165E6"/>
    <w:rsid w:val="00E16A2D"/>
    <w:rsid w:val="00E16AA6"/>
    <w:rsid w:val="00E16FF1"/>
    <w:rsid w:val="00E17339"/>
    <w:rsid w:val="00E1759E"/>
    <w:rsid w:val="00E176D8"/>
    <w:rsid w:val="00E17840"/>
    <w:rsid w:val="00E17B12"/>
    <w:rsid w:val="00E17CE9"/>
    <w:rsid w:val="00E2031B"/>
    <w:rsid w:val="00E206F1"/>
    <w:rsid w:val="00E207AA"/>
    <w:rsid w:val="00E20ACE"/>
    <w:rsid w:val="00E20CCA"/>
    <w:rsid w:val="00E2116B"/>
    <w:rsid w:val="00E211A9"/>
    <w:rsid w:val="00E21202"/>
    <w:rsid w:val="00E212F4"/>
    <w:rsid w:val="00E21A23"/>
    <w:rsid w:val="00E21C85"/>
    <w:rsid w:val="00E21C97"/>
    <w:rsid w:val="00E21FCD"/>
    <w:rsid w:val="00E22078"/>
    <w:rsid w:val="00E22141"/>
    <w:rsid w:val="00E2228E"/>
    <w:rsid w:val="00E22292"/>
    <w:rsid w:val="00E2320C"/>
    <w:rsid w:val="00E23582"/>
    <w:rsid w:val="00E236EE"/>
    <w:rsid w:val="00E2386D"/>
    <w:rsid w:val="00E238AE"/>
    <w:rsid w:val="00E238C1"/>
    <w:rsid w:val="00E2395A"/>
    <w:rsid w:val="00E2398B"/>
    <w:rsid w:val="00E23D54"/>
    <w:rsid w:val="00E23DEB"/>
    <w:rsid w:val="00E23E85"/>
    <w:rsid w:val="00E23F90"/>
    <w:rsid w:val="00E24409"/>
    <w:rsid w:val="00E2452A"/>
    <w:rsid w:val="00E2493D"/>
    <w:rsid w:val="00E24D0B"/>
    <w:rsid w:val="00E25129"/>
    <w:rsid w:val="00E2546A"/>
    <w:rsid w:val="00E25477"/>
    <w:rsid w:val="00E2556F"/>
    <w:rsid w:val="00E257C5"/>
    <w:rsid w:val="00E25A2F"/>
    <w:rsid w:val="00E25B9E"/>
    <w:rsid w:val="00E25BF5"/>
    <w:rsid w:val="00E25CBE"/>
    <w:rsid w:val="00E26014"/>
    <w:rsid w:val="00E2663D"/>
    <w:rsid w:val="00E2664F"/>
    <w:rsid w:val="00E2692F"/>
    <w:rsid w:val="00E26C11"/>
    <w:rsid w:val="00E26DFF"/>
    <w:rsid w:val="00E26F81"/>
    <w:rsid w:val="00E27142"/>
    <w:rsid w:val="00E27232"/>
    <w:rsid w:val="00E27283"/>
    <w:rsid w:val="00E27488"/>
    <w:rsid w:val="00E27807"/>
    <w:rsid w:val="00E27826"/>
    <w:rsid w:val="00E278B8"/>
    <w:rsid w:val="00E27B74"/>
    <w:rsid w:val="00E27CB0"/>
    <w:rsid w:val="00E30085"/>
    <w:rsid w:val="00E30250"/>
    <w:rsid w:val="00E303C2"/>
    <w:rsid w:val="00E30596"/>
    <w:rsid w:val="00E30640"/>
    <w:rsid w:val="00E30E61"/>
    <w:rsid w:val="00E31896"/>
    <w:rsid w:val="00E319A9"/>
    <w:rsid w:val="00E31B1D"/>
    <w:rsid w:val="00E31DEE"/>
    <w:rsid w:val="00E31F6A"/>
    <w:rsid w:val="00E3252B"/>
    <w:rsid w:val="00E325B8"/>
    <w:rsid w:val="00E3261C"/>
    <w:rsid w:val="00E32CAC"/>
    <w:rsid w:val="00E33135"/>
    <w:rsid w:val="00E3321B"/>
    <w:rsid w:val="00E33EB8"/>
    <w:rsid w:val="00E340DB"/>
    <w:rsid w:val="00E34797"/>
    <w:rsid w:val="00E34BBF"/>
    <w:rsid w:val="00E35293"/>
    <w:rsid w:val="00E35407"/>
    <w:rsid w:val="00E357D8"/>
    <w:rsid w:val="00E35C1B"/>
    <w:rsid w:val="00E35CC3"/>
    <w:rsid w:val="00E35DA4"/>
    <w:rsid w:val="00E36075"/>
    <w:rsid w:val="00E3627F"/>
    <w:rsid w:val="00E363C2"/>
    <w:rsid w:val="00E363DD"/>
    <w:rsid w:val="00E3671A"/>
    <w:rsid w:val="00E36766"/>
    <w:rsid w:val="00E36BB9"/>
    <w:rsid w:val="00E36CBE"/>
    <w:rsid w:val="00E3708A"/>
    <w:rsid w:val="00E372DA"/>
    <w:rsid w:val="00E37634"/>
    <w:rsid w:val="00E379A2"/>
    <w:rsid w:val="00E37BB7"/>
    <w:rsid w:val="00E37ED9"/>
    <w:rsid w:val="00E4016D"/>
    <w:rsid w:val="00E40252"/>
    <w:rsid w:val="00E4029B"/>
    <w:rsid w:val="00E403C5"/>
    <w:rsid w:val="00E403DD"/>
    <w:rsid w:val="00E405E0"/>
    <w:rsid w:val="00E40EC7"/>
    <w:rsid w:val="00E40FF0"/>
    <w:rsid w:val="00E41097"/>
    <w:rsid w:val="00E412D3"/>
    <w:rsid w:val="00E416C3"/>
    <w:rsid w:val="00E41BAC"/>
    <w:rsid w:val="00E41D20"/>
    <w:rsid w:val="00E4221B"/>
    <w:rsid w:val="00E42B24"/>
    <w:rsid w:val="00E42E3A"/>
    <w:rsid w:val="00E42E9A"/>
    <w:rsid w:val="00E43069"/>
    <w:rsid w:val="00E431FB"/>
    <w:rsid w:val="00E43B8A"/>
    <w:rsid w:val="00E43C3A"/>
    <w:rsid w:val="00E44219"/>
    <w:rsid w:val="00E4435F"/>
    <w:rsid w:val="00E4442B"/>
    <w:rsid w:val="00E445E8"/>
    <w:rsid w:val="00E44760"/>
    <w:rsid w:val="00E44903"/>
    <w:rsid w:val="00E44DC8"/>
    <w:rsid w:val="00E4519B"/>
    <w:rsid w:val="00E451A7"/>
    <w:rsid w:val="00E45257"/>
    <w:rsid w:val="00E454EC"/>
    <w:rsid w:val="00E45588"/>
    <w:rsid w:val="00E456A3"/>
    <w:rsid w:val="00E45792"/>
    <w:rsid w:val="00E457F1"/>
    <w:rsid w:val="00E458CC"/>
    <w:rsid w:val="00E45AD2"/>
    <w:rsid w:val="00E45B65"/>
    <w:rsid w:val="00E45FD4"/>
    <w:rsid w:val="00E4614B"/>
    <w:rsid w:val="00E4648D"/>
    <w:rsid w:val="00E4675F"/>
    <w:rsid w:val="00E4677A"/>
    <w:rsid w:val="00E46E75"/>
    <w:rsid w:val="00E46EB1"/>
    <w:rsid w:val="00E46F2A"/>
    <w:rsid w:val="00E476CB"/>
    <w:rsid w:val="00E47A85"/>
    <w:rsid w:val="00E5016D"/>
    <w:rsid w:val="00E504FC"/>
    <w:rsid w:val="00E50651"/>
    <w:rsid w:val="00E5084A"/>
    <w:rsid w:val="00E50B42"/>
    <w:rsid w:val="00E50E4C"/>
    <w:rsid w:val="00E50F89"/>
    <w:rsid w:val="00E513F9"/>
    <w:rsid w:val="00E513FE"/>
    <w:rsid w:val="00E51583"/>
    <w:rsid w:val="00E516C8"/>
    <w:rsid w:val="00E517CE"/>
    <w:rsid w:val="00E51988"/>
    <w:rsid w:val="00E51A4F"/>
    <w:rsid w:val="00E51C37"/>
    <w:rsid w:val="00E51C62"/>
    <w:rsid w:val="00E51CE0"/>
    <w:rsid w:val="00E520DE"/>
    <w:rsid w:val="00E523CC"/>
    <w:rsid w:val="00E52496"/>
    <w:rsid w:val="00E525EB"/>
    <w:rsid w:val="00E526D0"/>
    <w:rsid w:val="00E5315E"/>
    <w:rsid w:val="00E531E9"/>
    <w:rsid w:val="00E534CE"/>
    <w:rsid w:val="00E53688"/>
    <w:rsid w:val="00E5376C"/>
    <w:rsid w:val="00E53BCA"/>
    <w:rsid w:val="00E53C09"/>
    <w:rsid w:val="00E53C32"/>
    <w:rsid w:val="00E53C48"/>
    <w:rsid w:val="00E53DBA"/>
    <w:rsid w:val="00E53E8B"/>
    <w:rsid w:val="00E53F39"/>
    <w:rsid w:val="00E541D3"/>
    <w:rsid w:val="00E541E7"/>
    <w:rsid w:val="00E54393"/>
    <w:rsid w:val="00E54403"/>
    <w:rsid w:val="00E54519"/>
    <w:rsid w:val="00E5452F"/>
    <w:rsid w:val="00E54907"/>
    <w:rsid w:val="00E54E15"/>
    <w:rsid w:val="00E54F5F"/>
    <w:rsid w:val="00E550AD"/>
    <w:rsid w:val="00E55787"/>
    <w:rsid w:val="00E55A00"/>
    <w:rsid w:val="00E55C59"/>
    <w:rsid w:val="00E55CC2"/>
    <w:rsid w:val="00E55CF1"/>
    <w:rsid w:val="00E55EB7"/>
    <w:rsid w:val="00E55F0E"/>
    <w:rsid w:val="00E55F19"/>
    <w:rsid w:val="00E561A5"/>
    <w:rsid w:val="00E56CF4"/>
    <w:rsid w:val="00E56EE8"/>
    <w:rsid w:val="00E57506"/>
    <w:rsid w:val="00E57509"/>
    <w:rsid w:val="00E57575"/>
    <w:rsid w:val="00E577C1"/>
    <w:rsid w:val="00E577C8"/>
    <w:rsid w:val="00E57AC9"/>
    <w:rsid w:val="00E57BBF"/>
    <w:rsid w:val="00E57C87"/>
    <w:rsid w:val="00E57CCB"/>
    <w:rsid w:val="00E57E36"/>
    <w:rsid w:val="00E57EDD"/>
    <w:rsid w:val="00E603A3"/>
    <w:rsid w:val="00E604DB"/>
    <w:rsid w:val="00E60639"/>
    <w:rsid w:val="00E607FF"/>
    <w:rsid w:val="00E609A0"/>
    <w:rsid w:val="00E60C73"/>
    <w:rsid w:val="00E60EF7"/>
    <w:rsid w:val="00E60F30"/>
    <w:rsid w:val="00E61260"/>
    <w:rsid w:val="00E6149D"/>
    <w:rsid w:val="00E61950"/>
    <w:rsid w:val="00E61C81"/>
    <w:rsid w:val="00E62411"/>
    <w:rsid w:val="00E625CA"/>
    <w:rsid w:val="00E62696"/>
    <w:rsid w:val="00E6285B"/>
    <w:rsid w:val="00E62DA3"/>
    <w:rsid w:val="00E63536"/>
    <w:rsid w:val="00E63C39"/>
    <w:rsid w:val="00E63CB2"/>
    <w:rsid w:val="00E63E78"/>
    <w:rsid w:val="00E6426A"/>
    <w:rsid w:val="00E642A7"/>
    <w:rsid w:val="00E6430F"/>
    <w:rsid w:val="00E643B0"/>
    <w:rsid w:val="00E6443F"/>
    <w:rsid w:val="00E64544"/>
    <w:rsid w:val="00E64975"/>
    <w:rsid w:val="00E64F42"/>
    <w:rsid w:val="00E65003"/>
    <w:rsid w:val="00E6519C"/>
    <w:rsid w:val="00E651E1"/>
    <w:rsid w:val="00E6524D"/>
    <w:rsid w:val="00E65251"/>
    <w:rsid w:val="00E6556A"/>
    <w:rsid w:val="00E6567C"/>
    <w:rsid w:val="00E65703"/>
    <w:rsid w:val="00E65A2F"/>
    <w:rsid w:val="00E65CC8"/>
    <w:rsid w:val="00E660CD"/>
    <w:rsid w:val="00E66147"/>
    <w:rsid w:val="00E66152"/>
    <w:rsid w:val="00E6631F"/>
    <w:rsid w:val="00E663D1"/>
    <w:rsid w:val="00E66565"/>
    <w:rsid w:val="00E666F5"/>
    <w:rsid w:val="00E669B3"/>
    <w:rsid w:val="00E669D3"/>
    <w:rsid w:val="00E66B00"/>
    <w:rsid w:val="00E66BFB"/>
    <w:rsid w:val="00E66E1A"/>
    <w:rsid w:val="00E66FB3"/>
    <w:rsid w:val="00E6748B"/>
    <w:rsid w:val="00E676F9"/>
    <w:rsid w:val="00E678F2"/>
    <w:rsid w:val="00E70015"/>
    <w:rsid w:val="00E70147"/>
    <w:rsid w:val="00E70401"/>
    <w:rsid w:val="00E70429"/>
    <w:rsid w:val="00E70477"/>
    <w:rsid w:val="00E708D0"/>
    <w:rsid w:val="00E70EBB"/>
    <w:rsid w:val="00E711B8"/>
    <w:rsid w:val="00E71267"/>
    <w:rsid w:val="00E71599"/>
    <w:rsid w:val="00E717E4"/>
    <w:rsid w:val="00E71ABC"/>
    <w:rsid w:val="00E71BAA"/>
    <w:rsid w:val="00E71D13"/>
    <w:rsid w:val="00E71E1F"/>
    <w:rsid w:val="00E7215C"/>
    <w:rsid w:val="00E724E2"/>
    <w:rsid w:val="00E72624"/>
    <w:rsid w:val="00E7265D"/>
    <w:rsid w:val="00E72AB8"/>
    <w:rsid w:val="00E72BCE"/>
    <w:rsid w:val="00E72CEE"/>
    <w:rsid w:val="00E72E66"/>
    <w:rsid w:val="00E72EEB"/>
    <w:rsid w:val="00E73153"/>
    <w:rsid w:val="00E733A2"/>
    <w:rsid w:val="00E7359A"/>
    <w:rsid w:val="00E73662"/>
    <w:rsid w:val="00E737D3"/>
    <w:rsid w:val="00E73CF5"/>
    <w:rsid w:val="00E73D7A"/>
    <w:rsid w:val="00E74181"/>
    <w:rsid w:val="00E7456C"/>
    <w:rsid w:val="00E749BE"/>
    <w:rsid w:val="00E74AD9"/>
    <w:rsid w:val="00E74B13"/>
    <w:rsid w:val="00E7541C"/>
    <w:rsid w:val="00E756FB"/>
    <w:rsid w:val="00E75792"/>
    <w:rsid w:val="00E758FA"/>
    <w:rsid w:val="00E75C8F"/>
    <w:rsid w:val="00E75FFF"/>
    <w:rsid w:val="00E76060"/>
    <w:rsid w:val="00E76523"/>
    <w:rsid w:val="00E766EE"/>
    <w:rsid w:val="00E76BC4"/>
    <w:rsid w:val="00E77005"/>
    <w:rsid w:val="00E7724C"/>
    <w:rsid w:val="00E7726A"/>
    <w:rsid w:val="00E773E6"/>
    <w:rsid w:val="00E774CB"/>
    <w:rsid w:val="00E775B3"/>
    <w:rsid w:val="00E776D2"/>
    <w:rsid w:val="00E77CBE"/>
    <w:rsid w:val="00E77DC2"/>
    <w:rsid w:val="00E77DDF"/>
    <w:rsid w:val="00E80019"/>
    <w:rsid w:val="00E803CB"/>
    <w:rsid w:val="00E8047F"/>
    <w:rsid w:val="00E8056D"/>
    <w:rsid w:val="00E805DD"/>
    <w:rsid w:val="00E80990"/>
    <w:rsid w:val="00E809C7"/>
    <w:rsid w:val="00E80A20"/>
    <w:rsid w:val="00E80B08"/>
    <w:rsid w:val="00E80B94"/>
    <w:rsid w:val="00E80B99"/>
    <w:rsid w:val="00E80DD8"/>
    <w:rsid w:val="00E80E78"/>
    <w:rsid w:val="00E81171"/>
    <w:rsid w:val="00E81639"/>
    <w:rsid w:val="00E81796"/>
    <w:rsid w:val="00E8183B"/>
    <w:rsid w:val="00E81B66"/>
    <w:rsid w:val="00E82249"/>
    <w:rsid w:val="00E82272"/>
    <w:rsid w:val="00E823EA"/>
    <w:rsid w:val="00E82763"/>
    <w:rsid w:val="00E827E3"/>
    <w:rsid w:val="00E828E9"/>
    <w:rsid w:val="00E82AB9"/>
    <w:rsid w:val="00E82DC0"/>
    <w:rsid w:val="00E82E34"/>
    <w:rsid w:val="00E83029"/>
    <w:rsid w:val="00E8399E"/>
    <w:rsid w:val="00E839B0"/>
    <w:rsid w:val="00E83B49"/>
    <w:rsid w:val="00E83C83"/>
    <w:rsid w:val="00E83D24"/>
    <w:rsid w:val="00E84179"/>
    <w:rsid w:val="00E844AA"/>
    <w:rsid w:val="00E847C9"/>
    <w:rsid w:val="00E848CF"/>
    <w:rsid w:val="00E84DED"/>
    <w:rsid w:val="00E84DF2"/>
    <w:rsid w:val="00E84E2C"/>
    <w:rsid w:val="00E84EA6"/>
    <w:rsid w:val="00E85181"/>
    <w:rsid w:val="00E85235"/>
    <w:rsid w:val="00E8559F"/>
    <w:rsid w:val="00E856B3"/>
    <w:rsid w:val="00E85703"/>
    <w:rsid w:val="00E8574C"/>
    <w:rsid w:val="00E85787"/>
    <w:rsid w:val="00E858EF"/>
    <w:rsid w:val="00E8619A"/>
    <w:rsid w:val="00E86652"/>
    <w:rsid w:val="00E86B00"/>
    <w:rsid w:val="00E86E28"/>
    <w:rsid w:val="00E87F2C"/>
    <w:rsid w:val="00E9036A"/>
    <w:rsid w:val="00E9087C"/>
    <w:rsid w:val="00E9095A"/>
    <w:rsid w:val="00E90EFE"/>
    <w:rsid w:val="00E90FE7"/>
    <w:rsid w:val="00E91061"/>
    <w:rsid w:val="00E91079"/>
    <w:rsid w:val="00E91163"/>
    <w:rsid w:val="00E9120E"/>
    <w:rsid w:val="00E91359"/>
    <w:rsid w:val="00E916F0"/>
    <w:rsid w:val="00E917DE"/>
    <w:rsid w:val="00E92312"/>
    <w:rsid w:val="00E923D8"/>
    <w:rsid w:val="00E9247F"/>
    <w:rsid w:val="00E925AD"/>
    <w:rsid w:val="00E92A0C"/>
    <w:rsid w:val="00E92DF2"/>
    <w:rsid w:val="00E92FAC"/>
    <w:rsid w:val="00E9303E"/>
    <w:rsid w:val="00E93377"/>
    <w:rsid w:val="00E93A9B"/>
    <w:rsid w:val="00E93CD8"/>
    <w:rsid w:val="00E93FA5"/>
    <w:rsid w:val="00E941B1"/>
    <w:rsid w:val="00E941DD"/>
    <w:rsid w:val="00E94256"/>
    <w:rsid w:val="00E94348"/>
    <w:rsid w:val="00E94E07"/>
    <w:rsid w:val="00E94FB7"/>
    <w:rsid w:val="00E9510C"/>
    <w:rsid w:val="00E956E2"/>
    <w:rsid w:val="00E95836"/>
    <w:rsid w:val="00E95900"/>
    <w:rsid w:val="00E95F9C"/>
    <w:rsid w:val="00E96025"/>
    <w:rsid w:val="00E96532"/>
    <w:rsid w:val="00E966E5"/>
    <w:rsid w:val="00E96B8F"/>
    <w:rsid w:val="00E96BC3"/>
    <w:rsid w:val="00E96C92"/>
    <w:rsid w:val="00E96EDF"/>
    <w:rsid w:val="00E970D5"/>
    <w:rsid w:val="00E9757F"/>
    <w:rsid w:val="00E976A3"/>
    <w:rsid w:val="00E9774B"/>
    <w:rsid w:val="00E977A5"/>
    <w:rsid w:val="00E979E9"/>
    <w:rsid w:val="00E97D55"/>
    <w:rsid w:val="00E97F24"/>
    <w:rsid w:val="00E97F75"/>
    <w:rsid w:val="00EA0002"/>
    <w:rsid w:val="00EA016F"/>
    <w:rsid w:val="00EA022D"/>
    <w:rsid w:val="00EA05EF"/>
    <w:rsid w:val="00EA0787"/>
    <w:rsid w:val="00EA0AC4"/>
    <w:rsid w:val="00EA0C65"/>
    <w:rsid w:val="00EA0DCB"/>
    <w:rsid w:val="00EA0EE9"/>
    <w:rsid w:val="00EA109A"/>
    <w:rsid w:val="00EA121F"/>
    <w:rsid w:val="00EA13E1"/>
    <w:rsid w:val="00EA1447"/>
    <w:rsid w:val="00EA159B"/>
    <w:rsid w:val="00EA1609"/>
    <w:rsid w:val="00EA173A"/>
    <w:rsid w:val="00EA1B49"/>
    <w:rsid w:val="00EA1BF7"/>
    <w:rsid w:val="00EA1CE5"/>
    <w:rsid w:val="00EA1F31"/>
    <w:rsid w:val="00EA1FB0"/>
    <w:rsid w:val="00EA24C1"/>
    <w:rsid w:val="00EA292E"/>
    <w:rsid w:val="00EA295F"/>
    <w:rsid w:val="00EA2EBB"/>
    <w:rsid w:val="00EA3230"/>
    <w:rsid w:val="00EA33A6"/>
    <w:rsid w:val="00EA38F3"/>
    <w:rsid w:val="00EA3CAA"/>
    <w:rsid w:val="00EA3E65"/>
    <w:rsid w:val="00EA4149"/>
    <w:rsid w:val="00EA438F"/>
    <w:rsid w:val="00EA458F"/>
    <w:rsid w:val="00EA45EC"/>
    <w:rsid w:val="00EA478C"/>
    <w:rsid w:val="00EA47E7"/>
    <w:rsid w:val="00EA49C1"/>
    <w:rsid w:val="00EA4BAD"/>
    <w:rsid w:val="00EA4ECF"/>
    <w:rsid w:val="00EA5297"/>
    <w:rsid w:val="00EA5452"/>
    <w:rsid w:val="00EA590F"/>
    <w:rsid w:val="00EA5EA1"/>
    <w:rsid w:val="00EA60CD"/>
    <w:rsid w:val="00EA6115"/>
    <w:rsid w:val="00EA6195"/>
    <w:rsid w:val="00EA66C3"/>
    <w:rsid w:val="00EA6999"/>
    <w:rsid w:val="00EA6A72"/>
    <w:rsid w:val="00EA6A81"/>
    <w:rsid w:val="00EA6C29"/>
    <w:rsid w:val="00EA6D2D"/>
    <w:rsid w:val="00EA70D7"/>
    <w:rsid w:val="00EA710A"/>
    <w:rsid w:val="00EA7B21"/>
    <w:rsid w:val="00EA7E81"/>
    <w:rsid w:val="00EA7F88"/>
    <w:rsid w:val="00EB02D9"/>
    <w:rsid w:val="00EB0993"/>
    <w:rsid w:val="00EB0BE9"/>
    <w:rsid w:val="00EB0C75"/>
    <w:rsid w:val="00EB0CAF"/>
    <w:rsid w:val="00EB0DEE"/>
    <w:rsid w:val="00EB10B6"/>
    <w:rsid w:val="00EB1523"/>
    <w:rsid w:val="00EB1720"/>
    <w:rsid w:val="00EB1815"/>
    <w:rsid w:val="00EB1CE3"/>
    <w:rsid w:val="00EB1E5F"/>
    <w:rsid w:val="00EB1F38"/>
    <w:rsid w:val="00EB1F8E"/>
    <w:rsid w:val="00EB22B0"/>
    <w:rsid w:val="00EB285D"/>
    <w:rsid w:val="00EB2939"/>
    <w:rsid w:val="00EB2EAE"/>
    <w:rsid w:val="00EB3246"/>
    <w:rsid w:val="00EB344B"/>
    <w:rsid w:val="00EB3711"/>
    <w:rsid w:val="00EB39BE"/>
    <w:rsid w:val="00EB39EB"/>
    <w:rsid w:val="00EB3C4C"/>
    <w:rsid w:val="00EB3D52"/>
    <w:rsid w:val="00EB3E8F"/>
    <w:rsid w:val="00EB4955"/>
    <w:rsid w:val="00EB4ADB"/>
    <w:rsid w:val="00EB50A7"/>
    <w:rsid w:val="00EB518A"/>
    <w:rsid w:val="00EB5599"/>
    <w:rsid w:val="00EB5829"/>
    <w:rsid w:val="00EB5C49"/>
    <w:rsid w:val="00EB5D11"/>
    <w:rsid w:val="00EB5E5C"/>
    <w:rsid w:val="00EB63D8"/>
    <w:rsid w:val="00EB6593"/>
    <w:rsid w:val="00EB6A37"/>
    <w:rsid w:val="00EB6B86"/>
    <w:rsid w:val="00EB6D07"/>
    <w:rsid w:val="00EB6EBB"/>
    <w:rsid w:val="00EB70B9"/>
    <w:rsid w:val="00EB724E"/>
    <w:rsid w:val="00EB72FC"/>
    <w:rsid w:val="00EB7678"/>
    <w:rsid w:val="00EB77FF"/>
    <w:rsid w:val="00EB7938"/>
    <w:rsid w:val="00EB7C8B"/>
    <w:rsid w:val="00EB7DDB"/>
    <w:rsid w:val="00EB7FB3"/>
    <w:rsid w:val="00EC00CE"/>
    <w:rsid w:val="00EC0298"/>
    <w:rsid w:val="00EC02F6"/>
    <w:rsid w:val="00EC0361"/>
    <w:rsid w:val="00EC0598"/>
    <w:rsid w:val="00EC05D5"/>
    <w:rsid w:val="00EC06EA"/>
    <w:rsid w:val="00EC0786"/>
    <w:rsid w:val="00EC08BA"/>
    <w:rsid w:val="00EC0B5F"/>
    <w:rsid w:val="00EC0D5E"/>
    <w:rsid w:val="00EC0DFB"/>
    <w:rsid w:val="00EC0E13"/>
    <w:rsid w:val="00EC0F63"/>
    <w:rsid w:val="00EC10A3"/>
    <w:rsid w:val="00EC1126"/>
    <w:rsid w:val="00EC1388"/>
    <w:rsid w:val="00EC1676"/>
    <w:rsid w:val="00EC1B22"/>
    <w:rsid w:val="00EC1C8B"/>
    <w:rsid w:val="00EC1D6C"/>
    <w:rsid w:val="00EC1F16"/>
    <w:rsid w:val="00EC2129"/>
    <w:rsid w:val="00EC21B4"/>
    <w:rsid w:val="00EC240C"/>
    <w:rsid w:val="00EC259D"/>
    <w:rsid w:val="00EC2625"/>
    <w:rsid w:val="00EC2738"/>
    <w:rsid w:val="00EC2996"/>
    <w:rsid w:val="00EC2FF7"/>
    <w:rsid w:val="00EC3704"/>
    <w:rsid w:val="00EC3C41"/>
    <w:rsid w:val="00EC3ECF"/>
    <w:rsid w:val="00EC4112"/>
    <w:rsid w:val="00EC43BE"/>
    <w:rsid w:val="00EC43E4"/>
    <w:rsid w:val="00EC4680"/>
    <w:rsid w:val="00EC4A1C"/>
    <w:rsid w:val="00EC4CA7"/>
    <w:rsid w:val="00EC4D88"/>
    <w:rsid w:val="00EC4D90"/>
    <w:rsid w:val="00EC4DA4"/>
    <w:rsid w:val="00EC4DB0"/>
    <w:rsid w:val="00EC4E3F"/>
    <w:rsid w:val="00EC4EC9"/>
    <w:rsid w:val="00EC4F7A"/>
    <w:rsid w:val="00EC544F"/>
    <w:rsid w:val="00EC5AFF"/>
    <w:rsid w:val="00EC6097"/>
    <w:rsid w:val="00EC61CB"/>
    <w:rsid w:val="00EC6295"/>
    <w:rsid w:val="00EC6779"/>
    <w:rsid w:val="00EC6D01"/>
    <w:rsid w:val="00EC6FF5"/>
    <w:rsid w:val="00EC7477"/>
    <w:rsid w:val="00EC7544"/>
    <w:rsid w:val="00EC7A51"/>
    <w:rsid w:val="00EC7E6A"/>
    <w:rsid w:val="00ED0280"/>
    <w:rsid w:val="00ED0499"/>
    <w:rsid w:val="00ED060D"/>
    <w:rsid w:val="00ED0A55"/>
    <w:rsid w:val="00ED0C8E"/>
    <w:rsid w:val="00ED1814"/>
    <w:rsid w:val="00ED1C3D"/>
    <w:rsid w:val="00ED2005"/>
    <w:rsid w:val="00ED2466"/>
    <w:rsid w:val="00ED2A18"/>
    <w:rsid w:val="00ED2A26"/>
    <w:rsid w:val="00ED2D96"/>
    <w:rsid w:val="00ED33DE"/>
    <w:rsid w:val="00ED38C1"/>
    <w:rsid w:val="00ED3937"/>
    <w:rsid w:val="00ED39E4"/>
    <w:rsid w:val="00ED4BEC"/>
    <w:rsid w:val="00ED4C0B"/>
    <w:rsid w:val="00ED4D4F"/>
    <w:rsid w:val="00ED52CF"/>
    <w:rsid w:val="00ED5304"/>
    <w:rsid w:val="00ED5390"/>
    <w:rsid w:val="00ED5B2C"/>
    <w:rsid w:val="00ED5C58"/>
    <w:rsid w:val="00ED5D8E"/>
    <w:rsid w:val="00ED5DC7"/>
    <w:rsid w:val="00ED620F"/>
    <w:rsid w:val="00ED6820"/>
    <w:rsid w:val="00ED695C"/>
    <w:rsid w:val="00ED6BBC"/>
    <w:rsid w:val="00ED6CC3"/>
    <w:rsid w:val="00ED7129"/>
    <w:rsid w:val="00ED7131"/>
    <w:rsid w:val="00ED7260"/>
    <w:rsid w:val="00ED7472"/>
    <w:rsid w:val="00ED77B2"/>
    <w:rsid w:val="00ED7A26"/>
    <w:rsid w:val="00EE02D3"/>
    <w:rsid w:val="00EE0641"/>
    <w:rsid w:val="00EE06DC"/>
    <w:rsid w:val="00EE084B"/>
    <w:rsid w:val="00EE11E0"/>
    <w:rsid w:val="00EE1873"/>
    <w:rsid w:val="00EE20DB"/>
    <w:rsid w:val="00EE217A"/>
    <w:rsid w:val="00EE24D0"/>
    <w:rsid w:val="00EE2B94"/>
    <w:rsid w:val="00EE2C81"/>
    <w:rsid w:val="00EE3470"/>
    <w:rsid w:val="00EE379F"/>
    <w:rsid w:val="00EE3FA6"/>
    <w:rsid w:val="00EE3FE7"/>
    <w:rsid w:val="00EE4264"/>
    <w:rsid w:val="00EE4E24"/>
    <w:rsid w:val="00EE5890"/>
    <w:rsid w:val="00EE5C88"/>
    <w:rsid w:val="00EE5D3F"/>
    <w:rsid w:val="00EE5E9B"/>
    <w:rsid w:val="00EE6012"/>
    <w:rsid w:val="00EE63D1"/>
    <w:rsid w:val="00EE6443"/>
    <w:rsid w:val="00EE69E5"/>
    <w:rsid w:val="00EE6A74"/>
    <w:rsid w:val="00EE6C34"/>
    <w:rsid w:val="00EE7017"/>
    <w:rsid w:val="00EE731E"/>
    <w:rsid w:val="00EE7359"/>
    <w:rsid w:val="00EE73B8"/>
    <w:rsid w:val="00EE7462"/>
    <w:rsid w:val="00EE7678"/>
    <w:rsid w:val="00EE77E8"/>
    <w:rsid w:val="00EE7CEF"/>
    <w:rsid w:val="00EE7D94"/>
    <w:rsid w:val="00EE7DA8"/>
    <w:rsid w:val="00EE7FE7"/>
    <w:rsid w:val="00EF0188"/>
    <w:rsid w:val="00EF081C"/>
    <w:rsid w:val="00EF0FDF"/>
    <w:rsid w:val="00EF124E"/>
    <w:rsid w:val="00EF14E0"/>
    <w:rsid w:val="00EF166B"/>
    <w:rsid w:val="00EF16D2"/>
    <w:rsid w:val="00EF1829"/>
    <w:rsid w:val="00EF1A65"/>
    <w:rsid w:val="00EF1AC8"/>
    <w:rsid w:val="00EF1E8B"/>
    <w:rsid w:val="00EF1FCA"/>
    <w:rsid w:val="00EF208F"/>
    <w:rsid w:val="00EF225D"/>
    <w:rsid w:val="00EF2331"/>
    <w:rsid w:val="00EF24FD"/>
    <w:rsid w:val="00EF25D8"/>
    <w:rsid w:val="00EF26AC"/>
    <w:rsid w:val="00EF2865"/>
    <w:rsid w:val="00EF2975"/>
    <w:rsid w:val="00EF297B"/>
    <w:rsid w:val="00EF29C3"/>
    <w:rsid w:val="00EF29EE"/>
    <w:rsid w:val="00EF29FB"/>
    <w:rsid w:val="00EF2C24"/>
    <w:rsid w:val="00EF2D16"/>
    <w:rsid w:val="00EF2F20"/>
    <w:rsid w:val="00EF2F32"/>
    <w:rsid w:val="00EF3131"/>
    <w:rsid w:val="00EF3306"/>
    <w:rsid w:val="00EF3623"/>
    <w:rsid w:val="00EF395B"/>
    <w:rsid w:val="00EF3A53"/>
    <w:rsid w:val="00EF3B15"/>
    <w:rsid w:val="00EF493A"/>
    <w:rsid w:val="00EF4A24"/>
    <w:rsid w:val="00EF4A5C"/>
    <w:rsid w:val="00EF4E8B"/>
    <w:rsid w:val="00EF54EC"/>
    <w:rsid w:val="00EF5E26"/>
    <w:rsid w:val="00EF6133"/>
    <w:rsid w:val="00EF6183"/>
    <w:rsid w:val="00EF6699"/>
    <w:rsid w:val="00EF6C6D"/>
    <w:rsid w:val="00EF6DA5"/>
    <w:rsid w:val="00EF7163"/>
    <w:rsid w:val="00EF71E9"/>
    <w:rsid w:val="00EF72C3"/>
    <w:rsid w:val="00EF788E"/>
    <w:rsid w:val="00EF7A4E"/>
    <w:rsid w:val="00EF7AD9"/>
    <w:rsid w:val="00EF7F90"/>
    <w:rsid w:val="00F00794"/>
    <w:rsid w:val="00F00BD0"/>
    <w:rsid w:val="00F00CA3"/>
    <w:rsid w:val="00F00CE7"/>
    <w:rsid w:val="00F00DCB"/>
    <w:rsid w:val="00F011DD"/>
    <w:rsid w:val="00F013E8"/>
    <w:rsid w:val="00F01979"/>
    <w:rsid w:val="00F01E79"/>
    <w:rsid w:val="00F024C7"/>
    <w:rsid w:val="00F0256D"/>
    <w:rsid w:val="00F025A8"/>
    <w:rsid w:val="00F026B0"/>
    <w:rsid w:val="00F02E38"/>
    <w:rsid w:val="00F02EF1"/>
    <w:rsid w:val="00F0381A"/>
    <w:rsid w:val="00F039BE"/>
    <w:rsid w:val="00F039E2"/>
    <w:rsid w:val="00F03A9C"/>
    <w:rsid w:val="00F03BDA"/>
    <w:rsid w:val="00F03CBF"/>
    <w:rsid w:val="00F03DF0"/>
    <w:rsid w:val="00F03E01"/>
    <w:rsid w:val="00F03F11"/>
    <w:rsid w:val="00F042AE"/>
    <w:rsid w:val="00F043B7"/>
    <w:rsid w:val="00F048AD"/>
    <w:rsid w:val="00F04ABE"/>
    <w:rsid w:val="00F04D6E"/>
    <w:rsid w:val="00F0519A"/>
    <w:rsid w:val="00F05614"/>
    <w:rsid w:val="00F06B51"/>
    <w:rsid w:val="00F06EAE"/>
    <w:rsid w:val="00F06FA9"/>
    <w:rsid w:val="00F07035"/>
    <w:rsid w:val="00F07152"/>
    <w:rsid w:val="00F07313"/>
    <w:rsid w:val="00F079E8"/>
    <w:rsid w:val="00F07EB2"/>
    <w:rsid w:val="00F102A8"/>
    <w:rsid w:val="00F103A7"/>
    <w:rsid w:val="00F10550"/>
    <w:rsid w:val="00F10594"/>
    <w:rsid w:val="00F107C9"/>
    <w:rsid w:val="00F107D6"/>
    <w:rsid w:val="00F10B06"/>
    <w:rsid w:val="00F10D76"/>
    <w:rsid w:val="00F10EFD"/>
    <w:rsid w:val="00F11038"/>
    <w:rsid w:val="00F110A2"/>
    <w:rsid w:val="00F112EF"/>
    <w:rsid w:val="00F1169D"/>
    <w:rsid w:val="00F117F3"/>
    <w:rsid w:val="00F119A4"/>
    <w:rsid w:val="00F11A4F"/>
    <w:rsid w:val="00F11B5E"/>
    <w:rsid w:val="00F11E4B"/>
    <w:rsid w:val="00F11F0F"/>
    <w:rsid w:val="00F12771"/>
    <w:rsid w:val="00F12BA7"/>
    <w:rsid w:val="00F13436"/>
    <w:rsid w:val="00F13664"/>
    <w:rsid w:val="00F13AC4"/>
    <w:rsid w:val="00F13EFF"/>
    <w:rsid w:val="00F14235"/>
    <w:rsid w:val="00F14779"/>
    <w:rsid w:val="00F15100"/>
    <w:rsid w:val="00F15646"/>
    <w:rsid w:val="00F15660"/>
    <w:rsid w:val="00F15702"/>
    <w:rsid w:val="00F15795"/>
    <w:rsid w:val="00F157FA"/>
    <w:rsid w:val="00F16031"/>
    <w:rsid w:val="00F168D0"/>
    <w:rsid w:val="00F16D0C"/>
    <w:rsid w:val="00F16D13"/>
    <w:rsid w:val="00F16E18"/>
    <w:rsid w:val="00F16F7C"/>
    <w:rsid w:val="00F1762E"/>
    <w:rsid w:val="00F177C1"/>
    <w:rsid w:val="00F1787E"/>
    <w:rsid w:val="00F179A7"/>
    <w:rsid w:val="00F17B0C"/>
    <w:rsid w:val="00F17BAE"/>
    <w:rsid w:val="00F17F12"/>
    <w:rsid w:val="00F17F24"/>
    <w:rsid w:val="00F20618"/>
    <w:rsid w:val="00F206C7"/>
    <w:rsid w:val="00F20981"/>
    <w:rsid w:val="00F20A42"/>
    <w:rsid w:val="00F21803"/>
    <w:rsid w:val="00F21920"/>
    <w:rsid w:val="00F21E03"/>
    <w:rsid w:val="00F21F70"/>
    <w:rsid w:val="00F22131"/>
    <w:rsid w:val="00F22289"/>
    <w:rsid w:val="00F22343"/>
    <w:rsid w:val="00F226D2"/>
    <w:rsid w:val="00F228B6"/>
    <w:rsid w:val="00F2298C"/>
    <w:rsid w:val="00F22A03"/>
    <w:rsid w:val="00F22A63"/>
    <w:rsid w:val="00F22A66"/>
    <w:rsid w:val="00F22BFD"/>
    <w:rsid w:val="00F22C54"/>
    <w:rsid w:val="00F2308E"/>
    <w:rsid w:val="00F23109"/>
    <w:rsid w:val="00F235D2"/>
    <w:rsid w:val="00F23A05"/>
    <w:rsid w:val="00F23D6B"/>
    <w:rsid w:val="00F24368"/>
    <w:rsid w:val="00F24894"/>
    <w:rsid w:val="00F24D8C"/>
    <w:rsid w:val="00F25258"/>
    <w:rsid w:val="00F25298"/>
    <w:rsid w:val="00F25362"/>
    <w:rsid w:val="00F2539A"/>
    <w:rsid w:val="00F253D3"/>
    <w:rsid w:val="00F25403"/>
    <w:rsid w:val="00F2565A"/>
    <w:rsid w:val="00F2590E"/>
    <w:rsid w:val="00F259C8"/>
    <w:rsid w:val="00F25B45"/>
    <w:rsid w:val="00F25C1C"/>
    <w:rsid w:val="00F26129"/>
    <w:rsid w:val="00F26250"/>
    <w:rsid w:val="00F263A7"/>
    <w:rsid w:val="00F264F1"/>
    <w:rsid w:val="00F2655F"/>
    <w:rsid w:val="00F2725B"/>
    <w:rsid w:val="00F27678"/>
    <w:rsid w:val="00F27924"/>
    <w:rsid w:val="00F27ABE"/>
    <w:rsid w:val="00F27B3D"/>
    <w:rsid w:val="00F27B67"/>
    <w:rsid w:val="00F27BBA"/>
    <w:rsid w:val="00F27CEF"/>
    <w:rsid w:val="00F2F4E1"/>
    <w:rsid w:val="00F3022D"/>
    <w:rsid w:val="00F305D2"/>
    <w:rsid w:val="00F3068B"/>
    <w:rsid w:val="00F30793"/>
    <w:rsid w:val="00F308C0"/>
    <w:rsid w:val="00F30A99"/>
    <w:rsid w:val="00F30B04"/>
    <w:rsid w:val="00F30CF5"/>
    <w:rsid w:val="00F30DDB"/>
    <w:rsid w:val="00F30ECB"/>
    <w:rsid w:val="00F30FA5"/>
    <w:rsid w:val="00F313B9"/>
    <w:rsid w:val="00F313D0"/>
    <w:rsid w:val="00F313F4"/>
    <w:rsid w:val="00F31923"/>
    <w:rsid w:val="00F319A6"/>
    <w:rsid w:val="00F320DA"/>
    <w:rsid w:val="00F32658"/>
    <w:rsid w:val="00F3295C"/>
    <w:rsid w:val="00F329A2"/>
    <w:rsid w:val="00F32FFA"/>
    <w:rsid w:val="00F334D5"/>
    <w:rsid w:val="00F334D8"/>
    <w:rsid w:val="00F334F9"/>
    <w:rsid w:val="00F33537"/>
    <w:rsid w:val="00F3410D"/>
    <w:rsid w:val="00F34257"/>
    <w:rsid w:val="00F34455"/>
    <w:rsid w:val="00F3450C"/>
    <w:rsid w:val="00F347EE"/>
    <w:rsid w:val="00F34ABE"/>
    <w:rsid w:val="00F34D8E"/>
    <w:rsid w:val="00F34E12"/>
    <w:rsid w:val="00F34EB3"/>
    <w:rsid w:val="00F3518B"/>
    <w:rsid w:val="00F351C4"/>
    <w:rsid w:val="00F351F7"/>
    <w:rsid w:val="00F353D7"/>
    <w:rsid w:val="00F35918"/>
    <w:rsid w:val="00F35B4D"/>
    <w:rsid w:val="00F35D01"/>
    <w:rsid w:val="00F35D6C"/>
    <w:rsid w:val="00F35D83"/>
    <w:rsid w:val="00F35F99"/>
    <w:rsid w:val="00F36187"/>
    <w:rsid w:val="00F362F2"/>
    <w:rsid w:val="00F36434"/>
    <w:rsid w:val="00F366D1"/>
    <w:rsid w:val="00F3684E"/>
    <w:rsid w:val="00F36C67"/>
    <w:rsid w:val="00F36F25"/>
    <w:rsid w:val="00F36F39"/>
    <w:rsid w:val="00F36F7D"/>
    <w:rsid w:val="00F370BD"/>
    <w:rsid w:val="00F37262"/>
    <w:rsid w:val="00F3734D"/>
    <w:rsid w:val="00F37424"/>
    <w:rsid w:val="00F374C8"/>
    <w:rsid w:val="00F374DD"/>
    <w:rsid w:val="00F400FC"/>
    <w:rsid w:val="00F4059D"/>
    <w:rsid w:val="00F40839"/>
    <w:rsid w:val="00F40C03"/>
    <w:rsid w:val="00F40E85"/>
    <w:rsid w:val="00F4116A"/>
    <w:rsid w:val="00F412AA"/>
    <w:rsid w:val="00F412D1"/>
    <w:rsid w:val="00F41302"/>
    <w:rsid w:val="00F4169C"/>
    <w:rsid w:val="00F4171D"/>
    <w:rsid w:val="00F41FE5"/>
    <w:rsid w:val="00F420F4"/>
    <w:rsid w:val="00F42158"/>
    <w:rsid w:val="00F4248F"/>
    <w:rsid w:val="00F427C1"/>
    <w:rsid w:val="00F42956"/>
    <w:rsid w:val="00F429D4"/>
    <w:rsid w:val="00F42AAF"/>
    <w:rsid w:val="00F42B0A"/>
    <w:rsid w:val="00F42CA4"/>
    <w:rsid w:val="00F42DD9"/>
    <w:rsid w:val="00F42DEE"/>
    <w:rsid w:val="00F42F4C"/>
    <w:rsid w:val="00F43096"/>
    <w:rsid w:val="00F43265"/>
    <w:rsid w:val="00F43275"/>
    <w:rsid w:val="00F432F9"/>
    <w:rsid w:val="00F433ED"/>
    <w:rsid w:val="00F43721"/>
    <w:rsid w:val="00F439CA"/>
    <w:rsid w:val="00F43A33"/>
    <w:rsid w:val="00F43DA8"/>
    <w:rsid w:val="00F43E34"/>
    <w:rsid w:val="00F43E7F"/>
    <w:rsid w:val="00F4403A"/>
    <w:rsid w:val="00F4406F"/>
    <w:rsid w:val="00F441AC"/>
    <w:rsid w:val="00F442BF"/>
    <w:rsid w:val="00F4469A"/>
    <w:rsid w:val="00F44B5E"/>
    <w:rsid w:val="00F44C5B"/>
    <w:rsid w:val="00F44C61"/>
    <w:rsid w:val="00F44CD4"/>
    <w:rsid w:val="00F44F60"/>
    <w:rsid w:val="00F4515F"/>
    <w:rsid w:val="00F4570F"/>
    <w:rsid w:val="00F45771"/>
    <w:rsid w:val="00F457C6"/>
    <w:rsid w:val="00F45C95"/>
    <w:rsid w:val="00F45FFE"/>
    <w:rsid w:val="00F4630C"/>
    <w:rsid w:val="00F4671E"/>
    <w:rsid w:val="00F46B41"/>
    <w:rsid w:val="00F4751D"/>
    <w:rsid w:val="00F475C0"/>
    <w:rsid w:val="00F47682"/>
    <w:rsid w:val="00F47BBF"/>
    <w:rsid w:val="00F47F04"/>
    <w:rsid w:val="00F5013F"/>
    <w:rsid w:val="00F50500"/>
    <w:rsid w:val="00F5052C"/>
    <w:rsid w:val="00F50551"/>
    <w:rsid w:val="00F5068C"/>
    <w:rsid w:val="00F50758"/>
    <w:rsid w:val="00F50920"/>
    <w:rsid w:val="00F509F7"/>
    <w:rsid w:val="00F50FA0"/>
    <w:rsid w:val="00F51021"/>
    <w:rsid w:val="00F5132E"/>
    <w:rsid w:val="00F5137D"/>
    <w:rsid w:val="00F51529"/>
    <w:rsid w:val="00F51621"/>
    <w:rsid w:val="00F51A00"/>
    <w:rsid w:val="00F51FAA"/>
    <w:rsid w:val="00F5219E"/>
    <w:rsid w:val="00F522D5"/>
    <w:rsid w:val="00F52374"/>
    <w:rsid w:val="00F5266B"/>
    <w:rsid w:val="00F5286E"/>
    <w:rsid w:val="00F52B00"/>
    <w:rsid w:val="00F52D7D"/>
    <w:rsid w:val="00F53425"/>
    <w:rsid w:val="00F534EF"/>
    <w:rsid w:val="00F53753"/>
    <w:rsid w:val="00F5394A"/>
    <w:rsid w:val="00F53CD3"/>
    <w:rsid w:val="00F54051"/>
    <w:rsid w:val="00F54237"/>
    <w:rsid w:val="00F542AF"/>
    <w:rsid w:val="00F543B0"/>
    <w:rsid w:val="00F54870"/>
    <w:rsid w:val="00F54AE6"/>
    <w:rsid w:val="00F54B35"/>
    <w:rsid w:val="00F54B43"/>
    <w:rsid w:val="00F54BA1"/>
    <w:rsid w:val="00F54FA7"/>
    <w:rsid w:val="00F54FC5"/>
    <w:rsid w:val="00F5502C"/>
    <w:rsid w:val="00F55048"/>
    <w:rsid w:val="00F551D2"/>
    <w:rsid w:val="00F5553F"/>
    <w:rsid w:val="00F556B8"/>
    <w:rsid w:val="00F5595B"/>
    <w:rsid w:val="00F55B25"/>
    <w:rsid w:val="00F55B82"/>
    <w:rsid w:val="00F55F99"/>
    <w:rsid w:val="00F55FC5"/>
    <w:rsid w:val="00F5610E"/>
    <w:rsid w:val="00F561FD"/>
    <w:rsid w:val="00F56B03"/>
    <w:rsid w:val="00F56E74"/>
    <w:rsid w:val="00F57243"/>
    <w:rsid w:val="00F5724E"/>
    <w:rsid w:val="00F57753"/>
    <w:rsid w:val="00F577B4"/>
    <w:rsid w:val="00F57854"/>
    <w:rsid w:val="00F579B8"/>
    <w:rsid w:val="00F57AD3"/>
    <w:rsid w:val="00F57C8D"/>
    <w:rsid w:val="00F60695"/>
    <w:rsid w:val="00F60E68"/>
    <w:rsid w:val="00F60F46"/>
    <w:rsid w:val="00F6121B"/>
    <w:rsid w:val="00F61434"/>
    <w:rsid w:val="00F615D4"/>
    <w:rsid w:val="00F616F0"/>
    <w:rsid w:val="00F61731"/>
    <w:rsid w:val="00F617F3"/>
    <w:rsid w:val="00F618D4"/>
    <w:rsid w:val="00F619F8"/>
    <w:rsid w:val="00F61F62"/>
    <w:rsid w:val="00F6203B"/>
    <w:rsid w:val="00F62193"/>
    <w:rsid w:val="00F623D0"/>
    <w:rsid w:val="00F6240E"/>
    <w:rsid w:val="00F62640"/>
    <w:rsid w:val="00F628F8"/>
    <w:rsid w:val="00F62B8C"/>
    <w:rsid w:val="00F62CDB"/>
    <w:rsid w:val="00F62F73"/>
    <w:rsid w:val="00F63144"/>
    <w:rsid w:val="00F63657"/>
    <w:rsid w:val="00F644A8"/>
    <w:rsid w:val="00F644CF"/>
    <w:rsid w:val="00F647DE"/>
    <w:rsid w:val="00F6485B"/>
    <w:rsid w:val="00F64AE8"/>
    <w:rsid w:val="00F65440"/>
    <w:rsid w:val="00F6546E"/>
    <w:rsid w:val="00F654C3"/>
    <w:rsid w:val="00F65653"/>
    <w:rsid w:val="00F6578A"/>
    <w:rsid w:val="00F65A90"/>
    <w:rsid w:val="00F65AC6"/>
    <w:rsid w:val="00F65E23"/>
    <w:rsid w:val="00F66066"/>
    <w:rsid w:val="00F660D4"/>
    <w:rsid w:val="00F665E1"/>
    <w:rsid w:val="00F66717"/>
    <w:rsid w:val="00F66811"/>
    <w:rsid w:val="00F66912"/>
    <w:rsid w:val="00F66BD6"/>
    <w:rsid w:val="00F66EA1"/>
    <w:rsid w:val="00F66F10"/>
    <w:rsid w:val="00F6711E"/>
    <w:rsid w:val="00F67367"/>
    <w:rsid w:val="00F67702"/>
    <w:rsid w:val="00F67E5D"/>
    <w:rsid w:val="00F67E5E"/>
    <w:rsid w:val="00F7041F"/>
    <w:rsid w:val="00F70C8C"/>
    <w:rsid w:val="00F70DC6"/>
    <w:rsid w:val="00F70FD9"/>
    <w:rsid w:val="00F71005"/>
    <w:rsid w:val="00F7114B"/>
    <w:rsid w:val="00F71500"/>
    <w:rsid w:val="00F7157A"/>
    <w:rsid w:val="00F715AA"/>
    <w:rsid w:val="00F715EB"/>
    <w:rsid w:val="00F71634"/>
    <w:rsid w:val="00F71747"/>
    <w:rsid w:val="00F71DE6"/>
    <w:rsid w:val="00F7213B"/>
    <w:rsid w:val="00F72192"/>
    <w:rsid w:val="00F725CA"/>
    <w:rsid w:val="00F7265C"/>
    <w:rsid w:val="00F729AB"/>
    <w:rsid w:val="00F72A9B"/>
    <w:rsid w:val="00F72AFE"/>
    <w:rsid w:val="00F72FE4"/>
    <w:rsid w:val="00F73557"/>
    <w:rsid w:val="00F7357B"/>
    <w:rsid w:val="00F736F8"/>
    <w:rsid w:val="00F73A71"/>
    <w:rsid w:val="00F73AEE"/>
    <w:rsid w:val="00F7431F"/>
    <w:rsid w:val="00F74428"/>
    <w:rsid w:val="00F7442C"/>
    <w:rsid w:val="00F74603"/>
    <w:rsid w:val="00F74775"/>
    <w:rsid w:val="00F74982"/>
    <w:rsid w:val="00F74D49"/>
    <w:rsid w:val="00F74F7D"/>
    <w:rsid w:val="00F7520C"/>
    <w:rsid w:val="00F757EE"/>
    <w:rsid w:val="00F75835"/>
    <w:rsid w:val="00F75D7B"/>
    <w:rsid w:val="00F7612C"/>
    <w:rsid w:val="00F76149"/>
    <w:rsid w:val="00F761BA"/>
    <w:rsid w:val="00F7643F"/>
    <w:rsid w:val="00F7652B"/>
    <w:rsid w:val="00F77C3E"/>
    <w:rsid w:val="00F77C63"/>
    <w:rsid w:val="00F77CE6"/>
    <w:rsid w:val="00F77D0B"/>
    <w:rsid w:val="00F77E1A"/>
    <w:rsid w:val="00F802C9"/>
    <w:rsid w:val="00F8070F"/>
    <w:rsid w:val="00F80DA0"/>
    <w:rsid w:val="00F8111C"/>
    <w:rsid w:val="00F8144A"/>
    <w:rsid w:val="00F81625"/>
    <w:rsid w:val="00F8162E"/>
    <w:rsid w:val="00F816A1"/>
    <w:rsid w:val="00F81A8B"/>
    <w:rsid w:val="00F81AB0"/>
    <w:rsid w:val="00F81C68"/>
    <w:rsid w:val="00F81DF6"/>
    <w:rsid w:val="00F81F75"/>
    <w:rsid w:val="00F820F6"/>
    <w:rsid w:val="00F8225A"/>
    <w:rsid w:val="00F82315"/>
    <w:rsid w:val="00F82728"/>
    <w:rsid w:val="00F82774"/>
    <w:rsid w:val="00F827F4"/>
    <w:rsid w:val="00F82887"/>
    <w:rsid w:val="00F82926"/>
    <w:rsid w:val="00F82DFE"/>
    <w:rsid w:val="00F8317E"/>
    <w:rsid w:val="00F83193"/>
    <w:rsid w:val="00F83197"/>
    <w:rsid w:val="00F832DA"/>
    <w:rsid w:val="00F837E9"/>
    <w:rsid w:val="00F83874"/>
    <w:rsid w:val="00F83FAC"/>
    <w:rsid w:val="00F845A5"/>
    <w:rsid w:val="00F847B6"/>
    <w:rsid w:val="00F84BCF"/>
    <w:rsid w:val="00F8536B"/>
    <w:rsid w:val="00F85461"/>
    <w:rsid w:val="00F85678"/>
    <w:rsid w:val="00F8588D"/>
    <w:rsid w:val="00F858F7"/>
    <w:rsid w:val="00F85909"/>
    <w:rsid w:val="00F85A8A"/>
    <w:rsid w:val="00F85D33"/>
    <w:rsid w:val="00F85D49"/>
    <w:rsid w:val="00F85D8A"/>
    <w:rsid w:val="00F85F56"/>
    <w:rsid w:val="00F8608D"/>
    <w:rsid w:val="00F86274"/>
    <w:rsid w:val="00F86670"/>
    <w:rsid w:val="00F86866"/>
    <w:rsid w:val="00F8688D"/>
    <w:rsid w:val="00F86A86"/>
    <w:rsid w:val="00F86BBF"/>
    <w:rsid w:val="00F87683"/>
    <w:rsid w:val="00F87B94"/>
    <w:rsid w:val="00F87F0C"/>
    <w:rsid w:val="00F87F78"/>
    <w:rsid w:val="00F9005B"/>
    <w:rsid w:val="00F90116"/>
    <w:rsid w:val="00F90453"/>
    <w:rsid w:val="00F90868"/>
    <w:rsid w:val="00F90D42"/>
    <w:rsid w:val="00F9102B"/>
    <w:rsid w:val="00F9104C"/>
    <w:rsid w:val="00F91233"/>
    <w:rsid w:val="00F913E6"/>
    <w:rsid w:val="00F91611"/>
    <w:rsid w:val="00F9167F"/>
    <w:rsid w:val="00F9196A"/>
    <w:rsid w:val="00F9197B"/>
    <w:rsid w:val="00F919D3"/>
    <w:rsid w:val="00F91BE0"/>
    <w:rsid w:val="00F91C0D"/>
    <w:rsid w:val="00F91C4A"/>
    <w:rsid w:val="00F92004"/>
    <w:rsid w:val="00F921A4"/>
    <w:rsid w:val="00F9263A"/>
    <w:rsid w:val="00F926B1"/>
    <w:rsid w:val="00F92A02"/>
    <w:rsid w:val="00F93228"/>
    <w:rsid w:val="00F934BD"/>
    <w:rsid w:val="00F93605"/>
    <w:rsid w:val="00F93B06"/>
    <w:rsid w:val="00F93D5D"/>
    <w:rsid w:val="00F93D68"/>
    <w:rsid w:val="00F93DF6"/>
    <w:rsid w:val="00F93F3D"/>
    <w:rsid w:val="00F9411E"/>
    <w:rsid w:val="00F94355"/>
    <w:rsid w:val="00F9464A"/>
    <w:rsid w:val="00F946C7"/>
    <w:rsid w:val="00F95078"/>
    <w:rsid w:val="00F950AB"/>
    <w:rsid w:val="00F9519C"/>
    <w:rsid w:val="00F95B00"/>
    <w:rsid w:val="00F95CE1"/>
    <w:rsid w:val="00F96290"/>
    <w:rsid w:val="00F9636C"/>
    <w:rsid w:val="00F964E4"/>
    <w:rsid w:val="00F96584"/>
    <w:rsid w:val="00F9678C"/>
    <w:rsid w:val="00F9688C"/>
    <w:rsid w:val="00F96AB7"/>
    <w:rsid w:val="00F96AC1"/>
    <w:rsid w:val="00F96B9F"/>
    <w:rsid w:val="00F96C49"/>
    <w:rsid w:val="00F96E3E"/>
    <w:rsid w:val="00F96E9B"/>
    <w:rsid w:val="00F970EA"/>
    <w:rsid w:val="00F971E0"/>
    <w:rsid w:val="00F97528"/>
    <w:rsid w:val="00F97B51"/>
    <w:rsid w:val="00F97D07"/>
    <w:rsid w:val="00F97D2F"/>
    <w:rsid w:val="00F97E04"/>
    <w:rsid w:val="00FA0C8A"/>
    <w:rsid w:val="00FA0CE1"/>
    <w:rsid w:val="00FA1234"/>
    <w:rsid w:val="00FA1675"/>
    <w:rsid w:val="00FA171E"/>
    <w:rsid w:val="00FA1761"/>
    <w:rsid w:val="00FA18D5"/>
    <w:rsid w:val="00FA195D"/>
    <w:rsid w:val="00FA1BEC"/>
    <w:rsid w:val="00FA1C57"/>
    <w:rsid w:val="00FA1D30"/>
    <w:rsid w:val="00FA1D62"/>
    <w:rsid w:val="00FA1D8C"/>
    <w:rsid w:val="00FA202B"/>
    <w:rsid w:val="00FA2079"/>
    <w:rsid w:val="00FA222E"/>
    <w:rsid w:val="00FA22F9"/>
    <w:rsid w:val="00FA2523"/>
    <w:rsid w:val="00FA2542"/>
    <w:rsid w:val="00FA2A33"/>
    <w:rsid w:val="00FA2D00"/>
    <w:rsid w:val="00FA2FD2"/>
    <w:rsid w:val="00FA3313"/>
    <w:rsid w:val="00FA3391"/>
    <w:rsid w:val="00FA3486"/>
    <w:rsid w:val="00FA34BF"/>
    <w:rsid w:val="00FA3933"/>
    <w:rsid w:val="00FA3C65"/>
    <w:rsid w:val="00FA3DB4"/>
    <w:rsid w:val="00FA3EE8"/>
    <w:rsid w:val="00FA4053"/>
    <w:rsid w:val="00FA4277"/>
    <w:rsid w:val="00FA4494"/>
    <w:rsid w:val="00FA46AD"/>
    <w:rsid w:val="00FA47CE"/>
    <w:rsid w:val="00FA5177"/>
    <w:rsid w:val="00FA5215"/>
    <w:rsid w:val="00FA52F7"/>
    <w:rsid w:val="00FA531C"/>
    <w:rsid w:val="00FA5333"/>
    <w:rsid w:val="00FA5A53"/>
    <w:rsid w:val="00FA60DF"/>
    <w:rsid w:val="00FA6352"/>
    <w:rsid w:val="00FA63D1"/>
    <w:rsid w:val="00FA6460"/>
    <w:rsid w:val="00FA6717"/>
    <w:rsid w:val="00FA6938"/>
    <w:rsid w:val="00FA6A93"/>
    <w:rsid w:val="00FA6F3B"/>
    <w:rsid w:val="00FA701A"/>
    <w:rsid w:val="00FA73C2"/>
    <w:rsid w:val="00FA753D"/>
    <w:rsid w:val="00FA79A7"/>
    <w:rsid w:val="00FA7D46"/>
    <w:rsid w:val="00FA7E89"/>
    <w:rsid w:val="00FA7F12"/>
    <w:rsid w:val="00FA7FA4"/>
    <w:rsid w:val="00FB00A5"/>
    <w:rsid w:val="00FB0294"/>
    <w:rsid w:val="00FB02AE"/>
    <w:rsid w:val="00FB033B"/>
    <w:rsid w:val="00FB0691"/>
    <w:rsid w:val="00FB07C9"/>
    <w:rsid w:val="00FB0815"/>
    <w:rsid w:val="00FB0824"/>
    <w:rsid w:val="00FB0FCA"/>
    <w:rsid w:val="00FB1388"/>
    <w:rsid w:val="00FB1689"/>
    <w:rsid w:val="00FB16D1"/>
    <w:rsid w:val="00FB1935"/>
    <w:rsid w:val="00FB1A25"/>
    <w:rsid w:val="00FB20D0"/>
    <w:rsid w:val="00FB230A"/>
    <w:rsid w:val="00FB2592"/>
    <w:rsid w:val="00FB27B3"/>
    <w:rsid w:val="00FB2849"/>
    <w:rsid w:val="00FB29DF"/>
    <w:rsid w:val="00FB2BD3"/>
    <w:rsid w:val="00FB2D3A"/>
    <w:rsid w:val="00FB2F51"/>
    <w:rsid w:val="00FB30A3"/>
    <w:rsid w:val="00FB3389"/>
    <w:rsid w:val="00FB3570"/>
    <w:rsid w:val="00FB382D"/>
    <w:rsid w:val="00FB38C0"/>
    <w:rsid w:val="00FB3918"/>
    <w:rsid w:val="00FB3DAA"/>
    <w:rsid w:val="00FB408F"/>
    <w:rsid w:val="00FB451B"/>
    <w:rsid w:val="00FB4734"/>
    <w:rsid w:val="00FB47E9"/>
    <w:rsid w:val="00FB4990"/>
    <w:rsid w:val="00FB4A62"/>
    <w:rsid w:val="00FB4D0F"/>
    <w:rsid w:val="00FB4DFD"/>
    <w:rsid w:val="00FB4E6A"/>
    <w:rsid w:val="00FB4EFF"/>
    <w:rsid w:val="00FB5011"/>
    <w:rsid w:val="00FB52AC"/>
    <w:rsid w:val="00FB546B"/>
    <w:rsid w:val="00FB54E7"/>
    <w:rsid w:val="00FB5C33"/>
    <w:rsid w:val="00FB5D69"/>
    <w:rsid w:val="00FB5DC1"/>
    <w:rsid w:val="00FB64B8"/>
    <w:rsid w:val="00FB6792"/>
    <w:rsid w:val="00FB6D76"/>
    <w:rsid w:val="00FB6D7F"/>
    <w:rsid w:val="00FB6EF3"/>
    <w:rsid w:val="00FB7029"/>
    <w:rsid w:val="00FB71AD"/>
    <w:rsid w:val="00FB746D"/>
    <w:rsid w:val="00FB7547"/>
    <w:rsid w:val="00FB757B"/>
    <w:rsid w:val="00FB790D"/>
    <w:rsid w:val="00FB797B"/>
    <w:rsid w:val="00FB79B6"/>
    <w:rsid w:val="00FB7FF7"/>
    <w:rsid w:val="00FC00EA"/>
    <w:rsid w:val="00FC03B6"/>
    <w:rsid w:val="00FC047B"/>
    <w:rsid w:val="00FC047D"/>
    <w:rsid w:val="00FC048A"/>
    <w:rsid w:val="00FC04AB"/>
    <w:rsid w:val="00FC0536"/>
    <w:rsid w:val="00FC07BE"/>
    <w:rsid w:val="00FC084D"/>
    <w:rsid w:val="00FC0D4A"/>
    <w:rsid w:val="00FC0E08"/>
    <w:rsid w:val="00FC0EC2"/>
    <w:rsid w:val="00FC0FDB"/>
    <w:rsid w:val="00FC14C1"/>
    <w:rsid w:val="00FC19F7"/>
    <w:rsid w:val="00FC2233"/>
    <w:rsid w:val="00FC24B6"/>
    <w:rsid w:val="00FC2B7F"/>
    <w:rsid w:val="00FC2C55"/>
    <w:rsid w:val="00FC33E0"/>
    <w:rsid w:val="00FC34FE"/>
    <w:rsid w:val="00FC387E"/>
    <w:rsid w:val="00FC3E2D"/>
    <w:rsid w:val="00FC3E5B"/>
    <w:rsid w:val="00FC3F08"/>
    <w:rsid w:val="00FC4030"/>
    <w:rsid w:val="00FC40ED"/>
    <w:rsid w:val="00FC415C"/>
    <w:rsid w:val="00FC429D"/>
    <w:rsid w:val="00FC4509"/>
    <w:rsid w:val="00FC4B0E"/>
    <w:rsid w:val="00FC4BB2"/>
    <w:rsid w:val="00FC4E20"/>
    <w:rsid w:val="00FC5017"/>
    <w:rsid w:val="00FC504F"/>
    <w:rsid w:val="00FC5166"/>
    <w:rsid w:val="00FC522A"/>
    <w:rsid w:val="00FC5CB7"/>
    <w:rsid w:val="00FC5D45"/>
    <w:rsid w:val="00FC5DA4"/>
    <w:rsid w:val="00FC5F38"/>
    <w:rsid w:val="00FC606E"/>
    <w:rsid w:val="00FC63D2"/>
    <w:rsid w:val="00FC6A63"/>
    <w:rsid w:val="00FC6B33"/>
    <w:rsid w:val="00FC6BA2"/>
    <w:rsid w:val="00FC6CF1"/>
    <w:rsid w:val="00FC7272"/>
    <w:rsid w:val="00FC7357"/>
    <w:rsid w:val="00FC7633"/>
    <w:rsid w:val="00FC79C1"/>
    <w:rsid w:val="00FC79ED"/>
    <w:rsid w:val="00FC7CE4"/>
    <w:rsid w:val="00FC7D75"/>
    <w:rsid w:val="00FD00ED"/>
    <w:rsid w:val="00FD01E1"/>
    <w:rsid w:val="00FD03EC"/>
    <w:rsid w:val="00FD0507"/>
    <w:rsid w:val="00FD051C"/>
    <w:rsid w:val="00FD0624"/>
    <w:rsid w:val="00FD09E2"/>
    <w:rsid w:val="00FD0BE4"/>
    <w:rsid w:val="00FD0F45"/>
    <w:rsid w:val="00FD15FF"/>
    <w:rsid w:val="00FD165C"/>
    <w:rsid w:val="00FD16E7"/>
    <w:rsid w:val="00FD1CE6"/>
    <w:rsid w:val="00FD1DEA"/>
    <w:rsid w:val="00FD1EB4"/>
    <w:rsid w:val="00FD21B8"/>
    <w:rsid w:val="00FD2498"/>
    <w:rsid w:val="00FD283E"/>
    <w:rsid w:val="00FD2C75"/>
    <w:rsid w:val="00FD2CAE"/>
    <w:rsid w:val="00FD2D93"/>
    <w:rsid w:val="00FD2EFA"/>
    <w:rsid w:val="00FD3175"/>
    <w:rsid w:val="00FD318E"/>
    <w:rsid w:val="00FD3650"/>
    <w:rsid w:val="00FD3945"/>
    <w:rsid w:val="00FD3AA2"/>
    <w:rsid w:val="00FD3D09"/>
    <w:rsid w:val="00FD3D83"/>
    <w:rsid w:val="00FD45B8"/>
    <w:rsid w:val="00FD46AA"/>
    <w:rsid w:val="00FD48EF"/>
    <w:rsid w:val="00FD4994"/>
    <w:rsid w:val="00FD4A83"/>
    <w:rsid w:val="00FD4BC3"/>
    <w:rsid w:val="00FD4FFB"/>
    <w:rsid w:val="00FD50F1"/>
    <w:rsid w:val="00FD5367"/>
    <w:rsid w:val="00FD5515"/>
    <w:rsid w:val="00FD5725"/>
    <w:rsid w:val="00FD5B70"/>
    <w:rsid w:val="00FD5DC4"/>
    <w:rsid w:val="00FD5FAF"/>
    <w:rsid w:val="00FD63D4"/>
    <w:rsid w:val="00FD6698"/>
    <w:rsid w:val="00FD6A41"/>
    <w:rsid w:val="00FD6AE3"/>
    <w:rsid w:val="00FD73B3"/>
    <w:rsid w:val="00FD77A1"/>
    <w:rsid w:val="00FD7BC4"/>
    <w:rsid w:val="00FE0115"/>
    <w:rsid w:val="00FE01E3"/>
    <w:rsid w:val="00FE034A"/>
    <w:rsid w:val="00FE11E9"/>
    <w:rsid w:val="00FE1504"/>
    <w:rsid w:val="00FE175C"/>
    <w:rsid w:val="00FE17A5"/>
    <w:rsid w:val="00FE19F2"/>
    <w:rsid w:val="00FE2023"/>
    <w:rsid w:val="00FE22A5"/>
    <w:rsid w:val="00FE2438"/>
    <w:rsid w:val="00FE2D69"/>
    <w:rsid w:val="00FE2E46"/>
    <w:rsid w:val="00FE33D9"/>
    <w:rsid w:val="00FE3D9E"/>
    <w:rsid w:val="00FE4103"/>
    <w:rsid w:val="00FE4279"/>
    <w:rsid w:val="00FE432E"/>
    <w:rsid w:val="00FE4391"/>
    <w:rsid w:val="00FE441A"/>
    <w:rsid w:val="00FE4826"/>
    <w:rsid w:val="00FE4AEF"/>
    <w:rsid w:val="00FE4C7B"/>
    <w:rsid w:val="00FE4F65"/>
    <w:rsid w:val="00FE549A"/>
    <w:rsid w:val="00FE5979"/>
    <w:rsid w:val="00FE6022"/>
    <w:rsid w:val="00FE604D"/>
    <w:rsid w:val="00FE61E5"/>
    <w:rsid w:val="00FE6258"/>
    <w:rsid w:val="00FE65C2"/>
    <w:rsid w:val="00FE675F"/>
    <w:rsid w:val="00FE6965"/>
    <w:rsid w:val="00FE6C84"/>
    <w:rsid w:val="00FE6D64"/>
    <w:rsid w:val="00FE71C9"/>
    <w:rsid w:val="00FE7224"/>
    <w:rsid w:val="00FE7394"/>
    <w:rsid w:val="00FE7857"/>
    <w:rsid w:val="00FE78FA"/>
    <w:rsid w:val="00FE79F1"/>
    <w:rsid w:val="00FE7A0E"/>
    <w:rsid w:val="00FE7B25"/>
    <w:rsid w:val="00FE7C52"/>
    <w:rsid w:val="00FF0302"/>
    <w:rsid w:val="00FF032B"/>
    <w:rsid w:val="00FF05B4"/>
    <w:rsid w:val="00FF0C2B"/>
    <w:rsid w:val="00FF0DBD"/>
    <w:rsid w:val="00FF0DFD"/>
    <w:rsid w:val="00FF1246"/>
    <w:rsid w:val="00FF147E"/>
    <w:rsid w:val="00FF1802"/>
    <w:rsid w:val="00FF186B"/>
    <w:rsid w:val="00FF193A"/>
    <w:rsid w:val="00FF1DEA"/>
    <w:rsid w:val="00FF1F45"/>
    <w:rsid w:val="00FF23DD"/>
    <w:rsid w:val="00FF24DB"/>
    <w:rsid w:val="00FF2512"/>
    <w:rsid w:val="00FF26A2"/>
    <w:rsid w:val="00FF2F95"/>
    <w:rsid w:val="00FF30A7"/>
    <w:rsid w:val="00FF3104"/>
    <w:rsid w:val="00FF314E"/>
    <w:rsid w:val="00FF3162"/>
    <w:rsid w:val="00FF3495"/>
    <w:rsid w:val="00FF3546"/>
    <w:rsid w:val="00FF39DA"/>
    <w:rsid w:val="00FF3ADD"/>
    <w:rsid w:val="00FF3C57"/>
    <w:rsid w:val="00FF3D4B"/>
    <w:rsid w:val="00FF43FD"/>
    <w:rsid w:val="00FF44EB"/>
    <w:rsid w:val="00FF45BA"/>
    <w:rsid w:val="00FF46E6"/>
    <w:rsid w:val="00FF46F1"/>
    <w:rsid w:val="00FF4769"/>
    <w:rsid w:val="00FF4987"/>
    <w:rsid w:val="00FF4A93"/>
    <w:rsid w:val="00FF4AB7"/>
    <w:rsid w:val="00FF4B2A"/>
    <w:rsid w:val="00FF4B2B"/>
    <w:rsid w:val="00FF4C36"/>
    <w:rsid w:val="00FF4F38"/>
    <w:rsid w:val="00FF53B6"/>
    <w:rsid w:val="00FF56F0"/>
    <w:rsid w:val="00FF5C1E"/>
    <w:rsid w:val="00FF5F62"/>
    <w:rsid w:val="00FF61CF"/>
    <w:rsid w:val="00FF63FB"/>
    <w:rsid w:val="00FF644E"/>
    <w:rsid w:val="00FF695D"/>
    <w:rsid w:val="00FF7467"/>
    <w:rsid w:val="00FF76D4"/>
    <w:rsid w:val="00FF783B"/>
    <w:rsid w:val="00FF7971"/>
    <w:rsid w:val="00FF7D56"/>
    <w:rsid w:val="00FF7F4C"/>
    <w:rsid w:val="0101254A"/>
    <w:rsid w:val="015A24CF"/>
    <w:rsid w:val="0196D2FD"/>
    <w:rsid w:val="019C96F5"/>
    <w:rsid w:val="01D8DE68"/>
    <w:rsid w:val="0209343B"/>
    <w:rsid w:val="02177C4D"/>
    <w:rsid w:val="022824E4"/>
    <w:rsid w:val="0277F0F0"/>
    <w:rsid w:val="027B47B7"/>
    <w:rsid w:val="02C00D22"/>
    <w:rsid w:val="02D57D1C"/>
    <w:rsid w:val="02D85FC0"/>
    <w:rsid w:val="02E20BA0"/>
    <w:rsid w:val="02F4073E"/>
    <w:rsid w:val="02FA2814"/>
    <w:rsid w:val="030A4A61"/>
    <w:rsid w:val="031EA0DF"/>
    <w:rsid w:val="03302FA0"/>
    <w:rsid w:val="035564FB"/>
    <w:rsid w:val="0366BC87"/>
    <w:rsid w:val="03680647"/>
    <w:rsid w:val="03734E99"/>
    <w:rsid w:val="037D49A0"/>
    <w:rsid w:val="039BBCB3"/>
    <w:rsid w:val="03A65A8F"/>
    <w:rsid w:val="03B85A91"/>
    <w:rsid w:val="03D19443"/>
    <w:rsid w:val="03E0D622"/>
    <w:rsid w:val="03EDC2C8"/>
    <w:rsid w:val="04292D47"/>
    <w:rsid w:val="04318407"/>
    <w:rsid w:val="0438D8A1"/>
    <w:rsid w:val="052BC208"/>
    <w:rsid w:val="058CECF0"/>
    <w:rsid w:val="059CEC83"/>
    <w:rsid w:val="05A6896E"/>
    <w:rsid w:val="0626C5BE"/>
    <w:rsid w:val="0641B045"/>
    <w:rsid w:val="06706A79"/>
    <w:rsid w:val="0672F7AA"/>
    <w:rsid w:val="067CC3C8"/>
    <w:rsid w:val="067CC91D"/>
    <w:rsid w:val="06982D13"/>
    <w:rsid w:val="06A6390B"/>
    <w:rsid w:val="06A71548"/>
    <w:rsid w:val="06B31181"/>
    <w:rsid w:val="06D45CFC"/>
    <w:rsid w:val="06EC692F"/>
    <w:rsid w:val="070ED7A6"/>
    <w:rsid w:val="0729656C"/>
    <w:rsid w:val="07434254"/>
    <w:rsid w:val="0762303E"/>
    <w:rsid w:val="0762902F"/>
    <w:rsid w:val="078EE56D"/>
    <w:rsid w:val="079B801C"/>
    <w:rsid w:val="07EB0EB6"/>
    <w:rsid w:val="07F7CE4E"/>
    <w:rsid w:val="083AB638"/>
    <w:rsid w:val="084920F7"/>
    <w:rsid w:val="0854160B"/>
    <w:rsid w:val="08594268"/>
    <w:rsid w:val="085A06F0"/>
    <w:rsid w:val="085DB9D2"/>
    <w:rsid w:val="08C16127"/>
    <w:rsid w:val="08E1C70E"/>
    <w:rsid w:val="08F6279E"/>
    <w:rsid w:val="08F6F75A"/>
    <w:rsid w:val="091E2346"/>
    <w:rsid w:val="093311E0"/>
    <w:rsid w:val="093B3AE1"/>
    <w:rsid w:val="09980351"/>
    <w:rsid w:val="099D0748"/>
    <w:rsid w:val="09CCEAAB"/>
    <w:rsid w:val="09EBC9DB"/>
    <w:rsid w:val="0A158E4F"/>
    <w:rsid w:val="0A1B7530"/>
    <w:rsid w:val="0A52517D"/>
    <w:rsid w:val="0A557C7D"/>
    <w:rsid w:val="0A610C95"/>
    <w:rsid w:val="0A62B807"/>
    <w:rsid w:val="0A82B67C"/>
    <w:rsid w:val="0A918092"/>
    <w:rsid w:val="0AE00BE7"/>
    <w:rsid w:val="0AE24DA4"/>
    <w:rsid w:val="0AEC697F"/>
    <w:rsid w:val="0B22FC82"/>
    <w:rsid w:val="0B38B1D9"/>
    <w:rsid w:val="0B4100EB"/>
    <w:rsid w:val="0B42F463"/>
    <w:rsid w:val="0B4A9672"/>
    <w:rsid w:val="0B69E14B"/>
    <w:rsid w:val="0B98F04D"/>
    <w:rsid w:val="0BA9F619"/>
    <w:rsid w:val="0BBEE921"/>
    <w:rsid w:val="0BEBE311"/>
    <w:rsid w:val="0BFA77A1"/>
    <w:rsid w:val="0C6532FD"/>
    <w:rsid w:val="0C70A32B"/>
    <w:rsid w:val="0CC0BCFF"/>
    <w:rsid w:val="0CF108B0"/>
    <w:rsid w:val="0CF3FB9B"/>
    <w:rsid w:val="0CFB2830"/>
    <w:rsid w:val="0D017BC6"/>
    <w:rsid w:val="0D0E565C"/>
    <w:rsid w:val="0D39D5C6"/>
    <w:rsid w:val="0D42F35D"/>
    <w:rsid w:val="0D478934"/>
    <w:rsid w:val="0D49DFAE"/>
    <w:rsid w:val="0D52BEEA"/>
    <w:rsid w:val="0D587836"/>
    <w:rsid w:val="0D65AF48"/>
    <w:rsid w:val="0D72DF28"/>
    <w:rsid w:val="0D77FE24"/>
    <w:rsid w:val="0DC0A937"/>
    <w:rsid w:val="0DC6B28E"/>
    <w:rsid w:val="0DD323E7"/>
    <w:rsid w:val="0DF83F18"/>
    <w:rsid w:val="0E067DFD"/>
    <w:rsid w:val="0E1264A1"/>
    <w:rsid w:val="0E22B9D9"/>
    <w:rsid w:val="0E2DD8A4"/>
    <w:rsid w:val="0E593216"/>
    <w:rsid w:val="0E6DBA63"/>
    <w:rsid w:val="0E778BCA"/>
    <w:rsid w:val="0E7CA598"/>
    <w:rsid w:val="0EB2DB96"/>
    <w:rsid w:val="0EBD65DE"/>
    <w:rsid w:val="0EC7BF16"/>
    <w:rsid w:val="0EDD698F"/>
    <w:rsid w:val="0EF32C3B"/>
    <w:rsid w:val="0EF8DB67"/>
    <w:rsid w:val="0F15EF69"/>
    <w:rsid w:val="0F4CE8E2"/>
    <w:rsid w:val="0F545A19"/>
    <w:rsid w:val="0FC86BA7"/>
    <w:rsid w:val="0FC8908D"/>
    <w:rsid w:val="0FD6511A"/>
    <w:rsid w:val="0FF2FAC1"/>
    <w:rsid w:val="1018AE81"/>
    <w:rsid w:val="1020AADD"/>
    <w:rsid w:val="102EBC26"/>
    <w:rsid w:val="10507019"/>
    <w:rsid w:val="10DDCAD9"/>
    <w:rsid w:val="10EA78F5"/>
    <w:rsid w:val="10F5E840"/>
    <w:rsid w:val="10F61804"/>
    <w:rsid w:val="110536A6"/>
    <w:rsid w:val="112CBDFC"/>
    <w:rsid w:val="112DB03D"/>
    <w:rsid w:val="116259F5"/>
    <w:rsid w:val="116DF82C"/>
    <w:rsid w:val="117B5F81"/>
    <w:rsid w:val="11D255A4"/>
    <w:rsid w:val="121827C1"/>
    <w:rsid w:val="123E66B1"/>
    <w:rsid w:val="124808F6"/>
    <w:rsid w:val="12637C4F"/>
    <w:rsid w:val="12794D94"/>
    <w:rsid w:val="129E677C"/>
    <w:rsid w:val="12B63C46"/>
    <w:rsid w:val="12C722D1"/>
    <w:rsid w:val="12CDF105"/>
    <w:rsid w:val="13335EF9"/>
    <w:rsid w:val="133ADCA0"/>
    <w:rsid w:val="13454F8D"/>
    <w:rsid w:val="13574EED"/>
    <w:rsid w:val="138673BB"/>
    <w:rsid w:val="139C92CE"/>
    <w:rsid w:val="13ABE1B6"/>
    <w:rsid w:val="13BF391E"/>
    <w:rsid w:val="140F812E"/>
    <w:rsid w:val="142F68DF"/>
    <w:rsid w:val="143D39F5"/>
    <w:rsid w:val="14499556"/>
    <w:rsid w:val="1487572F"/>
    <w:rsid w:val="14B4D77D"/>
    <w:rsid w:val="14C836B8"/>
    <w:rsid w:val="14DB163F"/>
    <w:rsid w:val="14F37D3E"/>
    <w:rsid w:val="1508E443"/>
    <w:rsid w:val="1514322E"/>
    <w:rsid w:val="151DE74D"/>
    <w:rsid w:val="1532F340"/>
    <w:rsid w:val="15381A40"/>
    <w:rsid w:val="157F344C"/>
    <w:rsid w:val="158FFDC9"/>
    <w:rsid w:val="1595942D"/>
    <w:rsid w:val="15AED5E2"/>
    <w:rsid w:val="15C79DCF"/>
    <w:rsid w:val="15DDD438"/>
    <w:rsid w:val="1607A9C5"/>
    <w:rsid w:val="16167DA6"/>
    <w:rsid w:val="1625BDD3"/>
    <w:rsid w:val="165B1384"/>
    <w:rsid w:val="16647D24"/>
    <w:rsid w:val="16676BE0"/>
    <w:rsid w:val="1668B322"/>
    <w:rsid w:val="166CDA55"/>
    <w:rsid w:val="166E7220"/>
    <w:rsid w:val="167FB814"/>
    <w:rsid w:val="168A167B"/>
    <w:rsid w:val="168B980B"/>
    <w:rsid w:val="169A1455"/>
    <w:rsid w:val="169BD48D"/>
    <w:rsid w:val="16EB3799"/>
    <w:rsid w:val="16ED4A64"/>
    <w:rsid w:val="17173984"/>
    <w:rsid w:val="174BEA51"/>
    <w:rsid w:val="17709B0D"/>
    <w:rsid w:val="17755EF1"/>
    <w:rsid w:val="17A227A0"/>
    <w:rsid w:val="17B6B41C"/>
    <w:rsid w:val="17BF74C7"/>
    <w:rsid w:val="17C62259"/>
    <w:rsid w:val="17D7F796"/>
    <w:rsid w:val="17F6B3EE"/>
    <w:rsid w:val="18633430"/>
    <w:rsid w:val="18B62481"/>
    <w:rsid w:val="18D850AF"/>
    <w:rsid w:val="18E8DDCE"/>
    <w:rsid w:val="190344EA"/>
    <w:rsid w:val="19254BD6"/>
    <w:rsid w:val="1928DD54"/>
    <w:rsid w:val="193B1993"/>
    <w:rsid w:val="19561ED7"/>
    <w:rsid w:val="196E986E"/>
    <w:rsid w:val="19A46B4D"/>
    <w:rsid w:val="19C17B29"/>
    <w:rsid w:val="1A17D532"/>
    <w:rsid w:val="1A259B65"/>
    <w:rsid w:val="1A4C39B2"/>
    <w:rsid w:val="1A4F2D63"/>
    <w:rsid w:val="1A591015"/>
    <w:rsid w:val="1A66C3DE"/>
    <w:rsid w:val="1A6C8BF7"/>
    <w:rsid w:val="1A715A3F"/>
    <w:rsid w:val="1A8C009B"/>
    <w:rsid w:val="1A921E4F"/>
    <w:rsid w:val="1A9623E2"/>
    <w:rsid w:val="1AD02874"/>
    <w:rsid w:val="1AD246A4"/>
    <w:rsid w:val="1AF29D23"/>
    <w:rsid w:val="1B0516E7"/>
    <w:rsid w:val="1B226FB7"/>
    <w:rsid w:val="1B2E9F59"/>
    <w:rsid w:val="1B2FF8FC"/>
    <w:rsid w:val="1B32A67D"/>
    <w:rsid w:val="1B4803CF"/>
    <w:rsid w:val="1B498626"/>
    <w:rsid w:val="1B56924D"/>
    <w:rsid w:val="1B81A4B3"/>
    <w:rsid w:val="1B9EEC1B"/>
    <w:rsid w:val="1BB0C867"/>
    <w:rsid w:val="1BB45530"/>
    <w:rsid w:val="1BF9EFC4"/>
    <w:rsid w:val="1BFBCA5A"/>
    <w:rsid w:val="1C1673B7"/>
    <w:rsid w:val="1C1733AA"/>
    <w:rsid w:val="1C2A7B5F"/>
    <w:rsid w:val="1C4C406B"/>
    <w:rsid w:val="1C4CDC64"/>
    <w:rsid w:val="1C57499F"/>
    <w:rsid w:val="1C7DC984"/>
    <w:rsid w:val="1C86FCC7"/>
    <w:rsid w:val="1C9137D2"/>
    <w:rsid w:val="1C975442"/>
    <w:rsid w:val="1CDEC80A"/>
    <w:rsid w:val="1CF92962"/>
    <w:rsid w:val="1CF9D69F"/>
    <w:rsid w:val="1D24E31D"/>
    <w:rsid w:val="1D393620"/>
    <w:rsid w:val="1D644608"/>
    <w:rsid w:val="1D7BC08B"/>
    <w:rsid w:val="1D84B376"/>
    <w:rsid w:val="1D876F6D"/>
    <w:rsid w:val="1DA99249"/>
    <w:rsid w:val="1DB1A5EC"/>
    <w:rsid w:val="1DBDDE9F"/>
    <w:rsid w:val="1DC7F93F"/>
    <w:rsid w:val="1DE0A5D6"/>
    <w:rsid w:val="1DE65443"/>
    <w:rsid w:val="1E00C0AD"/>
    <w:rsid w:val="1E0ED802"/>
    <w:rsid w:val="1E18ABC3"/>
    <w:rsid w:val="1E18DC65"/>
    <w:rsid w:val="1E34CF8B"/>
    <w:rsid w:val="1E4F1BA0"/>
    <w:rsid w:val="1EBCB9CB"/>
    <w:rsid w:val="1EC01862"/>
    <w:rsid w:val="1ED7500D"/>
    <w:rsid w:val="1EFEB1B4"/>
    <w:rsid w:val="1F04F21C"/>
    <w:rsid w:val="1F1531F6"/>
    <w:rsid w:val="1F65C3B8"/>
    <w:rsid w:val="1F9D9E81"/>
    <w:rsid w:val="1F9DBA73"/>
    <w:rsid w:val="1F9E4A7F"/>
    <w:rsid w:val="1FAD7C94"/>
    <w:rsid w:val="1FBCF9D3"/>
    <w:rsid w:val="2000349A"/>
    <w:rsid w:val="201F5049"/>
    <w:rsid w:val="20231731"/>
    <w:rsid w:val="20263028"/>
    <w:rsid w:val="20401692"/>
    <w:rsid w:val="205D1F9A"/>
    <w:rsid w:val="2064BCDA"/>
    <w:rsid w:val="2066FE00"/>
    <w:rsid w:val="207F5007"/>
    <w:rsid w:val="20895C39"/>
    <w:rsid w:val="20A0F60D"/>
    <w:rsid w:val="20AB6671"/>
    <w:rsid w:val="20C2BE8C"/>
    <w:rsid w:val="2144106C"/>
    <w:rsid w:val="21638F5D"/>
    <w:rsid w:val="21831428"/>
    <w:rsid w:val="21937FEC"/>
    <w:rsid w:val="21A8FE65"/>
    <w:rsid w:val="21C082A7"/>
    <w:rsid w:val="21E4E38D"/>
    <w:rsid w:val="22014F74"/>
    <w:rsid w:val="22105514"/>
    <w:rsid w:val="2228AA98"/>
    <w:rsid w:val="22369D22"/>
    <w:rsid w:val="22511894"/>
    <w:rsid w:val="225A9159"/>
    <w:rsid w:val="226400D4"/>
    <w:rsid w:val="2278823E"/>
    <w:rsid w:val="22861A8E"/>
    <w:rsid w:val="228D3AC9"/>
    <w:rsid w:val="22965BD6"/>
    <w:rsid w:val="229A26B2"/>
    <w:rsid w:val="22B07C67"/>
    <w:rsid w:val="22CD84B3"/>
    <w:rsid w:val="22DC81F0"/>
    <w:rsid w:val="230CA021"/>
    <w:rsid w:val="2330ED0D"/>
    <w:rsid w:val="2359FE3A"/>
    <w:rsid w:val="236E1B94"/>
    <w:rsid w:val="2383C724"/>
    <w:rsid w:val="239A668F"/>
    <w:rsid w:val="239CEE75"/>
    <w:rsid w:val="23B070DE"/>
    <w:rsid w:val="23BCAB5B"/>
    <w:rsid w:val="23C19CAE"/>
    <w:rsid w:val="23C9BCE8"/>
    <w:rsid w:val="23E3C2F4"/>
    <w:rsid w:val="23F45CAE"/>
    <w:rsid w:val="2400A899"/>
    <w:rsid w:val="2438BC36"/>
    <w:rsid w:val="2445D697"/>
    <w:rsid w:val="244BD1CB"/>
    <w:rsid w:val="2453B20F"/>
    <w:rsid w:val="249901D8"/>
    <w:rsid w:val="24ACA4CF"/>
    <w:rsid w:val="24C09262"/>
    <w:rsid w:val="24D2796D"/>
    <w:rsid w:val="24DEBAD6"/>
    <w:rsid w:val="25169BDC"/>
    <w:rsid w:val="253240DC"/>
    <w:rsid w:val="2550575E"/>
    <w:rsid w:val="2554D6BA"/>
    <w:rsid w:val="25583F3D"/>
    <w:rsid w:val="257F5156"/>
    <w:rsid w:val="25AA32B6"/>
    <w:rsid w:val="25AD7F8D"/>
    <w:rsid w:val="25D0FB54"/>
    <w:rsid w:val="26350451"/>
    <w:rsid w:val="2651316D"/>
    <w:rsid w:val="265BA75F"/>
    <w:rsid w:val="26789FC1"/>
    <w:rsid w:val="2684F2A2"/>
    <w:rsid w:val="26F966C4"/>
    <w:rsid w:val="26FBBE53"/>
    <w:rsid w:val="26FD3536"/>
    <w:rsid w:val="26FE2DCE"/>
    <w:rsid w:val="271B9D0E"/>
    <w:rsid w:val="273E788A"/>
    <w:rsid w:val="2753BBCA"/>
    <w:rsid w:val="275DBE08"/>
    <w:rsid w:val="2760523D"/>
    <w:rsid w:val="279FE755"/>
    <w:rsid w:val="27A22509"/>
    <w:rsid w:val="27AEDF70"/>
    <w:rsid w:val="27B18A21"/>
    <w:rsid w:val="27B366AC"/>
    <w:rsid w:val="27C90057"/>
    <w:rsid w:val="27CF49C3"/>
    <w:rsid w:val="27D2CC0B"/>
    <w:rsid w:val="27E1BD7F"/>
    <w:rsid w:val="27FDE00B"/>
    <w:rsid w:val="280270E3"/>
    <w:rsid w:val="280C9732"/>
    <w:rsid w:val="2828B198"/>
    <w:rsid w:val="283BE0A9"/>
    <w:rsid w:val="284F44EA"/>
    <w:rsid w:val="285F7AAB"/>
    <w:rsid w:val="28709D5F"/>
    <w:rsid w:val="28C477A3"/>
    <w:rsid w:val="28DF41FF"/>
    <w:rsid w:val="28DF8CBF"/>
    <w:rsid w:val="2908D0D5"/>
    <w:rsid w:val="291A3851"/>
    <w:rsid w:val="292E0185"/>
    <w:rsid w:val="295D58E9"/>
    <w:rsid w:val="298526BF"/>
    <w:rsid w:val="29A11180"/>
    <w:rsid w:val="29EFE501"/>
    <w:rsid w:val="2A03C256"/>
    <w:rsid w:val="2A10591D"/>
    <w:rsid w:val="2A17E5B8"/>
    <w:rsid w:val="2A1D8259"/>
    <w:rsid w:val="2A30BB3D"/>
    <w:rsid w:val="2A47F32E"/>
    <w:rsid w:val="2A6394E6"/>
    <w:rsid w:val="2A7208AA"/>
    <w:rsid w:val="2A7A9AE3"/>
    <w:rsid w:val="2A9D1030"/>
    <w:rsid w:val="2ACAB928"/>
    <w:rsid w:val="2AD1E59A"/>
    <w:rsid w:val="2ADE03DC"/>
    <w:rsid w:val="2AE3A063"/>
    <w:rsid w:val="2AF348C5"/>
    <w:rsid w:val="2AFA0791"/>
    <w:rsid w:val="2AFBCBBD"/>
    <w:rsid w:val="2B1BF205"/>
    <w:rsid w:val="2B4D5058"/>
    <w:rsid w:val="2B764BEA"/>
    <w:rsid w:val="2B83810A"/>
    <w:rsid w:val="2BA4E862"/>
    <w:rsid w:val="2BE86EC9"/>
    <w:rsid w:val="2BE92FE5"/>
    <w:rsid w:val="2C025938"/>
    <w:rsid w:val="2C49CC30"/>
    <w:rsid w:val="2C5CAEDF"/>
    <w:rsid w:val="2C697AF1"/>
    <w:rsid w:val="2C78A47E"/>
    <w:rsid w:val="2C7C9837"/>
    <w:rsid w:val="2C8D3E71"/>
    <w:rsid w:val="2CC11F77"/>
    <w:rsid w:val="2CDC2464"/>
    <w:rsid w:val="2CE1F0DF"/>
    <w:rsid w:val="2D0638CA"/>
    <w:rsid w:val="2D30B5F7"/>
    <w:rsid w:val="2D313AE2"/>
    <w:rsid w:val="2D61B3E2"/>
    <w:rsid w:val="2D6FF69A"/>
    <w:rsid w:val="2D7F9B41"/>
    <w:rsid w:val="2DABF5ED"/>
    <w:rsid w:val="2DBCBFC4"/>
    <w:rsid w:val="2DD0D6B2"/>
    <w:rsid w:val="2DF1392C"/>
    <w:rsid w:val="2DFA519F"/>
    <w:rsid w:val="2E214C9F"/>
    <w:rsid w:val="2E3CDCEB"/>
    <w:rsid w:val="2E436DEC"/>
    <w:rsid w:val="2E4585B6"/>
    <w:rsid w:val="2E5894CB"/>
    <w:rsid w:val="2E5DB97A"/>
    <w:rsid w:val="2E952163"/>
    <w:rsid w:val="2EB9FF38"/>
    <w:rsid w:val="2EC5BFD0"/>
    <w:rsid w:val="2F25B8AA"/>
    <w:rsid w:val="2F2F6CD2"/>
    <w:rsid w:val="2F7AEB84"/>
    <w:rsid w:val="2F93EA63"/>
    <w:rsid w:val="2F97D5E5"/>
    <w:rsid w:val="2F999C4F"/>
    <w:rsid w:val="2FE5434F"/>
    <w:rsid w:val="2FE8954B"/>
    <w:rsid w:val="2FEEE6A0"/>
    <w:rsid w:val="30154501"/>
    <w:rsid w:val="30225288"/>
    <w:rsid w:val="302A38CB"/>
    <w:rsid w:val="30339966"/>
    <w:rsid w:val="306F86A9"/>
    <w:rsid w:val="30873B06"/>
    <w:rsid w:val="30AA30E5"/>
    <w:rsid w:val="30B49509"/>
    <w:rsid w:val="30C825D8"/>
    <w:rsid w:val="30CD34D0"/>
    <w:rsid w:val="30D4701D"/>
    <w:rsid w:val="30DBA599"/>
    <w:rsid w:val="30F74CDA"/>
    <w:rsid w:val="312EF064"/>
    <w:rsid w:val="313A0D35"/>
    <w:rsid w:val="315A8A2C"/>
    <w:rsid w:val="31655E8A"/>
    <w:rsid w:val="317EA7CA"/>
    <w:rsid w:val="31841073"/>
    <w:rsid w:val="31AC2957"/>
    <w:rsid w:val="31BB6BFD"/>
    <w:rsid w:val="31C2C0BE"/>
    <w:rsid w:val="31D18F94"/>
    <w:rsid w:val="31E7F3CD"/>
    <w:rsid w:val="320A8488"/>
    <w:rsid w:val="320EF94B"/>
    <w:rsid w:val="321DA1C8"/>
    <w:rsid w:val="3222E853"/>
    <w:rsid w:val="32260510"/>
    <w:rsid w:val="324DB1A1"/>
    <w:rsid w:val="3292D751"/>
    <w:rsid w:val="32A48020"/>
    <w:rsid w:val="32A805DD"/>
    <w:rsid w:val="32AF7F44"/>
    <w:rsid w:val="32BFA943"/>
    <w:rsid w:val="32D12353"/>
    <w:rsid w:val="3318D151"/>
    <w:rsid w:val="33298CB2"/>
    <w:rsid w:val="332B00EB"/>
    <w:rsid w:val="33393747"/>
    <w:rsid w:val="334A63E8"/>
    <w:rsid w:val="3371470D"/>
    <w:rsid w:val="337B00CA"/>
    <w:rsid w:val="33A83959"/>
    <w:rsid w:val="33A8B612"/>
    <w:rsid w:val="33DF86B1"/>
    <w:rsid w:val="33E14057"/>
    <w:rsid w:val="33E37C51"/>
    <w:rsid w:val="33F81AC6"/>
    <w:rsid w:val="34167C09"/>
    <w:rsid w:val="34359170"/>
    <w:rsid w:val="3481A867"/>
    <w:rsid w:val="34B0B330"/>
    <w:rsid w:val="34BBA1CF"/>
    <w:rsid w:val="34CC3975"/>
    <w:rsid w:val="350C49B5"/>
    <w:rsid w:val="353D9F37"/>
    <w:rsid w:val="353F0E66"/>
    <w:rsid w:val="356A8FDE"/>
    <w:rsid w:val="356A9B2E"/>
    <w:rsid w:val="356C6148"/>
    <w:rsid w:val="358B2F10"/>
    <w:rsid w:val="35A61283"/>
    <w:rsid w:val="35B4893C"/>
    <w:rsid w:val="35C85FEA"/>
    <w:rsid w:val="36070343"/>
    <w:rsid w:val="36375284"/>
    <w:rsid w:val="364B3B5F"/>
    <w:rsid w:val="3653FDF2"/>
    <w:rsid w:val="366C5D15"/>
    <w:rsid w:val="368C0D00"/>
    <w:rsid w:val="368CA0AF"/>
    <w:rsid w:val="369028D8"/>
    <w:rsid w:val="36A34489"/>
    <w:rsid w:val="36A6588A"/>
    <w:rsid w:val="36AB1616"/>
    <w:rsid w:val="36D975C7"/>
    <w:rsid w:val="36DC1935"/>
    <w:rsid w:val="36EDF107"/>
    <w:rsid w:val="3712E45D"/>
    <w:rsid w:val="3713BD26"/>
    <w:rsid w:val="373D104B"/>
    <w:rsid w:val="379DAABC"/>
    <w:rsid w:val="37E061DF"/>
    <w:rsid w:val="37EEC481"/>
    <w:rsid w:val="37F3C0EB"/>
    <w:rsid w:val="37FCFA7E"/>
    <w:rsid w:val="3801CE9C"/>
    <w:rsid w:val="381D7E6A"/>
    <w:rsid w:val="38396BBA"/>
    <w:rsid w:val="3844ADB9"/>
    <w:rsid w:val="3851BE6B"/>
    <w:rsid w:val="3880A296"/>
    <w:rsid w:val="38D10A43"/>
    <w:rsid w:val="3921C222"/>
    <w:rsid w:val="395973CF"/>
    <w:rsid w:val="397ED5FE"/>
    <w:rsid w:val="3984DA7A"/>
    <w:rsid w:val="39904E35"/>
    <w:rsid w:val="39AA38F9"/>
    <w:rsid w:val="39BA3EA0"/>
    <w:rsid w:val="39BE06E3"/>
    <w:rsid w:val="39E435FD"/>
    <w:rsid w:val="3A20E04A"/>
    <w:rsid w:val="3A24D1CC"/>
    <w:rsid w:val="3A2B6A29"/>
    <w:rsid w:val="3A454204"/>
    <w:rsid w:val="3A66CD68"/>
    <w:rsid w:val="3A6FBE69"/>
    <w:rsid w:val="3A83341C"/>
    <w:rsid w:val="3A869023"/>
    <w:rsid w:val="3A8F25CC"/>
    <w:rsid w:val="3AB8E272"/>
    <w:rsid w:val="3ABD6079"/>
    <w:rsid w:val="3AC9AC42"/>
    <w:rsid w:val="3ACC8B1D"/>
    <w:rsid w:val="3AD359BE"/>
    <w:rsid w:val="3B231450"/>
    <w:rsid w:val="3B29E145"/>
    <w:rsid w:val="3B36BF36"/>
    <w:rsid w:val="3B77EB0B"/>
    <w:rsid w:val="3B86883C"/>
    <w:rsid w:val="3B87D28E"/>
    <w:rsid w:val="3B9736DC"/>
    <w:rsid w:val="3BB94644"/>
    <w:rsid w:val="3BCEB585"/>
    <w:rsid w:val="3BD5190D"/>
    <w:rsid w:val="3BF6726E"/>
    <w:rsid w:val="3C023E43"/>
    <w:rsid w:val="3C1E488B"/>
    <w:rsid w:val="3C3BFEDA"/>
    <w:rsid w:val="3CA7697E"/>
    <w:rsid w:val="3CEC9AD1"/>
    <w:rsid w:val="3CF13750"/>
    <w:rsid w:val="3D1BC7B2"/>
    <w:rsid w:val="3D4FE2A6"/>
    <w:rsid w:val="3D56C86F"/>
    <w:rsid w:val="3D5E85E8"/>
    <w:rsid w:val="3D7FA58F"/>
    <w:rsid w:val="3D886AC5"/>
    <w:rsid w:val="3DA18F0F"/>
    <w:rsid w:val="3DADEB04"/>
    <w:rsid w:val="3DBE1E79"/>
    <w:rsid w:val="3DDA4731"/>
    <w:rsid w:val="3DE026BB"/>
    <w:rsid w:val="3E2599F3"/>
    <w:rsid w:val="3E2D212C"/>
    <w:rsid w:val="3E77D089"/>
    <w:rsid w:val="3E782EBB"/>
    <w:rsid w:val="3E9803FD"/>
    <w:rsid w:val="3EB3844F"/>
    <w:rsid w:val="3EB9E428"/>
    <w:rsid w:val="3EE4C045"/>
    <w:rsid w:val="3F190953"/>
    <w:rsid w:val="3F1B4122"/>
    <w:rsid w:val="3F2C2541"/>
    <w:rsid w:val="3F37D4E5"/>
    <w:rsid w:val="3F4AD816"/>
    <w:rsid w:val="3F5DE4FD"/>
    <w:rsid w:val="3F72C7DD"/>
    <w:rsid w:val="3F7FDB5D"/>
    <w:rsid w:val="3F8BBDCA"/>
    <w:rsid w:val="3F95E5E6"/>
    <w:rsid w:val="3FD79E27"/>
    <w:rsid w:val="3FEBCC8D"/>
    <w:rsid w:val="3FFF5D44"/>
    <w:rsid w:val="4009BFE7"/>
    <w:rsid w:val="400D4C92"/>
    <w:rsid w:val="40160A12"/>
    <w:rsid w:val="40231831"/>
    <w:rsid w:val="403A1B9F"/>
    <w:rsid w:val="4070C609"/>
    <w:rsid w:val="40A3EC60"/>
    <w:rsid w:val="40B0BC90"/>
    <w:rsid w:val="40C8EE4E"/>
    <w:rsid w:val="40E966A5"/>
    <w:rsid w:val="410BD80E"/>
    <w:rsid w:val="41317CA2"/>
    <w:rsid w:val="413AE809"/>
    <w:rsid w:val="416C1E24"/>
    <w:rsid w:val="41A9D663"/>
    <w:rsid w:val="41BEF81C"/>
    <w:rsid w:val="41D197D5"/>
    <w:rsid w:val="421E6ED8"/>
    <w:rsid w:val="42361996"/>
    <w:rsid w:val="423F91F6"/>
    <w:rsid w:val="42648F0E"/>
    <w:rsid w:val="4268641E"/>
    <w:rsid w:val="428E2302"/>
    <w:rsid w:val="429505FF"/>
    <w:rsid w:val="42955D65"/>
    <w:rsid w:val="42978446"/>
    <w:rsid w:val="429911A9"/>
    <w:rsid w:val="42BADBEE"/>
    <w:rsid w:val="42D0A485"/>
    <w:rsid w:val="42D31F80"/>
    <w:rsid w:val="42FFA1B9"/>
    <w:rsid w:val="4313A4DD"/>
    <w:rsid w:val="433AE566"/>
    <w:rsid w:val="43406FB5"/>
    <w:rsid w:val="43498C0D"/>
    <w:rsid w:val="434D2A62"/>
    <w:rsid w:val="4350218A"/>
    <w:rsid w:val="435106CB"/>
    <w:rsid w:val="4368890D"/>
    <w:rsid w:val="436CD3A0"/>
    <w:rsid w:val="436FEAC5"/>
    <w:rsid w:val="43CC15AE"/>
    <w:rsid w:val="43CCBDAA"/>
    <w:rsid w:val="43F8C81D"/>
    <w:rsid w:val="442E36AF"/>
    <w:rsid w:val="446348F3"/>
    <w:rsid w:val="447F9542"/>
    <w:rsid w:val="449CB981"/>
    <w:rsid w:val="44B08F43"/>
    <w:rsid w:val="44B83F03"/>
    <w:rsid w:val="44D72A42"/>
    <w:rsid w:val="44F7346A"/>
    <w:rsid w:val="4524DC82"/>
    <w:rsid w:val="4572CE51"/>
    <w:rsid w:val="457767F5"/>
    <w:rsid w:val="4583F7D1"/>
    <w:rsid w:val="459685E0"/>
    <w:rsid w:val="45B86A5D"/>
    <w:rsid w:val="45F6D56E"/>
    <w:rsid w:val="45F7BB8E"/>
    <w:rsid w:val="45F9B325"/>
    <w:rsid w:val="4616208A"/>
    <w:rsid w:val="4624C096"/>
    <w:rsid w:val="4656FB3A"/>
    <w:rsid w:val="465C59A7"/>
    <w:rsid w:val="465FC840"/>
    <w:rsid w:val="4667046B"/>
    <w:rsid w:val="4692B5DF"/>
    <w:rsid w:val="46DF401D"/>
    <w:rsid w:val="470454C8"/>
    <w:rsid w:val="4704A9A8"/>
    <w:rsid w:val="47199601"/>
    <w:rsid w:val="471F2774"/>
    <w:rsid w:val="4742655E"/>
    <w:rsid w:val="474F4735"/>
    <w:rsid w:val="47537841"/>
    <w:rsid w:val="47835B62"/>
    <w:rsid w:val="4789AAA9"/>
    <w:rsid w:val="478AAD0F"/>
    <w:rsid w:val="47B5221A"/>
    <w:rsid w:val="47B89DD4"/>
    <w:rsid w:val="47EE7BEF"/>
    <w:rsid w:val="47FB6A1E"/>
    <w:rsid w:val="47FE7B8C"/>
    <w:rsid w:val="4802DFE0"/>
    <w:rsid w:val="48046964"/>
    <w:rsid w:val="480E6EA9"/>
    <w:rsid w:val="481DF4D9"/>
    <w:rsid w:val="483D900A"/>
    <w:rsid w:val="485B21DF"/>
    <w:rsid w:val="4894BDE2"/>
    <w:rsid w:val="48BC7BA5"/>
    <w:rsid w:val="48DA7F86"/>
    <w:rsid w:val="490008E3"/>
    <w:rsid w:val="4953D353"/>
    <w:rsid w:val="495C1954"/>
    <w:rsid w:val="4963AC44"/>
    <w:rsid w:val="49869B81"/>
    <w:rsid w:val="498E595D"/>
    <w:rsid w:val="499692A4"/>
    <w:rsid w:val="49B3686D"/>
    <w:rsid w:val="49B5000B"/>
    <w:rsid w:val="49C6468D"/>
    <w:rsid w:val="49DEE4F6"/>
    <w:rsid w:val="49E11588"/>
    <w:rsid w:val="49E5D2C5"/>
    <w:rsid w:val="49F50DC3"/>
    <w:rsid w:val="4A003F41"/>
    <w:rsid w:val="4A36388B"/>
    <w:rsid w:val="4A43DA79"/>
    <w:rsid w:val="4A67C1E0"/>
    <w:rsid w:val="4A7B2665"/>
    <w:rsid w:val="4A7D9517"/>
    <w:rsid w:val="4A7E39CF"/>
    <w:rsid w:val="4A8A807C"/>
    <w:rsid w:val="4AB1C86F"/>
    <w:rsid w:val="4ACD874C"/>
    <w:rsid w:val="4ADA3F9C"/>
    <w:rsid w:val="4AFBE77C"/>
    <w:rsid w:val="4AFE0295"/>
    <w:rsid w:val="4B005796"/>
    <w:rsid w:val="4B07E00A"/>
    <w:rsid w:val="4B08B2A1"/>
    <w:rsid w:val="4B0C6D5A"/>
    <w:rsid w:val="4B2D1BB8"/>
    <w:rsid w:val="4B46D577"/>
    <w:rsid w:val="4B49B706"/>
    <w:rsid w:val="4B529A85"/>
    <w:rsid w:val="4B96D9BD"/>
    <w:rsid w:val="4B9C84CF"/>
    <w:rsid w:val="4BDC7407"/>
    <w:rsid w:val="4C006DC7"/>
    <w:rsid w:val="4C0E182A"/>
    <w:rsid w:val="4C204268"/>
    <w:rsid w:val="4C32A105"/>
    <w:rsid w:val="4C4F2A09"/>
    <w:rsid w:val="4C7D571B"/>
    <w:rsid w:val="4C7E34F6"/>
    <w:rsid w:val="4CA5572D"/>
    <w:rsid w:val="4CB229DD"/>
    <w:rsid w:val="4CD6877D"/>
    <w:rsid w:val="4CE3B3F6"/>
    <w:rsid w:val="4CF81BCD"/>
    <w:rsid w:val="4D2CE4D6"/>
    <w:rsid w:val="4D30AE14"/>
    <w:rsid w:val="4D9CD5B4"/>
    <w:rsid w:val="4DA482C9"/>
    <w:rsid w:val="4DCDF26E"/>
    <w:rsid w:val="4E2BBC95"/>
    <w:rsid w:val="4E3815A9"/>
    <w:rsid w:val="4E656559"/>
    <w:rsid w:val="4E66F5CE"/>
    <w:rsid w:val="4E9C6D69"/>
    <w:rsid w:val="4EB0A000"/>
    <w:rsid w:val="4EBCE661"/>
    <w:rsid w:val="4EE8FB89"/>
    <w:rsid w:val="4EEEF1E7"/>
    <w:rsid w:val="4EF7F601"/>
    <w:rsid w:val="4F184001"/>
    <w:rsid w:val="4F7080C3"/>
    <w:rsid w:val="4F8BA687"/>
    <w:rsid w:val="4F945047"/>
    <w:rsid w:val="4F9AA09B"/>
    <w:rsid w:val="4FD5ED53"/>
    <w:rsid w:val="4FDB6429"/>
    <w:rsid w:val="4FE57A3F"/>
    <w:rsid w:val="500D82DC"/>
    <w:rsid w:val="50540EA2"/>
    <w:rsid w:val="50683257"/>
    <w:rsid w:val="50966E2F"/>
    <w:rsid w:val="512B72F1"/>
    <w:rsid w:val="51369F9C"/>
    <w:rsid w:val="513CF491"/>
    <w:rsid w:val="51439C5B"/>
    <w:rsid w:val="51584152"/>
    <w:rsid w:val="517CF77A"/>
    <w:rsid w:val="51A400F4"/>
    <w:rsid w:val="51B4DF8F"/>
    <w:rsid w:val="51D4159D"/>
    <w:rsid w:val="51D88DA2"/>
    <w:rsid w:val="51F85FD9"/>
    <w:rsid w:val="525A9991"/>
    <w:rsid w:val="53066092"/>
    <w:rsid w:val="5317C537"/>
    <w:rsid w:val="532399E3"/>
    <w:rsid w:val="532DD4CA"/>
    <w:rsid w:val="534AE11A"/>
    <w:rsid w:val="534EC8B6"/>
    <w:rsid w:val="53666484"/>
    <w:rsid w:val="537BFC52"/>
    <w:rsid w:val="538F922D"/>
    <w:rsid w:val="53B98E14"/>
    <w:rsid w:val="53D79A91"/>
    <w:rsid w:val="53E15BBE"/>
    <w:rsid w:val="53EE5750"/>
    <w:rsid w:val="53F57434"/>
    <w:rsid w:val="5449D9AA"/>
    <w:rsid w:val="54A51F75"/>
    <w:rsid w:val="54F7FF5E"/>
    <w:rsid w:val="54F965EA"/>
    <w:rsid w:val="5501AD3E"/>
    <w:rsid w:val="550B8642"/>
    <w:rsid w:val="551D8245"/>
    <w:rsid w:val="55236D25"/>
    <w:rsid w:val="554ADEE7"/>
    <w:rsid w:val="55A6E8EF"/>
    <w:rsid w:val="55BD49B6"/>
    <w:rsid w:val="55EC978B"/>
    <w:rsid w:val="55EE09CD"/>
    <w:rsid w:val="560C7F96"/>
    <w:rsid w:val="560D9114"/>
    <w:rsid w:val="561CDF97"/>
    <w:rsid w:val="562D7953"/>
    <w:rsid w:val="563D10AF"/>
    <w:rsid w:val="564EAF0B"/>
    <w:rsid w:val="5675F226"/>
    <w:rsid w:val="5676B8EA"/>
    <w:rsid w:val="5680220E"/>
    <w:rsid w:val="5681582F"/>
    <w:rsid w:val="56884724"/>
    <w:rsid w:val="568974D8"/>
    <w:rsid w:val="56A1DAA3"/>
    <w:rsid w:val="56BD7065"/>
    <w:rsid w:val="56E4BFAC"/>
    <w:rsid w:val="56EE0E2D"/>
    <w:rsid w:val="571994EF"/>
    <w:rsid w:val="5726D58F"/>
    <w:rsid w:val="573C7357"/>
    <w:rsid w:val="57567E69"/>
    <w:rsid w:val="57786FF0"/>
    <w:rsid w:val="577C5377"/>
    <w:rsid w:val="578FB8E8"/>
    <w:rsid w:val="57FFE765"/>
    <w:rsid w:val="5800005A"/>
    <w:rsid w:val="583E955D"/>
    <w:rsid w:val="5867C776"/>
    <w:rsid w:val="58707F67"/>
    <w:rsid w:val="58F158C9"/>
    <w:rsid w:val="591B043D"/>
    <w:rsid w:val="5921DA38"/>
    <w:rsid w:val="59305ADD"/>
    <w:rsid w:val="593D8B65"/>
    <w:rsid w:val="5944F522"/>
    <w:rsid w:val="594F44A5"/>
    <w:rsid w:val="594FCC63"/>
    <w:rsid w:val="595A1AE4"/>
    <w:rsid w:val="59A3EC3E"/>
    <w:rsid w:val="59EBD13E"/>
    <w:rsid w:val="59F7A341"/>
    <w:rsid w:val="5A179C24"/>
    <w:rsid w:val="5A294063"/>
    <w:rsid w:val="5A299FC6"/>
    <w:rsid w:val="5A2DA8D9"/>
    <w:rsid w:val="5A4D2528"/>
    <w:rsid w:val="5A565EE0"/>
    <w:rsid w:val="5A5C0839"/>
    <w:rsid w:val="5A621E97"/>
    <w:rsid w:val="5A6F559F"/>
    <w:rsid w:val="5A80A8FF"/>
    <w:rsid w:val="5A82CD0B"/>
    <w:rsid w:val="5A9388F6"/>
    <w:rsid w:val="5AE8E5CE"/>
    <w:rsid w:val="5AFB694C"/>
    <w:rsid w:val="5B154287"/>
    <w:rsid w:val="5B57BFA8"/>
    <w:rsid w:val="5B611ADE"/>
    <w:rsid w:val="5B7EE524"/>
    <w:rsid w:val="5BC17863"/>
    <w:rsid w:val="5BEC8ED4"/>
    <w:rsid w:val="5BF482BE"/>
    <w:rsid w:val="5C08ACE4"/>
    <w:rsid w:val="5C094627"/>
    <w:rsid w:val="5C2AFFB8"/>
    <w:rsid w:val="5C2C0547"/>
    <w:rsid w:val="5C42A8D6"/>
    <w:rsid w:val="5C453D20"/>
    <w:rsid w:val="5C5A21B8"/>
    <w:rsid w:val="5C632A10"/>
    <w:rsid w:val="5C840ADE"/>
    <w:rsid w:val="5C913B9B"/>
    <w:rsid w:val="5C95C79E"/>
    <w:rsid w:val="5C9FE88E"/>
    <w:rsid w:val="5CBECFA5"/>
    <w:rsid w:val="5CBFB299"/>
    <w:rsid w:val="5CC7E596"/>
    <w:rsid w:val="5CD522A2"/>
    <w:rsid w:val="5CE88413"/>
    <w:rsid w:val="5D056396"/>
    <w:rsid w:val="5D05A333"/>
    <w:rsid w:val="5D096F2B"/>
    <w:rsid w:val="5D11C270"/>
    <w:rsid w:val="5D1CB3F6"/>
    <w:rsid w:val="5D2FD364"/>
    <w:rsid w:val="5D7F00A6"/>
    <w:rsid w:val="5DAF1B34"/>
    <w:rsid w:val="5DC4AC23"/>
    <w:rsid w:val="5DF5B7C0"/>
    <w:rsid w:val="5E0FBD73"/>
    <w:rsid w:val="5E438380"/>
    <w:rsid w:val="5E885208"/>
    <w:rsid w:val="5E8F4A7B"/>
    <w:rsid w:val="5EC3C676"/>
    <w:rsid w:val="5ED017D6"/>
    <w:rsid w:val="5EEEA15B"/>
    <w:rsid w:val="5EF0AE77"/>
    <w:rsid w:val="5F087B7D"/>
    <w:rsid w:val="5F1379AB"/>
    <w:rsid w:val="5F2E32D1"/>
    <w:rsid w:val="5F3E1D54"/>
    <w:rsid w:val="5F408942"/>
    <w:rsid w:val="5F7D5D33"/>
    <w:rsid w:val="5F892118"/>
    <w:rsid w:val="5F939460"/>
    <w:rsid w:val="5FBA99A8"/>
    <w:rsid w:val="5FCBA358"/>
    <w:rsid w:val="5FCF5F77"/>
    <w:rsid w:val="5FD3B402"/>
    <w:rsid w:val="5FE2FFE0"/>
    <w:rsid w:val="5FE3D240"/>
    <w:rsid w:val="6044D806"/>
    <w:rsid w:val="6059D5B4"/>
    <w:rsid w:val="606F2C33"/>
    <w:rsid w:val="60BA70CE"/>
    <w:rsid w:val="60D79669"/>
    <w:rsid w:val="60DE20C8"/>
    <w:rsid w:val="60DE880A"/>
    <w:rsid w:val="60FBEE9F"/>
    <w:rsid w:val="610EDDF0"/>
    <w:rsid w:val="611A1CEA"/>
    <w:rsid w:val="611DBA72"/>
    <w:rsid w:val="621793EC"/>
    <w:rsid w:val="622DABC9"/>
    <w:rsid w:val="623584AD"/>
    <w:rsid w:val="6247079E"/>
    <w:rsid w:val="62499A82"/>
    <w:rsid w:val="62650926"/>
    <w:rsid w:val="62673C44"/>
    <w:rsid w:val="627A2728"/>
    <w:rsid w:val="628774F6"/>
    <w:rsid w:val="62BE7C3D"/>
    <w:rsid w:val="62C30A63"/>
    <w:rsid w:val="62C3EBFA"/>
    <w:rsid w:val="62CA357B"/>
    <w:rsid w:val="62D9BFCE"/>
    <w:rsid w:val="63064F9E"/>
    <w:rsid w:val="630AF962"/>
    <w:rsid w:val="631FE7BB"/>
    <w:rsid w:val="63300F17"/>
    <w:rsid w:val="635D2C63"/>
    <w:rsid w:val="63602568"/>
    <w:rsid w:val="63686D45"/>
    <w:rsid w:val="6393F2DD"/>
    <w:rsid w:val="63C2472D"/>
    <w:rsid w:val="63D5614C"/>
    <w:rsid w:val="63D6D0F6"/>
    <w:rsid w:val="63EF5D2F"/>
    <w:rsid w:val="6404A20C"/>
    <w:rsid w:val="641F12AB"/>
    <w:rsid w:val="643FEC48"/>
    <w:rsid w:val="6462A40C"/>
    <w:rsid w:val="6462E0F8"/>
    <w:rsid w:val="648D50C4"/>
    <w:rsid w:val="649E5ED9"/>
    <w:rsid w:val="64A7E441"/>
    <w:rsid w:val="64C21995"/>
    <w:rsid w:val="64CC874C"/>
    <w:rsid w:val="64F7C323"/>
    <w:rsid w:val="64F7CC2B"/>
    <w:rsid w:val="65165A3B"/>
    <w:rsid w:val="65221076"/>
    <w:rsid w:val="652BD385"/>
    <w:rsid w:val="65407CBA"/>
    <w:rsid w:val="6544FFDD"/>
    <w:rsid w:val="65457EE8"/>
    <w:rsid w:val="6558499E"/>
    <w:rsid w:val="658DC467"/>
    <w:rsid w:val="659FE90D"/>
    <w:rsid w:val="65A3863B"/>
    <w:rsid w:val="65C08841"/>
    <w:rsid w:val="65D9BC3B"/>
    <w:rsid w:val="66446114"/>
    <w:rsid w:val="664DF8D7"/>
    <w:rsid w:val="665A256D"/>
    <w:rsid w:val="665ADDAD"/>
    <w:rsid w:val="6681232D"/>
    <w:rsid w:val="6681A5C4"/>
    <w:rsid w:val="66A65EC9"/>
    <w:rsid w:val="66E32A04"/>
    <w:rsid w:val="66E61BC5"/>
    <w:rsid w:val="66EEBDBF"/>
    <w:rsid w:val="672B2269"/>
    <w:rsid w:val="676FB13E"/>
    <w:rsid w:val="67CF9F23"/>
    <w:rsid w:val="67F333A5"/>
    <w:rsid w:val="68133792"/>
    <w:rsid w:val="68338ECA"/>
    <w:rsid w:val="6842CD6A"/>
    <w:rsid w:val="6846CA5F"/>
    <w:rsid w:val="687F9622"/>
    <w:rsid w:val="6882D9F1"/>
    <w:rsid w:val="6894BB0F"/>
    <w:rsid w:val="6897888E"/>
    <w:rsid w:val="68A7F03A"/>
    <w:rsid w:val="68AB0D88"/>
    <w:rsid w:val="68AB9D64"/>
    <w:rsid w:val="68E60436"/>
    <w:rsid w:val="68EBDB7E"/>
    <w:rsid w:val="690D8FB9"/>
    <w:rsid w:val="691338C1"/>
    <w:rsid w:val="694919CB"/>
    <w:rsid w:val="6967ED2B"/>
    <w:rsid w:val="6982AC0C"/>
    <w:rsid w:val="69C04A00"/>
    <w:rsid w:val="69FE537E"/>
    <w:rsid w:val="6A0413AA"/>
    <w:rsid w:val="6A16B2F7"/>
    <w:rsid w:val="6A212FBD"/>
    <w:rsid w:val="6A35727B"/>
    <w:rsid w:val="6A357829"/>
    <w:rsid w:val="6A37BD8E"/>
    <w:rsid w:val="6A3FAFA5"/>
    <w:rsid w:val="6A668E40"/>
    <w:rsid w:val="6A6BCF4A"/>
    <w:rsid w:val="6AA424E9"/>
    <w:rsid w:val="6ABB3562"/>
    <w:rsid w:val="6AD09BE3"/>
    <w:rsid w:val="6AD933E3"/>
    <w:rsid w:val="6B085ED8"/>
    <w:rsid w:val="6B09EF90"/>
    <w:rsid w:val="6B1845CB"/>
    <w:rsid w:val="6B2B1370"/>
    <w:rsid w:val="6B34A631"/>
    <w:rsid w:val="6B42CE27"/>
    <w:rsid w:val="6B4558F3"/>
    <w:rsid w:val="6B58C795"/>
    <w:rsid w:val="6B7F48AC"/>
    <w:rsid w:val="6B9E6480"/>
    <w:rsid w:val="6BAB65A2"/>
    <w:rsid w:val="6BAC2378"/>
    <w:rsid w:val="6BC234D7"/>
    <w:rsid w:val="6BED5DD0"/>
    <w:rsid w:val="6BF33B74"/>
    <w:rsid w:val="6BF8FBC9"/>
    <w:rsid w:val="6C009B44"/>
    <w:rsid w:val="6C394065"/>
    <w:rsid w:val="6C3A84BE"/>
    <w:rsid w:val="6C45B914"/>
    <w:rsid w:val="6C4C8DE7"/>
    <w:rsid w:val="6C671118"/>
    <w:rsid w:val="6C6EB201"/>
    <w:rsid w:val="6C9D893E"/>
    <w:rsid w:val="6CBF0BA4"/>
    <w:rsid w:val="6CD60304"/>
    <w:rsid w:val="6CE6CF68"/>
    <w:rsid w:val="6D12E7CC"/>
    <w:rsid w:val="6D1A55A1"/>
    <w:rsid w:val="6D3DB756"/>
    <w:rsid w:val="6D53749A"/>
    <w:rsid w:val="6D62DC05"/>
    <w:rsid w:val="6D666F37"/>
    <w:rsid w:val="6D865668"/>
    <w:rsid w:val="6D8D5D59"/>
    <w:rsid w:val="6D948B84"/>
    <w:rsid w:val="6DA60941"/>
    <w:rsid w:val="6DAFFDEB"/>
    <w:rsid w:val="6DBA3574"/>
    <w:rsid w:val="6DC07806"/>
    <w:rsid w:val="6DC901E9"/>
    <w:rsid w:val="6DDE41FC"/>
    <w:rsid w:val="6DF0C9AB"/>
    <w:rsid w:val="6E139C97"/>
    <w:rsid w:val="6E1BE048"/>
    <w:rsid w:val="6E807AFF"/>
    <w:rsid w:val="6EA1CF09"/>
    <w:rsid w:val="6EBE009F"/>
    <w:rsid w:val="6ED7F9E9"/>
    <w:rsid w:val="6EDDBA4B"/>
    <w:rsid w:val="6EE9E029"/>
    <w:rsid w:val="6F4CFED0"/>
    <w:rsid w:val="6F642706"/>
    <w:rsid w:val="6F76FFDC"/>
    <w:rsid w:val="6F89D4F9"/>
    <w:rsid w:val="6F923EEE"/>
    <w:rsid w:val="6FB9E0D2"/>
    <w:rsid w:val="70090613"/>
    <w:rsid w:val="70289C31"/>
    <w:rsid w:val="7044BFF8"/>
    <w:rsid w:val="70A07708"/>
    <w:rsid w:val="70A866FA"/>
    <w:rsid w:val="70BEC190"/>
    <w:rsid w:val="70D02D11"/>
    <w:rsid w:val="70D0BB02"/>
    <w:rsid w:val="7124EDC0"/>
    <w:rsid w:val="717FC6C9"/>
    <w:rsid w:val="71B61850"/>
    <w:rsid w:val="71C35A50"/>
    <w:rsid w:val="71C912EC"/>
    <w:rsid w:val="7201344F"/>
    <w:rsid w:val="7202D462"/>
    <w:rsid w:val="724EFC04"/>
    <w:rsid w:val="726F12C8"/>
    <w:rsid w:val="728CEA71"/>
    <w:rsid w:val="72A30C24"/>
    <w:rsid w:val="72C833D6"/>
    <w:rsid w:val="72D0E8C6"/>
    <w:rsid w:val="72DF919D"/>
    <w:rsid w:val="73139937"/>
    <w:rsid w:val="73147F1D"/>
    <w:rsid w:val="73557B1E"/>
    <w:rsid w:val="7356BBAB"/>
    <w:rsid w:val="735DA496"/>
    <w:rsid w:val="736713B9"/>
    <w:rsid w:val="73714C79"/>
    <w:rsid w:val="738474A2"/>
    <w:rsid w:val="73B5CC79"/>
    <w:rsid w:val="73C2AF18"/>
    <w:rsid w:val="73CD0394"/>
    <w:rsid w:val="7452219E"/>
    <w:rsid w:val="7477648E"/>
    <w:rsid w:val="74A38554"/>
    <w:rsid w:val="74A75160"/>
    <w:rsid w:val="74BC2467"/>
    <w:rsid w:val="74C11AB0"/>
    <w:rsid w:val="74D5758D"/>
    <w:rsid w:val="74EE8376"/>
    <w:rsid w:val="75229EA4"/>
    <w:rsid w:val="75233C0F"/>
    <w:rsid w:val="7536FD94"/>
    <w:rsid w:val="755B5850"/>
    <w:rsid w:val="7574FE35"/>
    <w:rsid w:val="75A9F677"/>
    <w:rsid w:val="75B5690A"/>
    <w:rsid w:val="75ECD400"/>
    <w:rsid w:val="75F26C98"/>
    <w:rsid w:val="760B7469"/>
    <w:rsid w:val="761BBC02"/>
    <w:rsid w:val="76208564"/>
    <w:rsid w:val="76220230"/>
    <w:rsid w:val="762772F4"/>
    <w:rsid w:val="7632E3B1"/>
    <w:rsid w:val="764D5F0F"/>
    <w:rsid w:val="76557453"/>
    <w:rsid w:val="7672A42A"/>
    <w:rsid w:val="767686C7"/>
    <w:rsid w:val="76CDA1F6"/>
    <w:rsid w:val="76E40CED"/>
    <w:rsid w:val="76E8B60E"/>
    <w:rsid w:val="76E8E325"/>
    <w:rsid w:val="76FF1868"/>
    <w:rsid w:val="7712038E"/>
    <w:rsid w:val="771C3CC6"/>
    <w:rsid w:val="7731B5AF"/>
    <w:rsid w:val="7740E048"/>
    <w:rsid w:val="774D1C4F"/>
    <w:rsid w:val="77874E24"/>
    <w:rsid w:val="77900469"/>
    <w:rsid w:val="77907386"/>
    <w:rsid w:val="77A047DA"/>
    <w:rsid w:val="77B7EF38"/>
    <w:rsid w:val="77C46090"/>
    <w:rsid w:val="77CC74D3"/>
    <w:rsid w:val="77D320DD"/>
    <w:rsid w:val="77D98A46"/>
    <w:rsid w:val="77DAEAF8"/>
    <w:rsid w:val="7804BC6D"/>
    <w:rsid w:val="780D5C56"/>
    <w:rsid w:val="781BB4F6"/>
    <w:rsid w:val="7833295D"/>
    <w:rsid w:val="783629B9"/>
    <w:rsid w:val="78364AB8"/>
    <w:rsid w:val="7838A89E"/>
    <w:rsid w:val="788F8409"/>
    <w:rsid w:val="78A165C8"/>
    <w:rsid w:val="78ADA835"/>
    <w:rsid w:val="78C6FEFC"/>
    <w:rsid w:val="78E95B3C"/>
    <w:rsid w:val="78EBA037"/>
    <w:rsid w:val="79175C1C"/>
    <w:rsid w:val="793A6076"/>
    <w:rsid w:val="7947CBE4"/>
    <w:rsid w:val="794BCB7B"/>
    <w:rsid w:val="7970A944"/>
    <w:rsid w:val="7977817F"/>
    <w:rsid w:val="798478C7"/>
    <w:rsid w:val="798C6A3E"/>
    <w:rsid w:val="79B71578"/>
    <w:rsid w:val="79D1C68A"/>
    <w:rsid w:val="7A0DA955"/>
    <w:rsid w:val="7A14C7A9"/>
    <w:rsid w:val="7A26B638"/>
    <w:rsid w:val="7A28233B"/>
    <w:rsid w:val="7A4F39DC"/>
    <w:rsid w:val="7A5899AE"/>
    <w:rsid w:val="7A621208"/>
    <w:rsid w:val="7A6C32A8"/>
    <w:rsid w:val="7A752442"/>
    <w:rsid w:val="7AA16692"/>
    <w:rsid w:val="7AD04FB7"/>
    <w:rsid w:val="7ADBCCA4"/>
    <w:rsid w:val="7AFBE610"/>
    <w:rsid w:val="7B13D579"/>
    <w:rsid w:val="7B9F156F"/>
    <w:rsid w:val="7BB64507"/>
    <w:rsid w:val="7BC4CFA1"/>
    <w:rsid w:val="7BE035DB"/>
    <w:rsid w:val="7BF0501E"/>
    <w:rsid w:val="7BF95062"/>
    <w:rsid w:val="7C05090F"/>
    <w:rsid w:val="7C0BA599"/>
    <w:rsid w:val="7C0EE448"/>
    <w:rsid w:val="7C336FA1"/>
    <w:rsid w:val="7C47D518"/>
    <w:rsid w:val="7C77655E"/>
    <w:rsid w:val="7C886657"/>
    <w:rsid w:val="7C96FD37"/>
    <w:rsid w:val="7CA77F48"/>
    <w:rsid w:val="7CB3DE5C"/>
    <w:rsid w:val="7CB6F0FF"/>
    <w:rsid w:val="7CC40561"/>
    <w:rsid w:val="7CCBAC58"/>
    <w:rsid w:val="7D081EDB"/>
    <w:rsid w:val="7D1A1874"/>
    <w:rsid w:val="7D26D43C"/>
    <w:rsid w:val="7D344129"/>
    <w:rsid w:val="7D3B7153"/>
    <w:rsid w:val="7D441A80"/>
    <w:rsid w:val="7D6E633D"/>
    <w:rsid w:val="7D8735B5"/>
    <w:rsid w:val="7D8E5965"/>
    <w:rsid w:val="7DA236D4"/>
    <w:rsid w:val="7DB017B0"/>
    <w:rsid w:val="7DDA8D80"/>
    <w:rsid w:val="7DFAD3DE"/>
    <w:rsid w:val="7E016985"/>
    <w:rsid w:val="7E055EEE"/>
    <w:rsid w:val="7E0A4749"/>
    <w:rsid w:val="7E1916A1"/>
    <w:rsid w:val="7E1D5918"/>
    <w:rsid w:val="7E31FCCA"/>
    <w:rsid w:val="7E517648"/>
    <w:rsid w:val="7EBE88F7"/>
    <w:rsid w:val="7EE58C58"/>
    <w:rsid w:val="7EEA61DE"/>
    <w:rsid w:val="7EF30895"/>
    <w:rsid w:val="7F252FEB"/>
    <w:rsid w:val="7F3867F9"/>
    <w:rsid w:val="7F449A97"/>
    <w:rsid w:val="7F45EC1D"/>
    <w:rsid w:val="7F467F2C"/>
    <w:rsid w:val="7F4E482D"/>
    <w:rsid w:val="7F503582"/>
    <w:rsid w:val="7F6A2C7D"/>
    <w:rsid w:val="7F7CDA80"/>
    <w:rsid w:val="7FBC401F"/>
    <w:rsid w:val="7FC13207"/>
    <w:rsid w:val="7FCEDDBF"/>
    <w:rsid w:val="7FE6BC45"/>
    <w:rsid w:val="7FE9205E"/>
    <w:rsid w:val="7FEA8002"/>
    <w:rsid w:val="7FF45C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2B3A2B"/>
  <w15:chartTrackingRefBased/>
  <w15:docId w15:val="{61AF2038-9132-4A09-9FC6-FB817A486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qFormat="1"/>
    <w:lsdException w:name="toc 5" w:locked="0"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12" w:unhideWhenUsed="1" w:qFormat="1"/>
    <w:lsdException w:name="table of figures" w:locked="0"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locked="0" w:semiHidden="1" w:unhideWhenUsed="1"/>
    <w:lsdException w:name="Table Grid 2" w:locked="0" w:semiHidden="1" w:unhideWhenUsed="1"/>
    <w:lsdException w:name="Table Grid 3" w:locked="0" w:semiHidden="1" w:unhideWhenUsed="1"/>
    <w:lsdException w:name="Table Grid 4" w:locked="0"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locked="0" w:uiPriority="46"/>
    <w:lsdException w:name="Grid Table 2" w:locked="0"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aliases w:val="TOC Table heading"/>
    <w:qFormat/>
    <w:rsid w:val="000742C7"/>
    <w:pPr>
      <w:spacing w:before="120" w:after="120" w:line="240" w:lineRule="atLeast"/>
    </w:pPr>
    <w:rPr>
      <w:rFonts w:ascii="Verdana" w:hAnsi="Verdana"/>
      <w:sz w:val="18"/>
      <w:szCs w:val="18"/>
    </w:rPr>
  </w:style>
  <w:style w:type="paragraph" w:styleId="Heading1">
    <w:name w:val="heading 1"/>
    <w:basedOn w:val="Normal"/>
    <w:next w:val="Normal"/>
    <w:link w:val="Heading1Char"/>
    <w:uiPriority w:val="9"/>
    <w:qFormat/>
    <w:rsid w:val="001B1BDF"/>
    <w:pPr>
      <w:keepNext/>
      <w:keepLines/>
      <w:numPr>
        <w:numId w:val="33"/>
      </w:numPr>
      <w:spacing w:before="240"/>
      <w:outlineLvl w:val="0"/>
    </w:pPr>
    <w:rPr>
      <w:rFonts w:eastAsiaTheme="majorEastAsia" w:cstheme="majorBidi"/>
      <w:b/>
      <w:bCs/>
      <w:noProof/>
      <w:szCs w:val="28"/>
    </w:rPr>
  </w:style>
  <w:style w:type="paragraph" w:styleId="Heading2">
    <w:name w:val="heading 2"/>
    <w:basedOn w:val="Heading1"/>
    <w:next w:val="MainBodyText"/>
    <w:link w:val="Heading2Char"/>
    <w:uiPriority w:val="13"/>
    <w:qFormat/>
    <w:rsid w:val="001B1BDF"/>
    <w:pPr>
      <w:numPr>
        <w:ilvl w:val="1"/>
      </w:numPr>
      <w:outlineLvl w:val="1"/>
    </w:pPr>
    <w:rPr>
      <w:rFonts w:cs="Arial"/>
      <w:iCs/>
      <w:szCs w:val="20"/>
    </w:rPr>
  </w:style>
  <w:style w:type="paragraph" w:styleId="Heading3">
    <w:name w:val="heading 3"/>
    <w:basedOn w:val="MainBodyText"/>
    <w:next w:val="MainBodyText"/>
    <w:link w:val="Heading3Char"/>
    <w:uiPriority w:val="14"/>
    <w:unhideWhenUsed/>
    <w:qFormat/>
    <w:rsid w:val="001B1BDF"/>
    <w:pPr>
      <w:keepNext/>
      <w:keepLines/>
      <w:numPr>
        <w:ilvl w:val="2"/>
        <w:numId w:val="33"/>
      </w:numPr>
      <w:outlineLvl w:val="2"/>
    </w:pPr>
    <w:rPr>
      <w:rFonts w:eastAsiaTheme="majorEastAsia" w:cs="Verdana"/>
      <w:b/>
    </w:rPr>
  </w:style>
  <w:style w:type="paragraph" w:styleId="Heading4">
    <w:name w:val="heading 4"/>
    <w:basedOn w:val="MainBodyText"/>
    <w:next w:val="MainBodyText"/>
    <w:link w:val="Heading4Char"/>
    <w:autoRedefine/>
    <w:uiPriority w:val="15"/>
    <w:unhideWhenUsed/>
    <w:qFormat/>
    <w:rsid w:val="00547E28"/>
    <w:pPr>
      <w:keepNext/>
      <w:keepLines/>
      <w:numPr>
        <w:ilvl w:val="3"/>
        <w:numId w:val="33"/>
      </w:numPr>
      <w:spacing w:before="600" w:after="0" w:line="240" w:lineRule="auto"/>
      <w:outlineLvl w:val="3"/>
    </w:pPr>
    <w:rPr>
      <w:rFonts w:eastAsiaTheme="majorEastAsia" w:cstheme="majorBidi"/>
      <w:b/>
      <w:iCs/>
      <w:color w:val="000000" w:themeColor="text1"/>
    </w:rPr>
  </w:style>
  <w:style w:type="paragraph" w:styleId="Heading5">
    <w:name w:val="heading 5"/>
    <w:basedOn w:val="Normal"/>
    <w:next w:val="Normal"/>
    <w:link w:val="Heading5Char"/>
    <w:autoRedefine/>
    <w:uiPriority w:val="15"/>
    <w:unhideWhenUsed/>
    <w:qFormat/>
    <w:rsid w:val="00B91E8F"/>
    <w:pPr>
      <w:keepNext/>
      <w:keepLines/>
      <w:numPr>
        <w:ilvl w:val="4"/>
        <w:numId w:val="33"/>
      </w:numPr>
      <w:spacing w:before="40"/>
      <w:contextualSpacing/>
      <w:outlineLvl w:val="4"/>
    </w:pPr>
    <w:rPr>
      <w:rFonts w:eastAsiaTheme="majorEastAsia" w:cstheme="majorBidi"/>
      <w:color w:val="000000" w:themeColor="text1"/>
    </w:rPr>
  </w:style>
  <w:style w:type="paragraph" w:styleId="Heading6">
    <w:name w:val="heading 6"/>
    <w:basedOn w:val="Normal"/>
    <w:next w:val="Normal"/>
    <w:link w:val="Heading6Char"/>
    <w:uiPriority w:val="16"/>
    <w:semiHidden/>
    <w:unhideWhenUsed/>
    <w:locked/>
    <w:rsid w:val="00B91E8F"/>
    <w:pPr>
      <w:keepNext/>
      <w:keepLines/>
      <w:numPr>
        <w:ilvl w:val="5"/>
        <w:numId w:val="33"/>
      </w:numPr>
      <w:spacing w:before="40"/>
      <w:outlineLvl w:val="5"/>
    </w:pPr>
    <w:rPr>
      <w:rFonts w:eastAsiaTheme="majorEastAsia" w:cstheme="majorBidi"/>
      <w:color w:val="000000" w:themeColor="text1"/>
    </w:rPr>
  </w:style>
  <w:style w:type="paragraph" w:styleId="Heading7">
    <w:name w:val="heading 7"/>
    <w:basedOn w:val="Normal"/>
    <w:next w:val="Normal"/>
    <w:link w:val="Heading7Char"/>
    <w:uiPriority w:val="9"/>
    <w:semiHidden/>
    <w:unhideWhenUsed/>
    <w:qFormat/>
    <w:locked/>
    <w:rsid w:val="0070533A"/>
    <w:pPr>
      <w:keepNext/>
      <w:keepLines/>
      <w:numPr>
        <w:ilvl w:val="6"/>
        <w:numId w:val="33"/>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locked/>
    <w:rsid w:val="0070533A"/>
    <w:pPr>
      <w:keepNext/>
      <w:keepLines/>
      <w:numPr>
        <w:ilvl w:val="7"/>
        <w:numId w:val="3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locked/>
    <w:rsid w:val="0070533A"/>
    <w:pPr>
      <w:keepNext/>
      <w:keepLines/>
      <w:numPr>
        <w:ilvl w:val="8"/>
        <w:numId w:val="3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1BDF"/>
    <w:rPr>
      <w:rFonts w:ascii="Verdana" w:eastAsiaTheme="majorEastAsia" w:hAnsi="Verdana" w:cstheme="majorBidi"/>
      <w:b/>
      <w:bCs/>
      <w:noProof/>
      <w:sz w:val="18"/>
      <w:szCs w:val="28"/>
    </w:rPr>
  </w:style>
  <w:style w:type="character" w:customStyle="1" w:styleId="Heading2Char">
    <w:name w:val="Heading 2 Char"/>
    <w:basedOn w:val="DefaultParagraphFont"/>
    <w:link w:val="Heading2"/>
    <w:uiPriority w:val="13"/>
    <w:rsid w:val="001B1BDF"/>
    <w:rPr>
      <w:rFonts w:ascii="Verdana" w:eastAsiaTheme="majorEastAsia" w:hAnsi="Verdana" w:cs="Arial"/>
      <w:b/>
      <w:bCs/>
      <w:iCs/>
      <w:noProof/>
      <w:sz w:val="18"/>
      <w:szCs w:val="20"/>
    </w:rPr>
  </w:style>
  <w:style w:type="table" w:styleId="TableGrid">
    <w:name w:val="Table Grid"/>
    <w:basedOn w:val="TableNormal"/>
    <w:uiPriority w:val="59"/>
    <w:rsid w:val="00AE6AC3"/>
    <w:pPr>
      <w:spacing w:after="0" w:line="240" w:lineRule="auto"/>
    </w:pPr>
    <w:rPr>
      <w:sz w:val="18"/>
      <w:szCs w:val="18"/>
      <w:lang w:val="en-GB"/>
    </w:rPr>
    <w:tblPr/>
  </w:style>
  <w:style w:type="paragraph" w:styleId="TOC3">
    <w:name w:val="toc 3"/>
    <w:basedOn w:val="Normal"/>
    <w:next w:val="Normal"/>
    <w:uiPriority w:val="39"/>
    <w:unhideWhenUsed/>
    <w:qFormat/>
    <w:rsid w:val="00B0526D"/>
    <w:pPr>
      <w:tabs>
        <w:tab w:val="left" w:pos="1080"/>
        <w:tab w:val="right" w:leader="dot" w:pos="9346"/>
      </w:tabs>
      <w:ind w:left="446"/>
    </w:pPr>
    <w:rPr>
      <w:bCs/>
      <w:noProof/>
    </w:rPr>
  </w:style>
  <w:style w:type="paragraph" w:styleId="TOC4">
    <w:name w:val="toc 4"/>
    <w:basedOn w:val="Normal"/>
    <w:next w:val="Normal"/>
    <w:autoRedefine/>
    <w:uiPriority w:val="39"/>
    <w:unhideWhenUsed/>
    <w:qFormat/>
    <w:rsid w:val="000611C6"/>
    <w:pPr>
      <w:ind w:left="605"/>
    </w:pPr>
  </w:style>
  <w:style w:type="paragraph" w:customStyle="1" w:styleId="MainBodyText">
    <w:name w:val="Main Body/Text"/>
    <w:basedOn w:val="Normal"/>
    <w:link w:val="MainBodyTextChar"/>
    <w:uiPriority w:val="6"/>
    <w:qFormat/>
    <w:rsid w:val="002C0060"/>
  </w:style>
  <w:style w:type="character" w:customStyle="1" w:styleId="MainBodyTextChar">
    <w:name w:val="Main Body/Text Char"/>
    <w:basedOn w:val="DefaultParagraphFont"/>
    <w:link w:val="MainBodyText"/>
    <w:uiPriority w:val="6"/>
    <w:rsid w:val="002C0060"/>
    <w:rPr>
      <w:rFonts w:ascii="Verdana" w:hAnsi="Verdana"/>
      <w:sz w:val="18"/>
      <w:szCs w:val="18"/>
      <w:lang w:val="en-GB"/>
    </w:rPr>
  </w:style>
  <w:style w:type="paragraph" w:customStyle="1" w:styleId="BulletList">
    <w:name w:val="Bullet List"/>
    <w:aliases w:val="in body/text,in Main Body Text"/>
    <w:basedOn w:val="MainBodyText"/>
    <w:autoRedefine/>
    <w:rsid w:val="0076418A"/>
    <w:pPr>
      <w:numPr>
        <w:numId w:val="3"/>
      </w:numPr>
      <w:ind w:left="360"/>
    </w:pPr>
  </w:style>
  <w:style w:type="table" w:customStyle="1" w:styleId="TableStyleCustom1">
    <w:name w:val="Table Style Custom 1"/>
    <w:basedOn w:val="TableGrid4"/>
    <w:uiPriority w:val="99"/>
    <w:rsid w:val="00716574"/>
    <w:pPr>
      <w:spacing w:before="60" w:after="60" w:line="240" w:lineRule="auto"/>
    </w:pPr>
    <w:rPr>
      <w:rFonts w:ascii="Verdana" w:hAnsi="Verdana"/>
      <w:sz w:val="18"/>
      <w:szCs w:val="20"/>
      <w:lang w:eastAsia="ja-JP"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120" w:beforeAutospacing="0" w:afterLines="0" w:after="120" w:afterAutospacing="0"/>
        <w:jc w:val="left"/>
      </w:pPr>
      <w:rPr>
        <w:rFonts w:asciiTheme="majorHAnsi" w:hAnsiTheme="majorHAnsi"/>
        <w:b/>
        <w:i w:val="0"/>
        <w:color w:val="auto"/>
        <w:sz w:val="17"/>
      </w:rPr>
      <w:tblPr/>
      <w:trPr>
        <w:tblHeader/>
      </w:tr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one" w:sz="0" w:space="0" w:color="auto"/>
          <w:tr2bl w:val="none" w:sz="0" w:space="0" w:color="auto"/>
        </w:tcBorders>
        <w:shd w:val="clear" w:color="auto" w:fill="000000" w:themeFill="text1"/>
        <w:vAlign w:val="center"/>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firstCol">
      <w:rPr>
        <w:rFonts w:asciiTheme="minorHAnsi" w:hAnsiTheme="minorHAnsi"/>
        <w:b/>
        <w:sz w:val="18"/>
      </w:rPr>
    </w:tblStylePr>
    <w:tblStylePr w:type="lastCol">
      <w:rPr>
        <w:b/>
        <w:bCs/>
        <w:color w:val="auto"/>
      </w:rPr>
      <w:tblPr/>
      <w:tcPr>
        <w:tcBorders>
          <w:tl2br w:val="none" w:sz="0" w:space="0" w:color="auto"/>
          <w:tr2bl w:val="none" w:sz="0" w:space="0" w:color="auto"/>
        </w:tcBorders>
      </w:tcPr>
    </w:tblStylePr>
  </w:style>
  <w:style w:type="table" w:styleId="TableGrid4">
    <w:name w:val="Table Grid 4"/>
    <w:basedOn w:val="TableNormal"/>
    <w:uiPriority w:val="99"/>
    <w:semiHidden/>
    <w:unhideWhenUsed/>
    <w:locked/>
    <w:rsid w:val="00AE6AC3"/>
    <w:pPr>
      <w:spacing w:before="120" w:after="0"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next w:val="TableGrid"/>
    <w:uiPriority w:val="59"/>
    <w:locked/>
    <w:rsid w:val="00A911C5"/>
    <w:pPr>
      <w:spacing w:after="0" w:line="240" w:lineRule="auto"/>
    </w:pPr>
    <w:rPr>
      <w:rFonts w:ascii="Verdana" w:hAnsi="Verdana"/>
      <w:sz w:val="18"/>
      <w:szCs w:val="18"/>
      <w:lang w:val="en-GB"/>
    </w:rPr>
    <w:tblPr/>
    <w:tcPr>
      <w:vAlign w:val="center"/>
    </w:tcPr>
  </w:style>
  <w:style w:type="paragraph" w:styleId="TOCHeading">
    <w:name w:val="TOC Heading"/>
    <w:aliases w:val="TOC Tables Heading"/>
    <w:basedOn w:val="Heading1"/>
    <w:next w:val="Normal"/>
    <w:uiPriority w:val="39"/>
    <w:unhideWhenUsed/>
    <w:qFormat/>
    <w:rsid w:val="00CD1305"/>
    <w:pPr>
      <w:numPr>
        <w:numId w:val="0"/>
      </w:numPr>
      <w:spacing w:line="259" w:lineRule="auto"/>
      <w:outlineLvl w:val="9"/>
    </w:pPr>
    <w:rPr>
      <w:bCs w:val="0"/>
      <w:noProof w:val="0"/>
      <w:szCs w:val="32"/>
      <w:u w:val="single"/>
    </w:rPr>
  </w:style>
  <w:style w:type="paragraph" w:styleId="TOC1">
    <w:name w:val="toc 1"/>
    <w:aliases w:val="TOC Body Header"/>
    <w:basedOn w:val="BulletList"/>
    <w:next w:val="MainBodyText"/>
    <w:autoRedefine/>
    <w:uiPriority w:val="39"/>
    <w:unhideWhenUsed/>
    <w:qFormat/>
    <w:rsid w:val="00896385"/>
    <w:pPr>
      <w:numPr>
        <w:numId w:val="0"/>
      </w:numPr>
      <w:tabs>
        <w:tab w:val="left" w:pos="360"/>
        <w:tab w:val="right" w:leader="dot" w:pos="9350"/>
      </w:tabs>
    </w:pPr>
    <w:rPr>
      <w:rFonts w:cs="Arial"/>
      <w:b/>
      <w:bCs/>
      <w:noProof/>
      <w:szCs w:val="32"/>
    </w:rPr>
  </w:style>
  <w:style w:type="paragraph" w:styleId="TOC2">
    <w:name w:val="toc 2"/>
    <w:aliases w:val="TOC,Body Text Subsections"/>
    <w:basedOn w:val="MainBodyText"/>
    <w:next w:val="MainBodyText"/>
    <w:autoRedefine/>
    <w:uiPriority w:val="39"/>
    <w:unhideWhenUsed/>
    <w:qFormat/>
    <w:rsid w:val="00077ED4"/>
    <w:pPr>
      <w:tabs>
        <w:tab w:val="left" w:pos="187"/>
        <w:tab w:val="left" w:pos="720"/>
        <w:tab w:val="right" w:leader="dot" w:pos="9346"/>
      </w:tabs>
      <w:ind w:left="187"/>
    </w:pPr>
    <w:rPr>
      <w:b/>
      <w:noProof/>
    </w:rPr>
  </w:style>
  <w:style w:type="character" w:styleId="Hyperlink">
    <w:name w:val="Hyperlink"/>
    <w:basedOn w:val="DefaultParagraphFont"/>
    <w:uiPriority w:val="99"/>
    <w:unhideWhenUsed/>
    <w:rsid w:val="003E32CE"/>
    <w:rPr>
      <w:rFonts w:ascii="Verdana" w:hAnsi="Verdana"/>
      <w:color w:val="0563C1" w:themeColor="hyperlink"/>
      <w:sz w:val="18"/>
      <w:u w:val="single"/>
    </w:rPr>
  </w:style>
  <w:style w:type="character" w:styleId="CommentReference">
    <w:name w:val="annotation reference"/>
    <w:basedOn w:val="DefaultParagraphFont"/>
    <w:uiPriority w:val="99"/>
    <w:locked/>
    <w:rsid w:val="00FF186B"/>
    <w:rPr>
      <w:sz w:val="16"/>
      <w:szCs w:val="16"/>
    </w:rPr>
  </w:style>
  <w:style w:type="paragraph" w:styleId="CommentText">
    <w:name w:val="annotation text"/>
    <w:basedOn w:val="Normal"/>
    <w:link w:val="CommentTextChar"/>
    <w:uiPriority w:val="99"/>
    <w:locked/>
    <w:rsid w:val="00FF186B"/>
    <w:pPr>
      <w:spacing w:line="240" w:lineRule="auto"/>
    </w:pPr>
    <w:rPr>
      <w:szCs w:val="20"/>
    </w:rPr>
  </w:style>
  <w:style w:type="character" w:customStyle="1" w:styleId="CommentTextChar">
    <w:name w:val="Comment Text Char"/>
    <w:basedOn w:val="DefaultParagraphFont"/>
    <w:link w:val="CommentText"/>
    <w:uiPriority w:val="99"/>
    <w:rsid w:val="00FF186B"/>
    <w:rPr>
      <w:sz w:val="20"/>
      <w:szCs w:val="20"/>
      <w:lang w:val="en-GB"/>
    </w:rPr>
  </w:style>
  <w:style w:type="paragraph" w:styleId="CommentSubject">
    <w:name w:val="annotation subject"/>
    <w:basedOn w:val="CommentText"/>
    <w:next w:val="CommentText"/>
    <w:link w:val="CommentSubjectChar"/>
    <w:uiPriority w:val="99"/>
    <w:semiHidden/>
    <w:unhideWhenUsed/>
    <w:locked/>
    <w:rsid w:val="006A0F67"/>
    <w:rPr>
      <w:b/>
      <w:bCs/>
    </w:rPr>
  </w:style>
  <w:style w:type="character" w:customStyle="1" w:styleId="CommentSubjectChar">
    <w:name w:val="Comment Subject Char"/>
    <w:basedOn w:val="CommentTextChar"/>
    <w:link w:val="CommentSubject"/>
    <w:uiPriority w:val="99"/>
    <w:semiHidden/>
    <w:rsid w:val="006A0F67"/>
    <w:rPr>
      <w:b/>
      <w:bCs/>
      <w:sz w:val="20"/>
      <w:szCs w:val="20"/>
      <w:lang w:val="en-GB"/>
    </w:rPr>
  </w:style>
  <w:style w:type="character" w:styleId="PlaceholderText">
    <w:name w:val="Placeholder Text"/>
    <w:basedOn w:val="DefaultParagraphFont"/>
    <w:uiPriority w:val="99"/>
    <w:semiHidden/>
    <w:locked/>
    <w:rsid w:val="00DF38DC"/>
    <w:rPr>
      <w:color w:val="808080"/>
    </w:rPr>
  </w:style>
  <w:style w:type="character" w:customStyle="1" w:styleId="Heading3Char">
    <w:name w:val="Heading 3 Char"/>
    <w:basedOn w:val="DefaultParagraphFont"/>
    <w:link w:val="Heading3"/>
    <w:uiPriority w:val="14"/>
    <w:rsid w:val="001B1BDF"/>
    <w:rPr>
      <w:rFonts w:ascii="Verdana" w:eastAsiaTheme="majorEastAsia" w:hAnsi="Verdana" w:cs="Verdana"/>
      <w:b/>
      <w:sz w:val="18"/>
      <w:szCs w:val="18"/>
    </w:rPr>
  </w:style>
  <w:style w:type="character" w:customStyle="1" w:styleId="Heading4Char">
    <w:name w:val="Heading 4 Char"/>
    <w:basedOn w:val="DefaultParagraphFont"/>
    <w:link w:val="Heading4"/>
    <w:uiPriority w:val="15"/>
    <w:rsid w:val="00547E28"/>
    <w:rPr>
      <w:rFonts w:ascii="Verdana" w:eastAsiaTheme="majorEastAsia" w:hAnsi="Verdana" w:cstheme="majorBidi"/>
      <w:b/>
      <w:iCs/>
      <w:color w:val="000000" w:themeColor="text1"/>
      <w:sz w:val="18"/>
      <w:szCs w:val="18"/>
    </w:rPr>
  </w:style>
  <w:style w:type="paragraph" w:customStyle="1" w:styleId="TableBodyText">
    <w:name w:val="Table Body Text"/>
    <w:basedOn w:val="MainBodyText"/>
    <w:link w:val="TableBodyTextChar"/>
    <w:uiPriority w:val="11"/>
    <w:qFormat/>
    <w:rsid w:val="00F441AC"/>
    <w:pPr>
      <w:spacing w:before="0" w:line="280" w:lineRule="atLeast"/>
    </w:pPr>
    <w:rPr>
      <w:rFonts w:eastAsia="Times" w:cs="Times New Roman"/>
      <w:color w:val="000000" w:themeColor="text1"/>
      <w:szCs w:val="22"/>
      <w:u w:color="000000" w:themeColor="text1"/>
    </w:rPr>
  </w:style>
  <w:style w:type="character" w:customStyle="1" w:styleId="TableBodyTextChar">
    <w:name w:val="Table Body Text Char"/>
    <w:basedOn w:val="DefaultParagraphFont"/>
    <w:link w:val="TableBodyText"/>
    <w:uiPriority w:val="11"/>
    <w:rsid w:val="00F441AC"/>
    <w:rPr>
      <w:rFonts w:ascii="Verdana" w:eastAsia="Times" w:hAnsi="Verdana" w:cs="Times New Roman"/>
      <w:color w:val="000000" w:themeColor="text1"/>
      <w:sz w:val="18"/>
      <w:u w:color="000000" w:themeColor="text1"/>
    </w:rPr>
  </w:style>
  <w:style w:type="table" w:customStyle="1" w:styleId="ProcessSteps">
    <w:name w:val="Process Steps"/>
    <w:basedOn w:val="TableNormal"/>
    <w:uiPriority w:val="99"/>
    <w:locked/>
    <w:rsid w:val="00807CF0"/>
    <w:pPr>
      <w:spacing w:after="0" w:line="240" w:lineRule="auto"/>
    </w:pPr>
    <w:tblPr/>
    <w:trPr>
      <w:cantSplit/>
    </w:trPr>
    <w:tblStylePr w:type="firstRow">
      <w:rPr>
        <w:rFonts w:ascii="Arial" w:hAnsi="Arial"/>
        <w:b/>
        <w:color w:val="FFFFFF" w:themeColor="background1"/>
        <w:sz w:val="20"/>
      </w:rPr>
      <w:tblPr/>
      <w:trPr>
        <w:tblHeader/>
      </w:trPr>
      <w:tcPr>
        <w:shd w:val="clear" w:color="auto" w:fill="000000" w:themeFill="text1"/>
      </w:tcPr>
    </w:tblStylePr>
  </w:style>
  <w:style w:type="paragraph" w:styleId="Caption">
    <w:name w:val="caption"/>
    <w:aliases w:val="Table Caption,D_Figure title"/>
    <w:basedOn w:val="Normal"/>
    <w:next w:val="Normal"/>
    <w:link w:val="CaptionChar"/>
    <w:uiPriority w:val="12"/>
    <w:unhideWhenUsed/>
    <w:qFormat/>
    <w:rsid w:val="001B1BDF"/>
    <w:pPr>
      <w:spacing w:after="240"/>
      <w:jc w:val="center"/>
    </w:pPr>
    <w:rPr>
      <w:b/>
      <w:bCs/>
    </w:rPr>
  </w:style>
  <w:style w:type="numbering" w:customStyle="1" w:styleId="PMOStyle">
    <w:name w:val="PMO Style"/>
    <w:uiPriority w:val="99"/>
    <w:locked/>
    <w:rsid w:val="00445896"/>
    <w:pPr>
      <w:numPr>
        <w:numId w:val="1"/>
      </w:numPr>
    </w:pPr>
  </w:style>
  <w:style w:type="character" w:customStyle="1" w:styleId="Heading5Char">
    <w:name w:val="Heading 5 Char"/>
    <w:basedOn w:val="DefaultParagraphFont"/>
    <w:link w:val="Heading5"/>
    <w:uiPriority w:val="15"/>
    <w:rsid w:val="00B91E8F"/>
    <w:rPr>
      <w:rFonts w:ascii="Verdana" w:eastAsiaTheme="majorEastAsia" w:hAnsi="Verdana" w:cstheme="majorBidi"/>
      <w:color w:val="000000" w:themeColor="text1"/>
      <w:sz w:val="18"/>
      <w:szCs w:val="18"/>
    </w:rPr>
  </w:style>
  <w:style w:type="character" w:customStyle="1" w:styleId="Heading6Char">
    <w:name w:val="Heading 6 Char"/>
    <w:basedOn w:val="DefaultParagraphFont"/>
    <w:link w:val="Heading6"/>
    <w:uiPriority w:val="16"/>
    <w:semiHidden/>
    <w:rsid w:val="00B91E8F"/>
    <w:rPr>
      <w:rFonts w:ascii="Verdana" w:eastAsiaTheme="majorEastAsia" w:hAnsi="Verdana" w:cstheme="majorBidi"/>
      <w:color w:val="000000" w:themeColor="text1"/>
      <w:sz w:val="18"/>
      <w:szCs w:val="18"/>
    </w:rPr>
  </w:style>
  <w:style w:type="character" w:customStyle="1" w:styleId="Heading7Char">
    <w:name w:val="Heading 7 Char"/>
    <w:basedOn w:val="DefaultParagraphFont"/>
    <w:link w:val="Heading7"/>
    <w:uiPriority w:val="9"/>
    <w:semiHidden/>
    <w:rsid w:val="0070533A"/>
    <w:rPr>
      <w:rFonts w:asciiTheme="majorHAnsi" w:eastAsiaTheme="majorEastAsia" w:hAnsiTheme="majorHAnsi" w:cstheme="majorBidi"/>
      <w:i/>
      <w:iCs/>
      <w:color w:val="1F3763" w:themeColor="accent1" w:themeShade="7F"/>
      <w:sz w:val="18"/>
      <w:szCs w:val="18"/>
    </w:rPr>
  </w:style>
  <w:style w:type="character" w:customStyle="1" w:styleId="Heading8Char">
    <w:name w:val="Heading 8 Char"/>
    <w:basedOn w:val="DefaultParagraphFont"/>
    <w:link w:val="Heading8"/>
    <w:uiPriority w:val="9"/>
    <w:semiHidden/>
    <w:rsid w:val="0070533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0533A"/>
    <w:rPr>
      <w:rFonts w:asciiTheme="majorHAnsi" w:eastAsiaTheme="majorEastAsia" w:hAnsiTheme="majorHAnsi" w:cstheme="majorBidi"/>
      <w:i/>
      <w:iCs/>
      <w:color w:val="272727" w:themeColor="text1" w:themeTint="D8"/>
      <w:sz w:val="21"/>
      <w:szCs w:val="21"/>
    </w:rPr>
  </w:style>
  <w:style w:type="paragraph" w:customStyle="1" w:styleId="ClientName">
    <w:name w:val="Client Name"/>
    <w:basedOn w:val="Normal"/>
    <w:qFormat/>
    <w:rsid w:val="005D06C2"/>
    <w:pPr>
      <w:spacing w:before="0" w:line="240" w:lineRule="auto"/>
      <w:contextualSpacing/>
      <w:jc w:val="center"/>
    </w:pPr>
    <w:rPr>
      <w:rFonts w:eastAsiaTheme="majorEastAsia" w:cstheme="majorBidi"/>
      <w:b/>
      <w:color w:val="173654"/>
      <w:spacing w:val="-10"/>
      <w:kern w:val="28"/>
      <w:sz w:val="36"/>
      <w:szCs w:val="56"/>
    </w:rPr>
  </w:style>
  <w:style w:type="paragraph" w:customStyle="1" w:styleId="NameofProject">
    <w:name w:val="Name of Project"/>
    <w:basedOn w:val="Normal"/>
    <w:uiPriority w:val="1"/>
    <w:qFormat/>
    <w:rsid w:val="005D06C2"/>
    <w:pPr>
      <w:jc w:val="center"/>
    </w:pPr>
    <w:rPr>
      <w:b/>
      <w:color w:val="173654"/>
      <w:sz w:val="36"/>
    </w:rPr>
  </w:style>
  <w:style w:type="paragraph" w:customStyle="1" w:styleId="Deliverable">
    <w:name w:val="Deliverable"/>
    <w:basedOn w:val="Normal"/>
    <w:uiPriority w:val="2"/>
    <w:qFormat/>
    <w:rsid w:val="005D06C2"/>
    <w:pPr>
      <w:jc w:val="center"/>
    </w:pPr>
    <w:rPr>
      <w:b/>
      <w:color w:val="173654"/>
      <w:sz w:val="36"/>
    </w:rPr>
  </w:style>
  <w:style w:type="paragraph" w:customStyle="1" w:styleId="MonthDateYearVersion">
    <w:name w:val="Month Date Year Version"/>
    <w:basedOn w:val="Normal"/>
    <w:autoRedefine/>
    <w:uiPriority w:val="3"/>
    <w:qFormat/>
    <w:rsid w:val="005D06C2"/>
    <w:pPr>
      <w:jc w:val="center"/>
    </w:pPr>
    <w:rPr>
      <w:sz w:val="36"/>
    </w:rPr>
  </w:style>
  <w:style w:type="paragraph" w:customStyle="1" w:styleId="TablePrimaryBullet">
    <w:name w:val="Table Primary Bullet"/>
    <w:basedOn w:val="TableBodyText"/>
    <w:autoRedefine/>
    <w:uiPriority w:val="9"/>
    <w:qFormat/>
    <w:rsid w:val="00C31459"/>
    <w:pPr>
      <w:spacing w:before="60" w:after="60" w:line="240" w:lineRule="auto"/>
    </w:pPr>
  </w:style>
  <w:style w:type="paragraph" w:customStyle="1" w:styleId="Tablesubbullet">
    <w:name w:val="Table sub bullet"/>
    <w:basedOn w:val="TableBodyText"/>
    <w:autoRedefine/>
    <w:uiPriority w:val="10"/>
    <w:qFormat/>
    <w:rsid w:val="00CD767D"/>
    <w:pPr>
      <w:numPr>
        <w:numId w:val="2"/>
      </w:numPr>
      <w:spacing w:line="240" w:lineRule="auto"/>
      <w:ind w:left="864" w:hanging="288"/>
    </w:pPr>
  </w:style>
  <w:style w:type="paragraph" w:styleId="TableofFigures">
    <w:name w:val="table of figures"/>
    <w:aliases w:val="Body"/>
    <w:basedOn w:val="MainBodyText"/>
    <w:next w:val="MainBodyText"/>
    <w:autoRedefine/>
    <w:uiPriority w:val="99"/>
    <w:rsid w:val="000611C6"/>
    <w:pPr>
      <w:tabs>
        <w:tab w:val="right" w:leader="dot" w:pos="9350"/>
      </w:tabs>
    </w:pPr>
    <w:rPr>
      <w:noProof/>
    </w:rPr>
  </w:style>
  <w:style w:type="paragraph" w:customStyle="1" w:styleId="DocumentControlInformationHeader">
    <w:name w:val="Document Control Information Header"/>
    <w:basedOn w:val="Normal"/>
    <w:autoRedefine/>
    <w:uiPriority w:val="4"/>
    <w:qFormat/>
    <w:rsid w:val="0089199B"/>
    <w:rPr>
      <w:rFonts w:cs="Arial"/>
      <w:b/>
      <w:bCs/>
      <w:color w:val="000000" w:themeColor="text1"/>
    </w:rPr>
  </w:style>
  <w:style w:type="paragraph" w:customStyle="1" w:styleId="DCTableHeaders">
    <w:name w:val="DC Table Headers"/>
    <w:basedOn w:val="Normal"/>
    <w:uiPriority w:val="5"/>
    <w:qFormat/>
    <w:rsid w:val="007D3737"/>
    <w:pPr>
      <w:keepNext/>
    </w:pPr>
    <w:rPr>
      <w:rFonts w:cs="Arial"/>
      <w:b/>
      <w:bCs/>
      <w:szCs w:val="20"/>
    </w:rPr>
  </w:style>
  <w:style w:type="paragraph" w:styleId="ListParagraph">
    <w:name w:val="List Paragraph"/>
    <w:aliases w:val="Sub bullet 1,Bullet 1,Use Case List Paragraph,b1,Bullet for no #'s,B1,List Paragraph1,bullet list,DSR Bullet,List - arrows"/>
    <w:basedOn w:val="Normal"/>
    <w:link w:val="ListParagraphChar"/>
    <w:autoRedefine/>
    <w:uiPriority w:val="34"/>
    <w:qFormat/>
    <w:rsid w:val="001576DC"/>
    <w:pPr>
      <w:keepNext/>
      <w:keepLines/>
      <w:numPr>
        <w:numId w:val="6"/>
      </w:numPr>
      <w:tabs>
        <w:tab w:val="left" w:pos="990"/>
      </w:tabs>
      <w:spacing w:before="60" w:after="60"/>
      <w:contextualSpacing/>
    </w:pPr>
    <w:rPr>
      <w:bCs/>
    </w:rPr>
  </w:style>
  <w:style w:type="table" w:customStyle="1" w:styleId="TableGrid2">
    <w:name w:val="Table Grid2"/>
    <w:basedOn w:val="TableNormal"/>
    <w:next w:val="TableGrid"/>
    <w:uiPriority w:val="59"/>
    <w:locked/>
    <w:rsid w:val="0011725E"/>
    <w:pPr>
      <w:spacing w:after="0" w:line="240" w:lineRule="auto"/>
    </w:pPr>
    <w:rPr>
      <w:sz w:val="18"/>
      <w:szCs w:val="18"/>
      <w:lang w:val="en-GB"/>
    </w:rPr>
    <w:tblPr/>
  </w:style>
  <w:style w:type="paragraph" w:customStyle="1" w:styleId="TableTextFirstColumnBold">
    <w:name w:val="Table Text First Column Bold"/>
    <w:basedOn w:val="TableBodyText"/>
    <w:locked/>
    <w:rsid w:val="00CD1305"/>
    <w:rPr>
      <w:b/>
    </w:rPr>
  </w:style>
  <w:style w:type="paragraph" w:styleId="Header">
    <w:name w:val="header"/>
    <w:basedOn w:val="Normal"/>
    <w:link w:val="HeaderChar"/>
    <w:uiPriority w:val="99"/>
    <w:unhideWhenUsed/>
    <w:locked/>
    <w:rsid w:val="00752D1E"/>
    <w:pPr>
      <w:tabs>
        <w:tab w:val="center" w:pos="4680"/>
        <w:tab w:val="right" w:pos="9360"/>
      </w:tabs>
      <w:spacing w:before="0" w:line="240" w:lineRule="auto"/>
    </w:pPr>
  </w:style>
  <w:style w:type="character" w:customStyle="1" w:styleId="HeaderChar">
    <w:name w:val="Header Char"/>
    <w:basedOn w:val="DefaultParagraphFont"/>
    <w:link w:val="Header"/>
    <w:uiPriority w:val="99"/>
    <w:rsid w:val="00752D1E"/>
    <w:rPr>
      <w:rFonts w:ascii="Verdana" w:hAnsi="Verdana"/>
      <w:sz w:val="18"/>
      <w:szCs w:val="18"/>
      <w:lang w:val="en-GB"/>
    </w:rPr>
  </w:style>
  <w:style w:type="paragraph" w:styleId="Footer">
    <w:name w:val="footer"/>
    <w:basedOn w:val="Normal"/>
    <w:link w:val="FooterChar"/>
    <w:uiPriority w:val="99"/>
    <w:unhideWhenUsed/>
    <w:locked/>
    <w:rsid w:val="00752D1E"/>
    <w:pPr>
      <w:tabs>
        <w:tab w:val="center" w:pos="4680"/>
        <w:tab w:val="right" w:pos="9360"/>
      </w:tabs>
      <w:spacing w:before="0" w:line="240" w:lineRule="auto"/>
    </w:pPr>
  </w:style>
  <w:style w:type="character" w:customStyle="1" w:styleId="FooterChar">
    <w:name w:val="Footer Char"/>
    <w:basedOn w:val="DefaultParagraphFont"/>
    <w:link w:val="Footer"/>
    <w:uiPriority w:val="99"/>
    <w:rsid w:val="00752D1E"/>
    <w:rPr>
      <w:rFonts w:ascii="Verdana" w:hAnsi="Verdana"/>
      <w:sz w:val="18"/>
      <w:szCs w:val="18"/>
      <w:lang w:val="en-GB"/>
    </w:rPr>
  </w:style>
  <w:style w:type="paragraph" w:customStyle="1" w:styleId="MainBodyText0">
    <w:name w:val="Main Body Text"/>
    <w:basedOn w:val="Normal"/>
    <w:link w:val="MainBodyTextChar0"/>
    <w:qFormat/>
    <w:locked/>
    <w:rsid w:val="001B1BDF"/>
  </w:style>
  <w:style w:type="character" w:customStyle="1" w:styleId="MainBodyTextChar0">
    <w:name w:val="Main Body Text Char"/>
    <w:basedOn w:val="DefaultParagraphFont"/>
    <w:link w:val="MainBodyText0"/>
    <w:rsid w:val="001B1BDF"/>
    <w:rPr>
      <w:rFonts w:ascii="Verdana" w:hAnsi="Verdana"/>
      <w:sz w:val="18"/>
      <w:szCs w:val="18"/>
    </w:rPr>
  </w:style>
  <w:style w:type="paragraph" w:customStyle="1" w:styleId="Tablehead1">
    <w:name w:val="Tablehead1"/>
    <w:basedOn w:val="Normal"/>
    <w:next w:val="MainBodyText0"/>
    <w:autoRedefine/>
    <w:qFormat/>
    <w:locked/>
    <w:rsid w:val="00D818F9"/>
    <w:pPr>
      <w:keepNext/>
      <w:spacing w:before="60" w:after="60" w:line="240" w:lineRule="auto"/>
    </w:pPr>
    <w:rPr>
      <w:rFonts w:eastAsia="Times New Roman" w:cs="Times New Roman"/>
      <w:b/>
      <w:bCs/>
      <w:color w:val="FFFFFF" w:themeColor="background1"/>
      <w:szCs w:val="20"/>
      <w:lang w:eastAsia="ja-JP"/>
    </w:rPr>
  </w:style>
  <w:style w:type="paragraph" w:customStyle="1" w:styleId="Tabletext">
    <w:name w:val="Table text"/>
    <w:basedOn w:val="Normal"/>
    <w:autoRedefine/>
    <w:uiPriority w:val="1"/>
    <w:qFormat/>
    <w:locked/>
    <w:rsid w:val="00E773E6"/>
    <w:pPr>
      <w:widowControl w:val="0"/>
      <w:spacing w:before="0" w:line="280" w:lineRule="atLeast"/>
    </w:pPr>
    <w:rPr>
      <w:rFonts w:eastAsia="Times New Roman" w:cs="Arial"/>
      <w:szCs w:val="24"/>
    </w:rPr>
  </w:style>
  <w:style w:type="table" w:customStyle="1" w:styleId="TableGrid-None2">
    <w:name w:val="Table Grid - None2"/>
    <w:basedOn w:val="TableNormal"/>
    <w:next w:val="TableGrid"/>
    <w:uiPriority w:val="59"/>
    <w:locked/>
    <w:rsid w:val="00573325"/>
    <w:pPr>
      <w:spacing w:after="0" w:line="240" w:lineRule="auto"/>
    </w:pPr>
    <w:rPr>
      <w:sz w:val="18"/>
      <w:szCs w:val="18"/>
      <w:lang w:val="en-GB"/>
    </w:rPr>
    <w:tblPr/>
  </w:style>
  <w:style w:type="paragraph" w:styleId="Revision">
    <w:name w:val="Revision"/>
    <w:hidden/>
    <w:uiPriority w:val="99"/>
    <w:semiHidden/>
    <w:rsid w:val="00F5137D"/>
    <w:pPr>
      <w:spacing w:after="0" w:line="240" w:lineRule="auto"/>
    </w:pPr>
    <w:rPr>
      <w:rFonts w:ascii="Verdana" w:hAnsi="Verdana"/>
      <w:sz w:val="18"/>
      <w:szCs w:val="18"/>
      <w:lang w:val="en-GB"/>
    </w:rPr>
  </w:style>
  <w:style w:type="character" w:customStyle="1" w:styleId="ui-provider">
    <w:name w:val="ui-provider"/>
    <w:basedOn w:val="DefaultParagraphFont"/>
    <w:locked/>
    <w:rsid w:val="000F3B5D"/>
  </w:style>
  <w:style w:type="character" w:styleId="UnresolvedMention">
    <w:name w:val="Unresolved Mention"/>
    <w:basedOn w:val="DefaultParagraphFont"/>
    <w:uiPriority w:val="99"/>
    <w:semiHidden/>
    <w:unhideWhenUsed/>
    <w:locked/>
    <w:rsid w:val="000F3B5D"/>
    <w:rPr>
      <w:color w:val="605E5C"/>
      <w:shd w:val="clear" w:color="auto" w:fill="E1DFDD"/>
    </w:rPr>
  </w:style>
  <w:style w:type="paragraph" w:customStyle="1" w:styleId="FooterSection1">
    <w:name w:val="Footer Section 1"/>
    <w:basedOn w:val="Normal"/>
    <w:link w:val="FooterSection1Char"/>
    <w:qFormat/>
    <w:rsid w:val="006345A7"/>
    <w:pPr>
      <w:jc w:val="right"/>
    </w:pPr>
  </w:style>
  <w:style w:type="paragraph" w:customStyle="1" w:styleId="FooterSectionMain">
    <w:name w:val="Footer Section Main"/>
    <w:basedOn w:val="FooterSection1"/>
    <w:link w:val="FooterSectionMainChar"/>
    <w:qFormat/>
    <w:rsid w:val="00850DDC"/>
  </w:style>
  <w:style w:type="character" w:customStyle="1" w:styleId="FooterSection1Char">
    <w:name w:val="Footer Section 1 Char"/>
    <w:basedOn w:val="DefaultParagraphFont"/>
    <w:link w:val="FooterSection1"/>
    <w:rsid w:val="006345A7"/>
    <w:rPr>
      <w:rFonts w:ascii="Verdana" w:hAnsi="Verdana"/>
      <w:sz w:val="18"/>
      <w:szCs w:val="18"/>
      <w:lang w:val="en-GB"/>
    </w:rPr>
  </w:style>
  <w:style w:type="table" w:styleId="GridTable1Light">
    <w:name w:val="Grid Table 1 Light"/>
    <w:basedOn w:val="TableNormal"/>
    <w:uiPriority w:val="46"/>
    <w:locked/>
    <w:rsid w:val="0077124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FooterSectionMainChar">
    <w:name w:val="Footer Section Main Char"/>
    <w:basedOn w:val="FooterSection1Char"/>
    <w:link w:val="FooterSectionMain"/>
    <w:rsid w:val="00850DDC"/>
    <w:rPr>
      <w:rFonts w:ascii="Verdana" w:hAnsi="Verdana"/>
      <w:sz w:val="18"/>
      <w:szCs w:val="18"/>
      <w:lang w:val="en-GB"/>
    </w:rPr>
  </w:style>
  <w:style w:type="table" w:styleId="GridTable2">
    <w:name w:val="Grid Table 2"/>
    <w:basedOn w:val="TableNormal"/>
    <w:uiPriority w:val="47"/>
    <w:locked/>
    <w:rsid w:val="0077124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StyleCustom">
    <w:name w:val="Table Style Custom"/>
    <w:basedOn w:val="TableNormal"/>
    <w:uiPriority w:val="99"/>
    <w:locked/>
    <w:rsid w:val="00B90DCB"/>
    <w:pPr>
      <w:spacing w:after="0" w:line="240" w:lineRule="auto"/>
    </w:pPr>
    <w:tblPr/>
  </w:style>
  <w:style w:type="paragraph" w:customStyle="1" w:styleId="Bullet2Numbered">
    <w:name w:val="Bullet 2 (Numbered)"/>
    <w:basedOn w:val="ListParagraph"/>
    <w:link w:val="Bullet2NumberedChar"/>
    <w:qFormat/>
    <w:rsid w:val="00DD561E"/>
    <w:pPr>
      <w:keepNext w:val="0"/>
      <w:keepLines w:val="0"/>
      <w:numPr>
        <w:numId w:val="4"/>
      </w:numPr>
      <w:ind w:left="360"/>
      <w:contextualSpacing w:val="0"/>
    </w:pPr>
  </w:style>
  <w:style w:type="table" w:styleId="TableGridLight">
    <w:name w:val="Grid Table Light"/>
    <w:basedOn w:val="TableNormal"/>
    <w:uiPriority w:val="40"/>
    <w:locked/>
    <w:rsid w:val="00BD0C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aliases w:val="Sub bullet 1 Char,Bullet 1 Char,Use Case List Paragraph Char,b1 Char,Bullet for no #'s Char,B1 Char,List Paragraph1 Char,bullet list Char,DSR Bullet Char,List - arrows Char"/>
    <w:basedOn w:val="DefaultParagraphFont"/>
    <w:link w:val="ListParagraph"/>
    <w:uiPriority w:val="34"/>
    <w:qFormat/>
    <w:rsid w:val="001576DC"/>
    <w:rPr>
      <w:rFonts w:ascii="Verdana" w:hAnsi="Verdana"/>
      <w:bCs/>
      <w:sz w:val="18"/>
      <w:szCs w:val="18"/>
    </w:rPr>
  </w:style>
  <w:style w:type="character" w:customStyle="1" w:styleId="Bullet2NumberedChar">
    <w:name w:val="Bullet 2 (Numbered) Char"/>
    <w:basedOn w:val="ListParagraphChar"/>
    <w:link w:val="Bullet2Numbered"/>
    <w:rsid w:val="00DD561E"/>
    <w:rPr>
      <w:rFonts w:ascii="Verdana" w:hAnsi="Verdana"/>
      <w:bCs/>
      <w:sz w:val="18"/>
      <w:szCs w:val="18"/>
    </w:rPr>
  </w:style>
  <w:style w:type="table" w:customStyle="1" w:styleId="DEDTable">
    <w:name w:val="DED Table"/>
    <w:basedOn w:val="TableGrid4"/>
    <w:uiPriority w:val="99"/>
    <w:rsid w:val="00A2719C"/>
    <w:pPr>
      <w:spacing w:before="20" w:after="20" w:line="240" w:lineRule="auto"/>
    </w:pPr>
    <w:rPr>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20" w:beforeAutospacing="0" w:afterLines="0" w:after="120" w:afterAutospacing="0"/>
        <w:jc w:val="left"/>
      </w:pPr>
      <w:rPr>
        <w:rFonts w:asciiTheme="majorHAnsi" w:hAnsiTheme="majorHAnsi"/>
        <w:b/>
        <w:i w:val="0"/>
        <w:color w:val="auto"/>
        <w:sz w:val="17"/>
      </w:rPr>
      <w:tblPr/>
      <w:trPr>
        <w:tblHeader/>
      </w:tr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one" w:sz="0" w:space="0" w:color="auto"/>
          <w:tr2bl w:val="none" w:sz="0" w:space="0" w:color="auto"/>
        </w:tcBorders>
        <w:shd w:val="clear" w:color="auto" w:fill="000000" w:themeFill="text1"/>
        <w:vAlign w:val="center"/>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firstCol">
      <w:rPr>
        <w:rFonts w:asciiTheme="minorHAnsi" w:hAnsiTheme="minorHAnsi"/>
        <w:b/>
        <w:sz w:val="18"/>
      </w:rPr>
    </w:tblStylePr>
    <w:tblStylePr w:type="lastCol">
      <w:rPr>
        <w:b/>
        <w:bCs/>
        <w:color w:val="auto"/>
      </w:rPr>
      <w:tblPr/>
      <w:tcPr>
        <w:tcBorders>
          <w:tl2br w:val="none" w:sz="0" w:space="0" w:color="auto"/>
          <w:tr2bl w:val="none" w:sz="0" w:space="0" w:color="auto"/>
        </w:tcBorders>
      </w:tcPr>
    </w:tblStylePr>
  </w:style>
  <w:style w:type="paragraph" w:customStyle="1" w:styleId="NormalNEW">
    <w:name w:val="Normal (NEW)"/>
    <w:basedOn w:val="Normal"/>
    <w:qFormat/>
    <w:rsid w:val="00F66EA1"/>
    <w:rPr>
      <w:rFonts w:eastAsia="Verdana" w:cs="Verdana"/>
      <w:szCs w:val="20"/>
    </w:rPr>
  </w:style>
  <w:style w:type="paragraph" w:customStyle="1" w:styleId="BulletNEW">
    <w:name w:val="Bullet (NEW)"/>
    <w:basedOn w:val="ListParagraph"/>
    <w:qFormat/>
    <w:rsid w:val="00264519"/>
    <w:pPr>
      <w:keepNext w:val="0"/>
      <w:keepLines w:val="0"/>
      <w:numPr>
        <w:numId w:val="5"/>
      </w:numPr>
      <w:tabs>
        <w:tab w:val="clear" w:pos="990"/>
      </w:tabs>
      <w:spacing w:before="120" w:after="120"/>
      <w:ind w:left="360"/>
      <w:contextualSpacing w:val="0"/>
    </w:pPr>
    <w:rPr>
      <w:rFonts w:eastAsia="Calibri" w:cs="Arial Narrow"/>
      <w:bCs w:val="0"/>
      <w:color w:val="000000" w:themeColor="text1"/>
      <w:u w:color="000000" w:themeColor="text1"/>
      <w:lang w:val="en-GB"/>
    </w:rPr>
  </w:style>
  <w:style w:type="paragraph" w:customStyle="1" w:styleId="TABLEHEADINGNEW">
    <w:name w:val="TABLE HEADING (NEW)"/>
    <w:basedOn w:val="Normal"/>
    <w:qFormat/>
    <w:rsid w:val="00183ED5"/>
    <w:pPr>
      <w:keepNext/>
      <w:spacing w:before="60" w:after="60" w:line="240" w:lineRule="auto"/>
    </w:pPr>
    <w:rPr>
      <w:rFonts w:eastAsia="Times New Roman" w:cs="Times New Roman"/>
      <w:b/>
      <w:bCs/>
      <w:color w:val="FFFFFF" w:themeColor="background1"/>
      <w:szCs w:val="22"/>
      <w:u w:color="000000" w:themeColor="text1"/>
    </w:rPr>
  </w:style>
  <w:style w:type="paragraph" w:customStyle="1" w:styleId="TABLEBULLETNEW">
    <w:name w:val="TABLE BULLET (NEW)"/>
    <w:basedOn w:val="BulletNEW"/>
    <w:qFormat/>
    <w:rsid w:val="00183ED5"/>
    <w:pPr>
      <w:ind w:left="216" w:hanging="216"/>
    </w:pPr>
  </w:style>
  <w:style w:type="paragraph" w:customStyle="1" w:styleId="TABLETEXT0">
    <w:name w:val="TABLE TEXT"/>
    <w:basedOn w:val="Normal"/>
    <w:qFormat/>
    <w:rsid w:val="00183ED5"/>
    <w:pPr>
      <w:spacing w:before="60" w:after="60"/>
    </w:pPr>
    <w:rPr>
      <w:rFonts w:eastAsia="Verdana" w:cs="Verdana"/>
      <w:szCs w:val="20"/>
    </w:rPr>
  </w:style>
  <w:style w:type="character" w:styleId="Mention">
    <w:name w:val="Mention"/>
    <w:basedOn w:val="DefaultParagraphFont"/>
    <w:uiPriority w:val="99"/>
    <w:unhideWhenUsed/>
    <w:locked/>
    <w:rsid w:val="00416BAB"/>
    <w:rPr>
      <w:color w:val="2B579A"/>
      <w:shd w:val="clear" w:color="auto" w:fill="E1DFDD"/>
    </w:rPr>
  </w:style>
  <w:style w:type="paragraph" w:styleId="NormalWeb">
    <w:name w:val="Normal (Web)"/>
    <w:basedOn w:val="Normal"/>
    <w:uiPriority w:val="99"/>
    <w:semiHidden/>
    <w:unhideWhenUsed/>
    <w:locked/>
    <w:rsid w:val="00C931CE"/>
    <w:rPr>
      <w:rFonts w:ascii="Times New Roman" w:hAnsi="Times New Roman" w:cs="Times New Roman"/>
      <w:sz w:val="24"/>
      <w:szCs w:val="24"/>
    </w:rPr>
  </w:style>
  <w:style w:type="paragraph" w:customStyle="1" w:styleId="TableBullet">
    <w:name w:val="Table Bullet"/>
    <w:basedOn w:val="ListParagraph"/>
    <w:link w:val="TableBulletChar"/>
    <w:qFormat/>
    <w:rsid w:val="004A0469"/>
    <w:pPr>
      <w:ind w:left="376"/>
      <w:contextualSpacing w:val="0"/>
    </w:pPr>
    <w:rPr>
      <w:lang w:eastAsia="ja-JP"/>
    </w:rPr>
  </w:style>
  <w:style w:type="character" w:customStyle="1" w:styleId="TableBulletChar">
    <w:name w:val="Table Bullet Char"/>
    <w:basedOn w:val="ListParagraphChar"/>
    <w:link w:val="TableBullet"/>
    <w:rsid w:val="004A0469"/>
    <w:rPr>
      <w:rFonts w:ascii="Verdana" w:hAnsi="Verdana"/>
      <w:bCs/>
      <w:sz w:val="18"/>
      <w:szCs w:val="18"/>
      <w:lang w:eastAsia="ja-JP"/>
    </w:rPr>
  </w:style>
  <w:style w:type="character" w:customStyle="1" w:styleId="CaptionChar">
    <w:name w:val="Caption Char"/>
    <w:aliases w:val="Table Caption Char,D_Figure title Char"/>
    <w:basedOn w:val="DefaultParagraphFont"/>
    <w:link w:val="Caption"/>
    <w:uiPriority w:val="12"/>
    <w:locked/>
    <w:rsid w:val="001B1BDF"/>
    <w:rPr>
      <w:rFonts w:ascii="Verdana" w:hAnsi="Verdana"/>
      <w:b/>
      <w:bCs/>
      <w:sz w:val="18"/>
      <w:szCs w:val="18"/>
    </w:rPr>
  </w:style>
  <w:style w:type="paragraph" w:customStyle="1" w:styleId="paragraph">
    <w:name w:val="paragraph"/>
    <w:basedOn w:val="Normal"/>
    <w:rsid w:val="00431E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31E95"/>
  </w:style>
  <w:style w:type="character" w:customStyle="1" w:styleId="eop">
    <w:name w:val="eop"/>
    <w:basedOn w:val="DefaultParagraphFont"/>
    <w:rsid w:val="00431E95"/>
  </w:style>
  <w:style w:type="character" w:styleId="FollowedHyperlink">
    <w:name w:val="FollowedHyperlink"/>
    <w:basedOn w:val="DefaultParagraphFont"/>
    <w:uiPriority w:val="99"/>
    <w:semiHidden/>
    <w:unhideWhenUsed/>
    <w:locked/>
    <w:rsid w:val="00AF3D1B"/>
    <w:rPr>
      <w:color w:val="954F72" w:themeColor="followedHyperlink"/>
      <w:u w:val="single"/>
    </w:rPr>
  </w:style>
  <w:style w:type="paragraph" w:styleId="NoSpacing">
    <w:name w:val="No Spacing"/>
    <w:uiPriority w:val="1"/>
    <w:qFormat/>
    <w:locked/>
    <w:rsid w:val="00DA0103"/>
    <w:pPr>
      <w:spacing w:after="0" w:line="240" w:lineRule="auto"/>
    </w:pPr>
    <w:rPr>
      <w:rFonts w:ascii="Verdana" w:hAnsi="Verdana"/>
      <w:sz w:val="18"/>
      <w:szCs w:val="18"/>
      <w:lang w:val="en-GB"/>
    </w:rPr>
  </w:style>
  <w:style w:type="paragraph" w:customStyle="1" w:styleId="DBodycopy">
    <w:name w:val="D_Body copy"/>
    <w:uiPriority w:val="67"/>
    <w:qFormat/>
    <w:rsid w:val="00DA0103"/>
    <w:pPr>
      <w:spacing w:after="240" w:line="240" w:lineRule="atLeast"/>
    </w:pPr>
    <w:rPr>
      <w:rFonts w:eastAsia="Times" w:cs="Times New Roman"/>
      <w:color w:val="000000" w:themeColor="text1"/>
      <w:sz w:val="18"/>
      <w:szCs w:val="20"/>
    </w:rPr>
  </w:style>
  <w:style w:type="paragraph" w:customStyle="1" w:styleId="DTablecolumnheader">
    <w:name w:val="D_Table column header"/>
    <w:uiPriority w:val="77"/>
    <w:rsid w:val="00DA0103"/>
    <w:pPr>
      <w:spacing w:after="0" w:line="200" w:lineRule="atLeast"/>
    </w:pPr>
    <w:rPr>
      <w:rFonts w:eastAsia="Times" w:cs="Arial"/>
      <w:b/>
      <w:color w:val="62B5E5"/>
      <w:sz w:val="17"/>
      <w:szCs w:val="16"/>
    </w:rPr>
  </w:style>
  <w:style w:type="paragraph" w:customStyle="1" w:styleId="DTablesection">
    <w:name w:val="D_Table section"/>
    <w:uiPriority w:val="77"/>
    <w:rsid w:val="00DA0103"/>
    <w:pPr>
      <w:spacing w:after="0" w:line="200" w:lineRule="atLeast"/>
    </w:pPr>
    <w:rPr>
      <w:rFonts w:ascii="Arial" w:eastAsia="Times" w:hAnsi="Arial" w:cs="Times New Roman"/>
      <w:b/>
      <w:color w:val="000000"/>
      <w:sz w:val="16"/>
      <w:szCs w:val="24"/>
    </w:rPr>
  </w:style>
  <w:style w:type="table" w:customStyle="1" w:styleId="Deloittetable">
    <w:name w:val="Deloitte table"/>
    <w:basedOn w:val="TableNormal"/>
    <w:uiPriority w:val="99"/>
    <w:rsid w:val="00DA0103"/>
    <w:pPr>
      <w:spacing w:after="0" w:line="240" w:lineRule="auto"/>
    </w:pPr>
    <w:rPr>
      <w:sz w:val="17"/>
      <w:lang w:val="en-GB"/>
    </w:rPr>
    <w:tblPr>
      <w:tblInd w:w="0" w:type="nil"/>
      <w:tblBorders>
        <w:top w:val="single" w:sz="4" w:space="0" w:color="A5A5A5" w:themeColor="accent3"/>
        <w:bottom w:val="single" w:sz="4" w:space="0" w:color="000000" w:themeColor="text1"/>
        <w:insideH w:val="single" w:sz="4" w:space="0" w:color="000000" w:themeColor="text1"/>
      </w:tblBorders>
      <w:tblCellMar>
        <w:top w:w="57" w:type="dxa"/>
        <w:left w:w="0" w:type="dxa"/>
        <w:bottom w:w="57" w:type="dxa"/>
        <w:right w:w="0" w:type="dxa"/>
      </w:tblCellMar>
    </w:tblPr>
    <w:tblStylePr w:type="firstRow">
      <w:tblPr/>
      <w:tcPr>
        <w:tcBorders>
          <w:top w:val="single" w:sz="24" w:space="0" w:color="A5A5A5" w:themeColor="accent3"/>
        </w:tcBorders>
      </w:tcPr>
    </w:tblStylePr>
  </w:style>
  <w:style w:type="paragraph" w:customStyle="1" w:styleId="Bodycopy">
    <w:name w:val="Body copy"/>
    <w:link w:val="BodycopyChar"/>
    <w:qFormat/>
    <w:rsid w:val="00B004EE"/>
    <w:pPr>
      <w:spacing w:after="120" w:line="240" w:lineRule="auto"/>
    </w:pPr>
    <w:rPr>
      <w:rFonts w:ascii="Arial" w:eastAsia="Times" w:hAnsi="Arial" w:cs="Times New Roman"/>
      <w:color w:val="000000"/>
      <w:sz w:val="20"/>
      <w:szCs w:val="20"/>
    </w:rPr>
  </w:style>
  <w:style w:type="character" w:customStyle="1" w:styleId="BodycopyChar">
    <w:name w:val="Body copy Char"/>
    <w:link w:val="Bodycopy"/>
    <w:rsid w:val="00B004EE"/>
    <w:rPr>
      <w:rFonts w:ascii="Arial" w:eastAsia="Times" w:hAnsi="Arial" w:cs="Times New Roman"/>
      <w:color w:val="000000"/>
      <w:sz w:val="20"/>
      <w:szCs w:val="20"/>
    </w:rPr>
  </w:style>
  <w:style w:type="paragraph" w:styleId="ListBullet2">
    <w:name w:val="List Bullet 2"/>
    <w:basedOn w:val="ListParagraph"/>
    <w:uiPriority w:val="99"/>
    <w:qFormat/>
    <w:locked/>
    <w:rsid w:val="0022266C"/>
    <w:pPr>
      <w:keepNext w:val="0"/>
      <w:keepLines w:val="0"/>
      <w:numPr>
        <w:numId w:val="25"/>
      </w:numPr>
      <w:tabs>
        <w:tab w:val="clear" w:pos="990"/>
      </w:tabs>
      <w:spacing w:before="0" w:after="0" w:line="240" w:lineRule="auto"/>
    </w:pPr>
    <w:rPr>
      <w:rFonts w:asciiTheme="minorHAnsi" w:hAnsiTheme="minorHAnsi"/>
      <w:bCs w:val="0"/>
      <w:lang w:val="en-GB"/>
    </w:rPr>
  </w:style>
  <w:style w:type="paragraph" w:customStyle="1" w:styleId="Style111">
    <w:name w:val="Style 1.1.1"/>
    <w:basedOn w:val="Heading3"/>
    <w:link w:val="Style111Char"/>
    <w:qFormat/>
    <w:rsid w:val="00584BF5"/>
  </w:style>
  <w:style w:type="character" w:customStyle="1" w:styleId="Style111Char">
    <w:name w:val="Style 1.1.1 Char"/>
    <w:basedOn w:val="Heading3Char"/>
    <w:link w:val="Style111"/>
    <w:rsid w:val="00584BF5"/>
    <w:rPr>
      <w:rFonts w:ascii="Verdana" w:eastAsiaTheme="majorEastAsia" w:hAnsi="Verdana" w:cstheme="majorBidi"/>
      <w:b/>
      <w:bCs w:val="0"/>
      <w:sz w:val="18"/>
      <w:szCs w:val="24"/>
    </w:rPr>
  </w:style>
  <w:style w:type="paragraph" w:styleId="TOC5">
    <w:name w:val="toc 5"/>
    <w:basedOn w:val="Normal"/>
    <w:next w:val="Normal"/>
    <w:autoRedefine/>
    <w:uiPriority w:val="39"/>
    <w:unhideWhenUsed/>
    <w:rsid w:val="008F701A"/>
    <w:pPr>
      <w:spacing w:before="0" w:after="100" w:line="278" w:lineRule="auto"/>
      <w:ind w:left="960"/>
    </w:pPr>
    <w:rPr>
      <w:rFonts w:asciiTheme="minorHAnsi" w:eastAsiaTheme="minorEastAsia" w:hAnsiTheme="minorHAnsi"/>
      <w:kern w:val="2"/>
      <w:sz w:val="24"/>
      <w:szCs w:val="24"/>
      <w14:ligatures w14:val="standardContextual"/>
    </w:rPr>
  </w:style>
  <w:style w:type="paragraph" w:styleId="TOC6">
    <w:name w:val="toc 6"/>
    <w:basedOn w:val="Normal"/>
    <w:next w:val="Normal"/>
    <w:autoRedefine/>
    <w:uiPriority w:val="39"/>
    <w:unhideWhenUsed/>
    <w:locked/>
    <w:rsid w:val="008F701A"/>
    <w:pPr>
      <w:spacing w:before="0" w:after="100" w:line="278" w:lineRule="auto"/>
      <w:ind w:left="1200"/>
    </w:pPr>
    <w:rPr>
      <w:rFonts w:asciiTheme="minorHAnsi" w:eastAsiaTheme="minorEastAsia" w:hAnsiTheme="minorHAnsi"/>
      <w:kern w:val="2"/>
      <w:sz w:val="24"/>
      <w:szCs w:val="24"/>
      <w14:ligatures w14:val="standardContextual"/>
    </w:rPr>
  </w:style>
  <w:style w:type="paragraph" w:styleId="TOC7">
    <w:name w:val="toc 7"/>
    <w:basedOn w:val="Normal"/>
    <w:next w:val="Normal"/>
    <w:autoRedefine/>
    <w:uiPriority w:val="39"/>
    <w:unhideWhenUsed/>
    <w:locked/>
    <w:rsid w:val="008F701A"/>
    <w:pPr>
      <w:spacing w:before="0" w:after="100" w:line="278" w:lineRule="auto"/>
      <w:ind w:left="1440"/>
    </w:pPr>
    <w:rPr>
      <w:rFonts w:asciiTheme="minorHAnsi" w:eastAsiaTheme="minorEastAsia" w:hAnsiTheme="minorHAnsi"/>
      <w:kern w:val="2"/>
      <w:sz w:val="24"/>
      <w:szCs w:val="24"/>
      <w14:ligatures w14:val="standardContextual"/>
    </w:rPr>
  </w:style>
  <w:style w:type="paragraph" w:styleId="TOC8">
    <w:name w:val="toc 8"/>
    <w:basedOn w:val="Normal"/>
    <w:next w:val="Normal"/>
    <w:autoRedefine/>
    <w:uiPriority w:val="39"/>
    <w:unhideWhenUsed/>
    <w:locked/>
    <w:rsid w:val="008F701A"/>
    <w:pPr>
      <w:spacing w:before="0" w:after="100" w:line="278" w:lineRule="auto"/>
      <w:ind w:left="1680"/>
    </w:pPr>
    <w:rPr>
      <w:rFonts w:asciiTheme="minorHAnsi" w:eastAsiaTheme="minorEastAsia" w:hAnsiTheme="minorHAnsi"/>
      <w:kern w:val="2"/>
      <w:sz w:val="24"/>
      <w:szCs w:val="24"/>
      <w14:ligatures w14:val="standardContextual"/>
    </w:rPr>
  </w:style>
  <w:style w:type="paragraph" w:styleId="TOC9">
    <w:name w:val="toc 9"/>
    <w:basedOn w:val="Normal"/>
    <w:next w:val="Normal"/>
    <w:autoRedefine/>
    <w:uiPriority w:val="39"/>
    <w:unhideWhenUsed/>
    <w:locked/>
    <w:rsid w:val="008F701A"/>
    <w:pPr>
      <w:spacing w:before="0" w:after="100" w:line="278" w:lineRule="auto"/>
      <w:ind w:left="1920"/>
    </w:pPr>
    <w:rPr>
      <w:rFonts w:asciiTheme="minorHAnsi" w:eastAsiaTheme="minorEastAsia" w:hAnsiTheme="minorHAnsi"/>
      <w:kern w:val="2"/>
      <w:sz w:val="24"/>
      <w:szCs w:val="24"/>
      <w14:ligatures w14:val="standardContextual"/>
    </w:rPr>
  </w:style>
  <w:style w:type="paragraph" w:customStyle="1" w:styleId="CaptionFigure">
    <w:name w:val="Caption Figure"/>
    <w:basedOn w:val="Normal"/>
    <w:link w:val="CaptionFigureChar"/>
    <w:qFormat/>
    <w:rsid w:val="00AA78EF"/>
    <w:pPr>
      <w:jc w:val="center"/>
    </w:pPr>
    <w:rPr>
      <w:b/>
    </w:rPr>
  </w:style>
  <w:style w:type="character" w:customStyle="1" w:styleId="CaptionFigureChar">
    <w:name w:val="Caption Figure Char"/>
    <w:basedOn w:val="DefaultParagraphFont"/>
    <w:link w:val="CaptionFigure"/>
    <w:rsid w:val="00AA78EF"/>
    <w:rPr>
      <w:rFonts w:ascii="Verdana" w:hAnsi="Verdana"/>
      <w:b/>
      <w:sz w:val="18"/>
      <w:szCs w:val="18"/>
    </w:rPr>
  </w:style>
  <w:style w:type="character" w:styleId="Strong">
    <w:name w:val="Strong"/>
    <w:basedOn w:val="DefaultParagraphFont"/>
    <w:uiPriority w:val="22"/>
    <w:qFormat/>
    <w:locked/>
    <w:rsid w:val="00B233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49016">
      <w:bodyDiv w:val="1"/>
      <w:marLeft w:val="0"/>
      <w:marRight w:val="0"/>
      <w:marTop w:val="0"/>
      <w:marBottom w:val="0"/>
      <w:divBdr>
        <w:top w:val="none" w:sz="0" w:space="0" w:color="auto"/>
        <w:left w:val="none" w:sz="0" w:space="0" w:color="auto"/>
        <w:bottom w:val="none" w:sz="0" w:space="0" w:color="auto"/>
        <w:right w:val="none" w:sz="0" w:space="0" w:color="auto"/>
      </w:divBdr>
    </w:div>
    <w:div w:id="37896943">
      <w:bodyDiv w:val="1"/>
      <w:marLeft w:val="0"/>
      <w:marRight w:val="0"/>
      <w:marTop w:val="0"/>
      <w:marBottom w:val="0"/>
      <w:divBdr>
        <w:top w:val="none" w:sz="0" w:space="0" w:color="auto"/>
        <w:left w:val="none" w:sz="0" w:space="0" w:color="auto"/>
        <w:bottom w:val="none" w:sz="0" w:space="0" w:color="auto"/>
        <w:right w:val="none" w:sz="0" w:space="0" w:color="auto"/>
      </w:divBdr>
    </w:div>
    <w:div w:id="55667930">
      <w:bodyDiv w:val="1"/>
      <w:marLeft w:val="0"/>
      <w:marRight w:val="0"/>
      <w:marTop w:val="0"/>
      <w:marBottom w:val="0"/>
      <w:divBdr>
        <w:top w:val="none" w:sz="0" w:space="0" w:color="auto"/>
        <w:left w:val="none" w:sz="0" w:space="0" w:color="auto"/>
        <w:bottom w:val="none" w:sz="0" w:space="0" w:color="auto"/>
        <w:right w:val="none" w:sz="0" w:space="0" w:color="auto"/>
      </w:divBdr>
    </w:div>
    <w:div w:id="57289851">
      <w:bodyDiv w:val="1"/>
      <w:marLeft w:val="0"/>
      <w:marRight w:val="0"/>
      <w:marTop w:val="0"/>
      <w:marBottom w:val="0"/>
      <w:divBdr>
        <w:top w:val="none" w:sz="0" w:space="0" w:color="auto"/>
        <w:left w:val="none" w:sz="0" w:space="0" w:color="auto"/>
        <w:bottom w:val="none" w:sz="0" w:space="0" w:color="auto"/>
        <w:right w:val="none" w:sz="0" w:space="0" w:color="auto"/>
      </w:divBdr>
    </w:div>
    <w:div w:id="58749424">
      <w:bodyDiv w:val="1"/>
      <w:marLeft w:val="0"/>
      <w:marRight w:val="0"/>
      <w:marTop w:val="0"/>
      <w:marBottom w:val="0"/>
      <w:divBdr>
        <w:top w:val="none" w:sz="0" w:space="0" w:color="auto"/>
        <w:left w:val="none" w:sz="0" w:space="0" w:color="auto"/>
        <w:bottom w:val="none" w:sz="0" w:space="0" w:color="auto"/>
        <w:right w:val="none" w:sz="0" w:space="0" w:color="auto"/>
      </w:divBdr>
    </w:div>
    <w:div w:id="73287027">
      <w:bodyDiv w:val="1"/>
      <w:marLeft w:val="0"/>
      <w:marRight w:val="0"/>
      <w:marTop w:val="0"/>
      <w:marBottom w:val="0"/>
      <w:divBdr>
        <w:top w:val="none" w:sz="0" w:space="0" w:color="auto"/>
        <w:left w:val="none" w:sz="0" w:space="0" w:color="auto"/>
        <w:bottom w:val="none" w:sz="0" w:space="0" w:color="auto"/>
        <w:right w:val="none" w:sz="0" w:space="0" w:color="auto"/>
      </w:divBdr>
    </w:div>
    <w:div w:id="80755806">
      <w:bodyDiv w:val="1"/>
      <w:marLeft w:val="0"/>
      <w:marRight w:val="0"/>
      <w:marTop w:val="0"/>
      <w:marBottom w:val="0"/>
      <w:divBdr>
        <w:top w:val="none" w:sz="0" w:space="0" w:color="auto"/>
        <w:left w:val="none" w:sz="0" w:space="0" w:color="auto"/>
        <w:bottom w:val="none" w:sz="0" w:space="0" w:color="auto"/>
        <w:right w:val="none" w:sz="0" w:space="0" w:color="auto"/>
      </w:divBdr>
    </w:div>
    <w:div w:id="132721360">
      <w:bodyDiv w:val="1"/>
      <w:marLeft w:val="0"/>
      <w:marRight w:val="0"/>
      <w:marTop w:val="0"/>
      <w:marBottom w:val="0"/>
      <w:divBdr>
        <w:top w:val="none" w:sz="0" w:space="0" w:color="auto"/>
        <w:left w:val="none" w:sz="0" w:space="0" w:color="auto"/>
        <w:bottom w:val="none" w:sz="0" w:space="0" w:color="auto"/>
        <w:right w:val="none" w:sz="0" w:space="0" w:color="auto"/>
      </w:divBdr>
    </w:div>
    <w:div w:id="133910551">
      <w:bodyDiv w:val="1"/>
      <w:marLeft w:val="0"/>
      <w:marRight w:val="0"/>
      <w:marTop w:val="0"/>
      <w:marBottom w:val="0"/>
      <w:divBdr>
        <w:top w:val="none" w:sz="0" w:space="0" w:color="auto"/>
        <w:left w:val="none" w:sz="0" w:space="0" w:color="auto"/>
        <w:bottom w:val="none" w:sz="0" w:space="0" w:color="auto"/>
        <w:right w:val="none" w:sz="0" w:space="0" w:color="auto"/>
      </w:divBdr>
      <w:divsChild>
        <w:div w:id="127944055">
          <w:marLeft w:val="0"/>
          <w:marRight w:val="0"/>
          <w:marTop w:val="0"/>
          <w:marBottom w:val="0"/>
          <w:divBdr>
            <w:top w:val="none" w:sz="0" w:space="0" w:color="auto"/>
            <w:left w:val="none" w:sz="0" w:space="0" w:color="auto"/>
            <w:bottom w:val="none" w:sz="0" w:space="0" w:color="auto"/>
            <w:right w:val="none" w:sz="0" w:space="0" w:color="auto"/>
          </w:divBdr>
          <w:divsChild>
            <w:div w:id="224728981">
              <w:marLeft w:val="0"/>
              <w:marRight w:val="0"/>
              <w:marTop w:val="0"/>
              <w:marBottom w:val="0"/>
              <w:divBdr>
                <w:top w:val="none" w:sz="0" w:space="0" w:color="auto"/>
                <w:left w:val="none" w:sz="0" w:space="0" w:color="auto"/>
                <w:bottom w:val="none" w:sz="0" w:space="0" w:color="auto"/>
                <w:right w:val="none" w:sz="0" w:space="0" w:color="auto"/>
              </w:divBdr>
            </w:div>
            <w:div w:id="546260718">
              <w:marLeft w:val="0"/>
              <w:marRight w:val="0"/>
              <w:marTop w:val="0"/>
              <w:marBottom w:val="0"/>
              <w:divBdr>
                <w:top w:val="none" w:sz="0" w:space="0" w:color="auto"/>
                <w:left w:val="none" w:sz="0" w:space="0" w:color="auto"/>
                <w:bottom w:val="none" w:sz="0" w:space="0" w:color="auto"/>
                <w:right w:val="none" w:sz="0" w:space="0" w:color="auto"/>
              </w:divBdr>
            </w:div>
            <w:div w:id="549732856">
              <w:marLeft w:val="0"/>
              <w:marRight w:val="0"/>
              <w:marTop w:val="0"/>
              <w:marBottom w:val="0"/>
              <w:divBdr>
                <w:top w:val="none" w:sz="0" w:space="0" w:color="auto"/>
                <w:left w:val="none" w:sz="0" w:space="0" w:color="auto"/>
                <w:bottom w:val="none" w:sz="0" w:space="0" w:color="auto"/>
                <w:right w:val="none" w:sz="0" w:space="0" w:color="auto"/>
              </w:divBdr>
            </w:div>
            <w:div w:id="572275893">
              <w:marLeft w:val="0"/>
              <w:marRight w:val="0"/>
              <w:marTop w:val="0"/>
              <w:marBottom w:val="0"/>
              <w:divBdr>
                <w:top w:val="none" w:sz="0" w:space="0" w:color="auto"/>
                <w:left w:val="none" w:sz="0" w:space="0" w:color="auto"/>
                <w:bottom w:val="none" w:sz="0" w:space="0" w:color="auto"/>
                <w:right w:val="none" w:sz="0" w:space="0" w:color="auto"/>
              </w:divBdr>
            </w:div>
            <w:div w:id="1072043376">
              <w:marLeft w:val="0"/>
              <w:marRight w:val="0"/>
              <w:marTop w:val="0"/>
              <w:marBottom w:val="0"/>
              <w:divBdr>
                <w:top w:val="none" w:sz="0" w:space="0" w:color="auto"/>
                <w:left w:val="none" w:sz="0" w:space="0" w:color="auto"/>
                <w:bottom w:val="none" w:sz="0" w:space="0" w:color="auto"/>
                <w:right w:val="none" w:sz="0" w:space="0" w:color="auto"/>
              </w:divBdr>
            </w:div>
            <w:div w:id="1096637785">
              <w:marLeft w:val="0"/>
              <w:marRight w:val="0"/>
              <w:marTop w:val="0"/>
              <w:marBottom w:val="0"/>
              <w:divBdr>
                <w:top w:val="none" w:sz="0" w:space="0" w:color="auto"/>
                <w:left w:val="none" w:sz="0" w:space="0" w:color="auto"/>
                <w:bottom w:val="none" w:sz="0" w:space="0" w:color="auto"/>
                <w:right w:val="none" w:sz="0" w:space="0" w:color="auto"/>
              </w:divBdr>
            </w:div>
            <w:div w:id="1104500799">
              <w:marLeft w:val="0"/>
              <w:marRight w:val="0"/>
              <w:marTop w:val="0"/>
              <w:marBottom w:val="0"/>
              <w:divBdr>
                <w:top w:val="none" w:sz="0" w:space="0" w:color="auto"/>
                <w:left w:val="none" w:sz="0" w:space="0" w:color="auto"/>
                <w:bottom w:val="none" w:sz="0" w:space="0" w:color="auto"/>
                <w:right w:val="none" w:sz="0" w:space="0" w:color="auto"/>
              </w:divBdr>
            </w:div>
            <w:div w:id="1208833799">
              <w:marLeft w:val="0"/>
              <w:marRight w:val="0"/>
              <w:marTop w:val="0"/>
              <w:marBottom w:val="0"/>
              <w:divBdr>
                <w:top w:val="none" w:sz="0" w:space="0" w:color="auto"/>
                <w:left w:val="none" w:sz="0" w:space="0" w:color="auto"/>
                <w:bottom w:val="none" w:sz="0" w:space="0" w:color="auto"/>
                <w:right w:val="none" w:sz="0" w:space="0" w:color="auto"/>
              </w:divBdr>
            </w:div>
            <w:div w:id="1375350073">
              <w:marLeft w:val="0"/>
              <w:marRight w:val="0"/>
              <w:marTop w:val="0"/>
              <w:marBottom w:val="0"/>
              <w:divBdr>
                <w:top w:val="none" w:sz="0" w:space="0" w:color="auto"/>
                <w:left w:val="none" w:sz="0" w:space="0" w:color="auto"/>
                <w:bottom w:val="none" w:sz="0" w:space="0" w:color="auto"/>
                <w:right w:val="none" w:sz="0" w:space="0" w:color="auto"/>
              </w:divBdr>
            </w:div>
            <w:div w:id="1405297442">
              <w:marLeft w:val="0"/>
              <w:marRight w:val="0"/>
              <w:marTop w:val="0"/>
              <w:marBottom w:val="0"/>
              <w:divBdr>
                <w:top w:val="none" w:sz="0" w:space="0" w:color="auto"/>
                <w:left w:val="none" w:sz="0" w:space="0" w:color="auto"/>
                <w:bottom w:val="none" w:sz="0" w:space="0" w:color="auto"/>
                <w:right w:val="none" w:sz="0" w:space="0" w:color="auto"/>
              </w:divBdr>
            </w:div>
            <w:div w:id="1444227703">
              <w:marLeft w:val="0"/>
              <w:marRight w:val="0"/>
              <w:marTop w:val="0"/>
              <w:marBottom w:val="0"/>
              <w:divBdr>
                <w:top w:val="none" w:sz="0" w:space="0" w:color="auto"/>
                <w:left w:val="none" w:sz="0" w:space="0" w:color="auto"/>
                <w:bottom w:val="none" w:sz="0" w:space="0" w:color="auto"/>
                <w:right w:val="none" w:sz="0" w:space="0" w:color="auto"/>
              </w:divBdr>
            </w:div>
            <w:div w:id="1723289667">
              <w:marLeft w:val="0"/>
              <w:marRight w:val="0"/>
              <w:marTop w:val="0"/>
              <w:marBottom w:val="0"/>
              <w:divBdr>
                <w:top w:val="none" w:sz="0" w:space="0" w:color="auto"/>
                <w:left w:val="none" w:sz="0" w:space="0" w:color="auto"/>
                <w:bottom w:val="none" w:sz="0" w:space="0" w:color="auto"/>
                <w:right w:val="none" w:sz="0" w:space="0" w:color="auto"/>
              </w:divBdr>
            </w:div>
            <w:div w:id="1804076392">
              <w:marLeft w:val="0"/>
              <w:marRight w:val="0"/>
              <w:marTop w:val="0"/>
              <w:marBottom w:val="0"/>
              <w:divBdr>
                <w:top w:val="none" w:sz="0" w:space="0" w:color="auto"/>
                <w:left w:val="none" w:sz="0" w:space="0" w:color="auto"/>
                <w:bottom w:val="none" w:sz="0" w:space="0" w:color="auto"/>
                <w:right w:val="none" w:sz="0" w:space="0" w:color="auto"/>
              </w:divBdr>
            </w:div>
            <w:div w:id="2041514808">
              <w:marLeft w:val="0"/>
              <w:marRight w:val="0"/>
              <w:marTop w:val="0"/>
              <w:marBottom w:val="0"/>
              <w:divBdr>
                <w:top w:val="none" w:sz="0" w:space="0" w:color="auto"/>
                <w:left w:val="none" w:sz="0" w:space="0" w:color="auto"/>
                <w:bottom w:val="none" w:sz="0" w:space="0" w:color="auto"/>
                <w:right w:val="none" w:sz="0" w:space="0" w:color="auto"/>
              </w:divBdr>
            </w:div>
          </w:divsChild>
        </w:div>
        <w:div w:id="208226878">
          <w:marLeft w:val="0"/>
          <w:marRight w:val="0"/>
          <w:marTop w:val="0"/>
          <w:marBottom w:val="0"/>
          <w:divBdr>
            <w:top w:val="none" w:sz="0" w:space="0" w:color="auto"/>
            <w:left w:val="none" w:sz="0" w:space="0" w:color="auto"/>
            <w:bottom w:val="none" w:sz="0" w:space="0" w:color="auto"/>
            <w:right w:val="none" w:sz="0" w:space="0" w:color="auto"/>
          </w:divBdr>
          <w:divsChild>
            <w:div w:id="16855335">
              <w:marLeft w:val="0"/>
              <w:marRight w:val="0"/>
              <w:marTop w:val="0"/>
              <w:marBottom w:val="0"/>
              <w:divBdr>
                <w:top w:val="none" w:sz="0" w:space="0" w:color="auto"/>
                <w:left w:val="none" w:sz="0" w:space="0" w:color="auto"/>
                <w:bottom w:val="none" w:sz="0" w:space="0" w:color="auto"/>
                <w:right w:val="none" w:sz="0" w:space="0" w:color="auto"/>
              </w:divBdr>
            </w:div>
            <w:div w:id="22752598">
              <w:marLeft w:val="0"/>
              <w:marRight w:val="0"/>
              <w:marTop w:val="0"/>
              <w:marBottom w:val="0"/>
              <w:divBdr>
                <w:top w:val="none" w:sz="0" w:space="0" w:color="auto"/>
                <w:left w:val="none" w:sz="0" w:space="0" w:color="auto"/>
                <w:bottom w:val="none" w:sz="0" w:space="0" w:color="auto"/>
                <w:right w:val="none" w:sz="0" w:space="0" w:color="auto"/>
              </w:divBdr>
            </w:div>
            <w:div w:id="120267522">
              <w:marLeft w:val="0"/>
              <w:marRight w:val="0"/>
              <w:marTop w:val="0"/>
              <w:marBottom w:val="0"/>
              <w:divBdr>
                <w:top w:val="none" w:sz="0" w:space="0" w:color="auto"/>
                <w:left w:val="none" w:sz="0" w:space="0" w:color="auto"/>
                <w:bottom w:val="none" w:sz="0" w:space="0" w:color="auto"/>
                <w:right w:val="none" w:sz="0" w:space="0" w:color="auto"/>
              </w:divBdr>
            </w:div>
            <w:div w:id="422412105">
              <w:marLeft w:val="0"/>
              <w:marRight w:val="0"/>
              <w:marTop w:val="0"/>
              <w:marBottom w:val="0"/>
              <w:divBdr>
                <w:top w:val="none" w:sz="0" w:space="0" w:color="auto"/>
                <w:left w:val="none" w:sz="0" w:space="0" w:color="auto"/>
                <w:bottom w:val="none" w:sz="0" w:space="0" w:color="auto"/>
                <w:right w:val="none" w:sz="0" w:space="0" w:color="auto"/>
              </w:divBdr>
            </w:div>
            <w:div w:id="720521750">
              <w:marLeft w:val="0"/>
              <w:marRight w:val="0"/>
              <w:marTop w:val="0"/>
              <w:marBottom w:val="0"/>
              <w:divBdr>
                <w:top w:val="none" w:sz="0" w:space="0" w:color="auto"/>
                <w:left w:val="none" w:sz="0" w:space="0" w:color="auto"/>
                <w:bottom w:val="none" w:sz="0" w:space="0" w:color="auto"/>
                <w:right w:val="none" w:sz="0" w:space="0" w:color="auto"/>
              </w:divBdr>
            </w:div>
            <w:div w:id="865945885">
              <w:marLeft w:val="0"/>
              <w:marRight w:val="0"/>
              <w:marTop w:val="0"/>
              <w:marBottom w:val="0"/>
              <w:divBdr>
                <w:top w:val="none" w:sz="0" w:space="0" w:color="auto"/>
                <w:left w:val="none" w:sz="0" w:space="0" w:color="auto"/>
                <w:bottom w:val="none" w:sz="0" w:space="0" w:color="auto"/>
                <w:right w:val="none" w:sz="0" w:space="0" w:color="auto"/>
              </w:divBdr>
            </w:div>
            <w:div w:id="921717058">
              <w:marLeft w:val="0"/>
              <w:marRight w:val="0"/>
              <w:marTop w:val="0"/>
              <w:marBottom w:val="0"/>
              <w:divBdr>
                <w:top w:val="none" w:sz="0" w:space="0" w:color="auto"/>
                <w:left w:val="none" w:sz="0" w:space="0" w:color="auto"/>
                <w:bottom w:val="none" w:sz="0" w:space="0" w:color="auto"/>
                <w:right w:val="none" w:sz="0" w:space="0" w:color="auto"/>
              </w:divBdr>
            </w:div>
            <w:div w:id="933778730">
              <w:marLeft w:val="0"/>
              <w:marRight w:val="0"/>
              <w:marTop w:val="0"/>
              <w:marBottom w:val="0"/>
              <w:divBdr>
                <w:top w:val="none" w:sz="0" w:space="0" w:color="auto"/>
                <w:left w:val="none" w:sz="0" w:space="0" w:color="auto"/>
                <w:bottom w:val="none" w:sz="0" w:space="0" w:color="auto"/>
                <w:right w:val="none" w:sz="0" w:space="0" w:color="auto"/>
              </w:divBdr>
            </w:div>
            <w:div w:id="947351077">
              <w:marLeft w:val="0"/>
              <w:marRight w:val="0"/>
              <w:marTop w:val="0"/>
              <w:marBottom w:val="0"/>
              <w:divBdr>
                <w:top w:val="none" w:sz="0" w:space="0" w:color="auto"/>
                <w:left w:val="none" w:sz="0" w:space="0" w:color="auto"/>
                <w:bottom w:val="none" w:sz="0" w:space="0" w:color="auto"/>
                <w:right w:val="none" w:sz="0" w:space="0" w:color="auto"/>
              </w:divBdr>
            </w:div>
            <w:div w:id="1078402643">
              <w:marLeft w:val="0"/>
              <w:marRight w:val="0"/>
              <w:marTop w:val="0"/>
              <w:marBottom w:val="0"/>
              <w:divBdr>
                <w:top w:val="none" w:sz="0" w:space="0" w:color="auto"/>
                <w:left w:val="none" w:sz="0" w:space="0" w:color="auto"/>
                <w:bottom w:val="none" w:sz="0" w:space="0" w:color="auto"/>
                <w:right w:val="none" w:sz="0" w:space="0" w:color="auto"/>
              </w:divBdr>
            </w:div>
            <w:div w:id="1144079982">
              <w:marLeft w:val="0"/>
              <w:marRight w:val="0"/>
              <w:marTop w:val="0"/>
              <w:marBottom w:val="0"/>
              <w:divBdr>
                <w:top w:val="none" w:sz="0" w:space="0" w:color="auto"/>
                <w:left w:val="none" w:sz="0" w:space="0" w:color="auto"/>
                <w:bottom w:val="none" w:sz="0" w:space="0" w:color="auto"/>
                <w:right w:val="none" w:sz="0" w:space="0" w:color="auto"/>
              </w:divBdr>
            </w:div>
            <w:div w:id="1192690326">
              <w:marLeft w:val="0"/>
              <w:marRight w:val="0"/>
              <w:marTop w:val="0"/>
              <w:marBottom w:val="0"/>
              <w:divBdr>
                <w:top w:val="none" w:sz="0" w:space="0" w:color="auto"/>
                <w:left w:val="none" w:sz="0" w:space="0" w:color="auto"/>
                <w:bottom w:val="none" w:sz="0" w:space="0" w:color="auto"/>
                <w:right w:val="none" w:sz="0" w:space="0" w:color="auto"/>
              </w:divBdr>
            </w:div>
            <w:div w:id="1277180680">
              <w:marLeft w:val="0"/>
              <w:marRight w:val="0"/>
              <w:marTop w:val="0"/>
              <w:marBottom w:val="0"/>
              <w:divBdr>
                <w:top w:val="none" w:sz="0" w:space="0" w:color="auto"/>
                <w:left w:val="none" w:sz="0" w:space="0" w:color="auto"/>
                <w:bottom w:val="none" w:sz="0" w:space="0" w:color="auto"/>
                <w:right w:val="none" w:sz="0" w:space="0" w:color="auto"/>
              </w:divBdr>
            </w:div>
            <w:div w:id="1295598260">
              <w:marLeft w:val="0"/>
              <w:marRight w:val="0"/>
              <w:marTop w:val="0"/>
              <w:marBottom w:val="0"/>
              <w:divBdr>
                <w:top w:val="none" w:sz="0" w:space="0" w:color="auto"/>
                <w:left w:val="none" w:sz="0" w:space="0" w:color="auto"/>
                <w:bottom w:val="none" w:sz="0" w:space="0" w:color="auto"/>
                <w:right w:val="none" w:sz="0" w:space="0" w:color="auto"/>
              </w:divBdr>
            </w:div>
            <w:div w:id="1444184033">
              <w:marLeft w:val="0"/>
              <w:marRight w:val="0"/>
              <w:marTop w:val="0"/>
              <w:marBottom w:val="0"/>
              <w:divBdr>
                <w:top w:val="none" w:sz="0" w:space="0" w:color="auto"/>
                <w:left w:val="none" w:sz="0" w:space="0" w:color="auto"/>
                <w:bottom w:val="none" w:sz="0" w:space="0" w:color="auto"/>
                <w:right w:val="none" w:sz="0" w:space="0" w:color="auto"/>
              </w:divBdr>
            </w:div>
            <w:div w:id="1584989046">
              <w:marLeft w:val="0"/>
              <w:marRight w:val="0"/>
              <w:marTop w:val="0"/>
              <w:marBottom w:val="0"/>
              <w:divBdr>
                <w:top w:val="none" w:sz="0" w:space="0" w:color="auto"/>
                <w:left w:val="none" w:sz="0" w:space="0" w:color="auto"/>
                <w:bottom w:val="none" w:sz="0" w:space="0" w:color="auto"/>
                <w:right w:val="none" w:sz="0" w:space="0" w:color="auto"/>
              </w:divBdr>
            </w:div>
            <w:div w:id="1684936297">
              <w:marLeft w:val="0"/>
              <w:marRight w:val="0"/>
              <w:marTop w:val="0"/>
              <w:marBottom w:val="0"/>
              <w:divBdr>
                <w:top w:val="none" w:sz="0" w:space="0" w:color="auto"/>
                <w:left w:val="none" w:sz="0" w:space="0" w:color="auto"/>
                <w:bottom w:val="none" w:sz="0" w:space="0" w:color="auto"/>
                <w:right w:val="none" w:sz="0" w:space="0" w:color="auto"/>
              </w:divBdr>
            </w:div>
            <w:div w:id="1839534347">
              <w:marLeft w:val="0"/>
              <w:marRight w:val="0"/>
              <w:marTop w:val="0"/>
              <w:marBottom w:val="0"/>
              <w:divBdr>
                <w:top w:val="none" w:sz="0" w:space="0" w:color="auto"/>
                <w:left w:val="none" w:sz="0" w:space="0" w:color="auto"/>
                <w:bottom w:val="none" w:sz="0" w:space="0" w:color="auto"/>
                <w:right w:val="none" w:sz="0" w:space="0" w:color="auto"/>
              </w:divBdr>
            </w:div>
            <w:div w:id="184007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9252">
      <w:bodyDiv w:val="1"/>
      <w:marLeft w:val="0"/>
      <w:marRight w:val="0"/>
      <w:marTop w:val="0"/>
      <w:marBottom w:val="0"/>
      <w:divBdr>
        <w:top w:val="none" w:sz="0" w:space="0" w:color="auto"/>
        <w:left w:val="none" w:sz="0" w:space="0" w:color="auto"/>
        <w:bottom w:val="none" w:sz="0" w:space="0" w:color="auto"/>
        <w:right w:val="none" w:sz="0" w:space="0" w:color="auto"/>
      </w:divBdr>
    </w:div>
    <w:div w:id="155608053">
      <w:bodyDiv w:val="1"/>
      <w:marLeft w:val="0"/>
      <w:marRight w:val="0"/>
      <w:marTop w:val="0"/>
      <w:marBottom w:val="0"/>
      <w:divBdr>
        <w:top w:val="none" w:sz="0" w:space="0" w:color="auto"/>
        <w:left w:val="none" w:sz="0" w:space="0" w:color="auto"/>
        <w:bottom w:val="none" w:sz="0" w:space="0" w:color="auto"/>
        <w:right w:val="none" w:sz="0" w:space="0" w:color="auto"/>
      </w:divBdr>
    </w:div>
    <w:div w:id="184632770">
      <w:bodyDiv w:val="1"/>
      <w:marLeft w:val="0"/>
      <w:marRight w:val="0"/>
      <w:marTop w:val="0"/>
      <w:marBottom w:val="0"/>
      <w:divBdr>
        <w:top w:val="none" w:sz="0" w:space="0" w:color="auto"/>
        <w:left w:val="none" w:sz="0" w:space="0" w:color="auto"/>
        <w:bottom w:val="none" w:sz="0" w:space="0" w:color="auto"/>
        <w:right w:val="none" w:sz="0" w:space="0" w:color="auto"/>
      </w:divBdr>
    </w:div>
    <w:div w:id="190917915">
      <w:bodyDiv w:val="1"/>
      <w:marLeft w:val="0"/>
      <w:marRight w:val="0"/>
      <w:marTop w:val="0"/>
      <w:marBottom w:val="0"/>
      <w:divBdr>
        <w:top w:val="none" w:sz="0" w:space="0" w:color="auto"/>
        <w:left w:val="none" w:sz="0" w:space="0" w:color="auto"/>
        <w:bottom w:val="none" w:sz="0" w:space="0" w:color="auto"/>
        <w:right w:val="none" w:sz="0" w:space="0" w:color="auto"/>
      </w:divBdr>
    </w:div>
    <w:div w:id="200481662">
      <w:bodyDiv w:val="1"/>
      <w:marLeft w:val="0"/>
      <w:marRight w:val="0"/>
      <w:marTop w:val="0"/>
      <w:marBottom w:val="0"/>
      <w:divBdr>
        <w:top w:val="none" w:sz="0" w:space="0" w:color="auto"/>
        <w:left w:val="none" w:sz="0" w:space="0" w:color="auto"/>
        <w:bottom w:val="none" w:sz="0" w:space="0" w:color="auto"/>
        <w:right w:val="none" w:sz="0" w:space="0" w:color="auto"/>
      </w:divBdr>
    </w:div>
    <w:div w:id="210730953">
      <w:bodyDiv w:val="1"/>
      <w:marLeft w:val="0"/>
      <w:marRight w:val="0"/>
      <w:marTop w:val="0"/>
      <w:marBottom w:val="0"/>
      <w:divBdr>
        <w:top w:val="none" w:sz="0" w:space="0" w:color="auto"/>
        <w:left w:val="none" w:sz="0" w:space="0" w:color="auto"/>
        <w:bottom w:val="none" w:sz="0" w:space="0" w:color="auto"/>
        <w:right w:val="none" w:sz="0" w:space="0" w:color="auto"/>
      </w:divBdr>
    </w:div>
    <w:div w:id="221446366">
      <w:bodyDiv w:val="1"/>
      <w:marLeft w:val="0"/>
      <w:marRight w:val="0"/>
      <w:marTop w:val="0"/>
      <w:marBottom w:val="0"/>
      <w:divBdr>
        <w:top w:val="none" w:sz="0" w:space="0" w:color="auto"/>
        <w:left w:val="none" w:sz="0" w:space="0" w:color="auto"/>
        <w:bottom w:val="none" w:sz="0" w:space="0" w:color="auto"/>
        <w:right w:val="none" w:sz="0" w:space="0" w:color="auto"/>
      </w:divBdr>
    </w:div>
    <w:div w:id="224536286">
      <w:bodyDiv w:val="1"/>
      <w:marLeft w:val="0"/>
      <w:marRight w:val="0"/>
      <w:marTop w:val="0"/>
      <w:marBottom w:val="0"/>
      <w:divBdr>
        <w:top w:val="none" w:sz="0" w:space="0" w:color="auto"/>
        <w:left w:val="none" w:sz="0" w:space="0" w:color="auto"/>
        <w:bottom w:val="none" w:sz="0" w:space="0" w:color="auto"/>
        <w:right w:val="none" w:sz="0" w:space="0" w:color="auto"/>
      </w:divBdr>
    </w:div>
    <w:div w:id="255528936">
      <w:bodyDiv w:val="1"/>
      <w:marLeft w:val="0"/>
      <w:marRight w:val="0"/>
      <w:marTop w:val="0"/>
      <w:marBottom w:val="0"/>
      <w:divBdr>
        <w:top w:val="none" w:sz="0" w:space="0" w:color="auto"/>
        <w:left w:val="none" w:sz="0" w:space="0" w:color="auto"/>
        <w:bottom w:val="none" w:sz="0" w:space="0" w:color="auto"/>
        <w:right w:val="none" w:sz="0" w:space="0" w:color="auto"/>
      </w:divBdr>
    </w:div>
    <w:div w:id="267662309">
      <w:bodyDiv w:val="1"/>
      <w:marLeft w:val="0"/>
      <w:marRight w:val="0"/>
      <w:marTop w:val="0"/>
      <w:marBottom w:val="0"/>
      <w:divBdr>
        <w:top w:val="none" w:sz="0" w:space="0" w:color="auto"/>
        <w:left w:val="none" w:sz="0" w:space="0" w:color="auto"/>
        <w:bottom w:val="none" w:sz="0" w:space="0" w:color="auto"/>
        <w:right w:val="none" w:sz="0" w:space="0" w:color="auto"/>
      </w:divBdr>
    </w:div>
    <w:div w:id="276719433">
      <w:bodyDiv w:val="1"/>
      <w:marLeft w:val="0"/>
      <w:marRight w:val="0"/>
      <w:marTop w:val="0"/>
      <w:marBottom w:val="0"/>
      <w:divBdr>
        <w:top w:val="none" w:sz="0" w:space="0" w:color="auto"/>
        <w:left w:val="none" w:sz="0" w:space="0" w:color="auto"/>
        <w:bottom w:val="none" w:sz="0" w:space="0" w:color="auto"/>
        <w:right w:val="none" w:sz="0" w:space="0" w:color="auto"/>
      </w:divBdr>
    </w:div>
    <w:div w:id="295836429">
      <w:bodyDiv w:val="1"/>
      <w:marLeft w:val="0"/>
      <w:marRight w:val="0"/>
      <w:marTop w:val="0"/>
      <w:marBottom w:val="0"/>
      <w:divBdr>
        <w:top w:val="none" w:sz="0" w:space="0" w:color="auto"/>
        <w:left w:val="none" w:sz="0" w:space="0" w:color="auto"/>
        <w:bottom w:val="none" w:sz="0" w:space="0" w:color="auto"/>
        <w:right w:val="none" w:sz="0" w:space="0" w:color="auto"/>
      </w:divBdr>
      <w:divsChild>
        <w:div w:id="1528565144">
          <w:marLeft w:val="0"/>
          <w:marRight w:val="0"/>
          <w:marTop w:val="0"/>
          <w:marBottom w:val="0"/>
          <w:divBdr>
            <w:top w:val="none" w:sz="0" w:space="0" w:color="auto"/>
            <w:left w:val="none" w:sz="0" w:space="0" w:color="auto"/>
            <w:bottom w:val="none" w:sz="0" w:space="0" w:color="auto"/>
            <w:right w:val="none" w:sz="0" w:space="0" w:color="auto"/>
          </w:divBdr>
        </w:div>
        <w:div w:id="1709908773">
          <w:marLeft w:val="0"/>
          <w:marRight w:val="0"/>
          <w:marTop w:val="0"/>
          <w:marBottom w:val="0"/>
          <w:divBdr>
            <w:top w:val="none" w:sz="0" w:space="0" w:color="auto"/>
            <w:left w:val="none" w:sz="0" w:space="0" w:color="auto"/>
            <w:bottom w:val="none" w:sz="0" w:space="0" w:color="auto"/>
            <w:right w:val="none" w:sz="0" w:space="0" w:color="auto"/>
          </w:divBdr>
        </w:div>
      </w:divsChild>
    </w:div>
    <w:div w:id="296306389">
      <w:bodyDiv w:val="1"/>
      <w:marLeft w:val="0"/>
      <w:marRight w:val="0"/>
      <w:marTop w:val="0"/>
      <w:marBottom w:val="0"/>
      <w:divBdr>
        <w:top w:val="none" w:sz="0" w:space="0" w:color="auto"/>
        <w:left w:val="none" w:sz="0" w:space="0" w:color="auto"/>
        <w:bottom w:val="none" w:sz="0" w:space="0" w:color="auto"/>
        <w:right w:val="none" w:sz="0" w:space="0" w:color="auto"/>
      </w:divBdr>
    </w:div>
    <w:div w:id="305934806">
      <w:bodyDiv w:val="1"/>
      <w:marLeft w:val="0"/>
      <w:marRight w:val="0"/>
      <w:marTop w:val="0"/>
      <w:marBottom w:val="0"/>
      <w:divBdr>
        <w:top w:val="none" w:sz="0" w:space="0" w:color="auto"/>
        <w:left w:val="none" w:sz="0" w:space="0" w:color="auto"/>
        <w:bottom w:val="none" w:sz="0" w:space="0" w:color="auto"/>
        <w:right w:val="none" w:sz="0" w:space="0" w:color="auto"/>
      </w:divBdr>
    </w:div>
    <w:div w:id="310597776">
      <w:bodyDiv w:val="1"/>
      <w:marLeft w:val="0"/>
      <w:marRight w:val="0"/>
      <w:marTop w:val="0"/>
      <w:marBottom w:val="0"/>
      <w:divBdr>
        <w:top w:val="none" w:sz="0" w:space="0" w:color="auto"/>
        <w:left w:val="none" w:sz="0" w:space="0" w:color="auto"/>
        <w:bottom w:val="none" w:sz="0" w:space="0" w:color="auto"/>
        <w:right w:val="none" w:sz="0" w:space="0" w:color="auto"/>
      </w:divBdr>
    </w:div>
    <w:div w:id="312755152">
      <w:bodyDiv w:val="1"/>
      <w:marLeft w:val="0"/>
      <w:marRight w:val="0"/>
      <w:marTop w:val="0"/>
      <w:marBottom w:val="0"/>
      <w:divBdr>
        <w:top w:val="none" w:sz="0" w:space="0" w:color="auto"/>
        <w:left w:val="none" w:sz="0" w:space="0" w:color="auto"/>
        <w:bottom w:val="none" w:sz="0" w:space="0" w:color="auto"/>
        <w:right w:val="none" w:sz="0" w:space="0" w:color="auto"/>
      </w:divBdr>
    </w:div>
    <w:div w:id="343629863">
      <w:bodyDiv w:val="1"/>
      <w:marLeft w:val="0"/>
      <w:marRight w:val="0"/>
      <w:marTop w:val="0"/>
      <w:marBottom w:val="0"/>
      <w:divBdr>
        <w:top w:val="none" w:sz="0" w:space="0" w:color="auto"/>
        <w:left w:val="none" w:sz="0" w:space="0" w:color="auto"/>
        <w:bottom w:val="none" w:sz="0" w:space="0" w:color="auto"/>
        <w:right w:val="none" w:sz="0" w:space="0" w:color="auto"/>
      </w:divBdr>
    </w:div>
    <w:div w:id="347415373">
      <w:bodyDiv w:val="1"/>
      <w:marLeft w:val="0"/>
      <w:marRight w:val="0"/>
      <w:marTop w:val="0"/>
      <w:marBottom w:val="0"/>
      <w:divBdr>
        <w:top w:val="none" w:sz="0" w:space="0" w:color="auto"/>
        <w:left w:val="none" w:sz="0" w:space="0" w:color="auto"/>
        <w:bottom w:val="none" w:sz="0" w:space="0" w:color="auto"/>
        <w:right w:val="none" w:sz="0" w:space="0" w:color="auto"/>
      </w:divBdr>
    </w:div>
    <w:div w:id="385639664">
      <w:bodyDiv w:val="1"/>
      <w:marLeft w:val="0"/>
      <w:marRight w:val="0"/>
      <w:marTop w:val="0"/>
      <w:marBottom w:val="0"/>
      <w:divBdr>
        <w:top w:val="none" w:sz="0" w:space="0" w:color="auto"/>
        <w:left w:val="none" w:sz="0" w:space="0" w:color="auto"/>
        <w:bottom w:val="none" w:sz="0" w:space="0" w:color="auto"/>
        <w:right w:val="none" w:sz="0" w:space="0" w:color="auto"/>
      </w:divBdr>
    </w:div>
    <w:div w:id="388380296">
      <w:bodyDiv w:val="1"/>
      <w:marLeft w:val="0"/>
      <w:marRight w:val="0"/>
      <w:marTop w:val="0"/>
      <w:marBottom w:val="0"/>
      <w:divBdr>
        <w:top w:val="none" w:sz="0" w:space="0" w:color="auto"/>
        <w:left w:val="none" w:sz="0" w:space="0" w:color="auto"/>
        <w:bottom w:val="none" w:sz="0" w:space="0" w:color="auto"/>
        <w:right w:val="none" w:sz="0" w:space="0" w:color="auto"/>
      </w:divBdr>
    </w:div>
    <w:div w:id="394856223">
      <w:bodyDiv w:val="1"/>
      <w:marLeft w:val="0"/>
      <w:marRight w:val="0"/>
      <w:marTop w:val="0"/>
      <w:marBottom w:val="0"/>
      <w:divBdr>
        <w:top w:val="none" w:sz="0" w:space="0" w:color="auto"/>
        <w:left w:val="none" w:sz="0" w:space="0" w:color="auto"/>
        <w:bottom w:val="none" w:sz="0" w:space="0" w:color="auto"/>
        <w:right w:val="none" w:sz="0" w:space="0" w:color="auto"/>
      </w:divBdr>
    </w:div>
    <w:div w:id="399451176">
      <w:bodyDiv w:val="1"/>
      <w:marLeft w:val="0"/>
      <w:marRight w:val="0"/>
      <w:marTop w:val="0"/>
      <w:marBottom w:val="0"/>
      <w:divBdr>
        <w:top w:val="none" w:sz="0" w:space="0" w:color="auto"/>
        <w:left w:val="none" w:sz="0" w:space="0" w:color="auto"/>
        <w:bottom w:val="none" w:sz="0" w:space="0" w:color="auto"/>
        <w:right w:val="none" w:sz="0" w:space="0" w:color="auto"/>
      </w:divBdr>
      <w:divsChild>
        <w:div w:id="1266889879">
          <w:marLeft w:val="0"/>
          <w:marRight w:val="0"/>
          <w:marTop w:val="0"/>
          <w:marBottom w:val="0"/>
          <w:divBdr>
            <w:top w:val="none" w:sz="0" w:space="0" w:color="auto"/>
            <w:left w:val="none" w:sz="0" w:space="0" w:color="auto"/>
            <w:bottom w:val="none" w:sz="0" w:space="0" w:color="auto"/>
            <w:right w:val="none" w:sz="0" w:space="0" w:color="auto"/>
          </w:divBdr>
          <w:divsChild>
            <w:div w:id="1447114047">
              <w:marLeft w:val="0"/>
              <w:marRight w:val="0"/>
              <w:marTop w:val="0"/>
              <w:marBottom w:val="0"/>
              <w:divBdr>
                <w:top w:val="none" w:sz="0" w:space="0" w:color="auto"/>
                <w:left w:val="none" w:sz="0" w:space="0" w:color="auto"/>
                <w:bottom w:val="none" w:sz="0" w:space="0" w:color="auto"/>
                <w:right w:val="none" w:sz="0" w:space="0" w:color="auto"/>
              </w:divBdr>
              <w:divsChild>
                <w:div w:id="1423450720">
                  <w:marLeft w:val="0"/>
                  <w:marRight w:val="0"/>
                  <w:marTop w:val="0"/>
                  <w:marBottom w:val="0"/>
                  <w:divBdr>
                    <w:top w:val="none" w:sz="0" w:space="0" w:color="auto"/>
                    <w:left w:val="none" w:sz="0" w:space="0" w:color="auto"/>
                    <w:bottom w:val="none" w:sz="0" w:space="0" w:color="auto"/>
                    <w:right w:val="none" w:sz="0" w:space="0" w:color="auto"/>
                  </w:divBdr>
                  <w:divsChild>
                    <w:div w:id="2016684444">
                      <w:marLeft w:val="0"/>
                      <w:marRight w:val="0"/>
                      <w:marTop w:val="0"/>
                      <w:marBottom w:val="0"/>
                      <w:divBdr>
                        <w:top w:val="none" w:sz="0" w:space="0" w:color="auto"/>
                        <w:left w:val="none" w:sz="0" w:space="0" w:color="auto"/>
                        <w:bottom w:val="none" w:sz="0" w:space="0" w:color="auto"/>
                        <w:right w:val="none" w:sz="0" w:space="0" w:color="auto"/>
                      </w:divBdr>
                      <w:divsChild>
                        <w:div w:id="885916328">
                          <w:marLeft w:val="0"/>
                          <w:marRight w:val="0"/>
                          <w:marTop w:val="0"/>
                          <w:marBottom w:val="0"/>
                          <w:divBdr>
                            <w:top w:val="none" w:sz="0" w:space="0" w:color="auto"/>
                            <w:left w:val="none" w:sz="0" w:space="0" w:color="auto"/>
                            <w:bottom w:val="none" w:sz="0" w:space="0" w:color="auto"/>
                            <w:right w:val="none" w:sz="0" w:space="0" w:color="auto"/>
                          </w:divBdr>
                          <w:divsChild>
                            <w:div w:id="1605723084">
                              <w:marLeft w:val="0"/>
                              <w:marRight w:val="0"/>
                              <w:marTop w:val="0"/>
                              <w:marBottom w:val="0"/>
                              <w:divBdr>
                                <w:top w:val="none" w:sz="0" w:space="0" w:color="auto"/>
                                <w:left w:val="none" w:sz="0" w:space="0" w:color="auto"/>
                                <w:bottom w:val="none" w:sz="0" w:space="0" w:color="auto"/>
                                <w:right w:val="none" w:sz="0" w:space="0" w:color="auto"/>
                              </w:divBdr>
                              <w:divsChild>
                                <w:div w:id="2033921223">
                                  <w:marLeft w:val="0"/>
                                  <w:marRight w:val="0"/>
                                  <w:marTop w:val="0"/>
                                  <w:marBottom w:val="0"/>
                                  <w:divBdr>
                                    <w:top w:val="none" w:sz="0" w:space="0" w:color="auto"/>
                                    <w:left w:val="none" w:sz="0" w:space="0" w:color="auto"/>
                                    <w:bottom w:val="none" w:sz="0" w:space="0" w:color="auto"/>
                                    <w:right w:val="none" w:sz="0" w:space="0" w:color="auto"/>
                                  </w:divBdr>
                                  <w:divsChild>
                                    <w:div w:id="103769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436109">
                          <w:marLeft w:val="0"/>
                          <w:marRight w:val="0"/>
                          <w:marTop w:val="0"/>
                          <w:marBottom w:val="0"/>
                          <w:divBdr>
                            <w:top w:val="none" w:sz="0" w:space="0" w:color="auto"/>
                            <w:left w:val="none" w:sz="0" w:space="0" w:color="auto"/>
                            <w:bottom w:val="none" w:sz="0" w:space="0" w:color="auto"/>
                            <w:right w:val="none" w:sz="0" w:space="0" w:color="auto"/>
                          </w:divBdr>
                          <w:divsChild>
                            <w:div w:id="2138135587">
                              <w:marLeft w:val="0"/>
                              <w:marRight w:val="0"/>
                              <w:marTop w:val="0"/>
                              <w:marBottom w:val="0"/>
                              <w:divBdr>
                                <w:top w:val="none" w:sz="0" w:space="0" w:color="auto"/>
                                <w:left w:val="none" w:sz="0" w:space="0" w:color="auto"/>
                                <w:bottom w:val="none" w:sz="0" w:space="0" w:color="auto"/>
                                <w:right w:val="none" w:sz="0" w:space="0" w:color="auto"/>
                              </w:divBdr>
                              <w:divsChild>
                                <w:div w:id="46701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5735902">
      <w:bodyDiv w:val="1"/>
      <w:marLeft w:val="0"/>
      <w:marRight w:val="0"/>
      <w:marTop w:val="0"/>
      <w:marBottom w:val="0"/>
      <w:divBdr>
        <w:top w:val="none" w:sz="0" w:space="0" w:color="auto"/>
        <w:left w:val="none" w:sz="0" w:space="0" w:color="auto"/>
        <w:bottom w:val="none" w:sz="0" w:space="0" w:color="auto"/>
        <w:right w:val="none" w:sz="0" w:space="0" w:color="auto"/>
      </w:divBdr>
    </w:div>
    <w:div w:id="415976708">
      <w:bodyDiv w:val="1"/>
      <w:marLeft w:val="0"/>
      <w:marRight w:val="0"/>
      <w:marTop w:val="0"/>
      <w:marBottom w:val="0"/>
      <w:divBdr>
        <w:top w:val="none" w:sz="0" w:space="0" w:color="auto"/>
        <w:left w:val="none" w:sz="0" w:space="0" w:color="auto"/>
        <w:bottom w:val="none" w:sz="0" w:space="0" w:color="auto"/>
        <w:right w:val="none" w:sz="0" w:space="0" w:color="auto"/>
      </w:divBdr>
    </w:div>
    <w:div w:id="418984956">
      <w:bodyDiv w:val="1"/>
      <w:marLeft w:val="0"/>
      <w:marRight w:val="0"/>
      <w:marTop w:val="0"/>
      <w:marBottom w:val="0"/>
      <w:divBdr>
        <w:top w:val="none" w:sz="0" w:space="0" w:color="auto"/>
        <w:left w:val="none" w:sz="0" w:space="0" w:color="auto"/>
        <w:bottom w:val="none" w:sz="0" w:space="0" w:color="auto"/>
        <w:right w:val="none" w:sz="0" w:space="0" w:color="auto"/>
      </w:divBdr>
    </w:div>
    <w:div w:id="470363916">
      <w:bodyDiv w:val="1"/>
      <w:marLeft w:val="0"/>
      <w:marRight w:val="0"/>
      <w:marTop w:val="0"/>
      <w:marBottom w:val="0"/>
      <w:divBdr>
        <w:top w:val="none" w:sz="0" w:space="0" w:color="auto"/>
        <w:left w:val="none" w:sz="0" w:space="0" w:color="auto"/>
        <w:bottom w:val="none" w:sz="0" w:space="0" w:color="auto"/>
        <w:right w:val="none" w:sz="0" w:space="0" w:color="auto"/>
      </w:divBdr>
    </w:div>
    <w:div w:id="483592160">
      <w:bodyDiv w:val="1"/>
      <w:marLeft w:val="0"/>
      <w:marRight w:val="0"/>
      <w:marTop w:val="0"/>
      <w:marBottom w:val="0"/>
      <w:divBdr>
        <w:top w:val="none" w:sz="0" w:space="0" w:color="auto"/>
        <w:left w:val="none" w:sz="0" w:space="0" w:color="auto"/>
        <w:bottom w:val="none" w:sz="0" w:space="0" w:color="auto"/>
        <w:right w:val="none" w:sz="0" w:space="0" w:color="auto"/>
      </w:divBdr>
    </w:div>
    <w:div w:id="500242401">
      <w:bodyDiv w:val="1"/>
      <w:marLeft w:val="0"/>
      <w:marRight w:val="0"/>
      <w:marTop w:val="0"/>
      <w:marBottom w:val="0"/>
      <w:divBdr>
        <w:top w:val="none" w:sz="0" w:space="0" w:color="auto"/>
        <w:left w:val="none" w:sz="0" w:space="0" w:color="auto"/>
        <w:bottom w:val="none" w:sz="0" w:space="0" w:color="auto"/>
        <w:right w:val="none" w:sz="0" w:space="0" w:color="auto"/>
      </w:divBdr>
      <w:divsChild>
        <w:div w:id="499926532">
          <w:marLeft w:val="0"/>
          <w:marRight w:val="0"/>
          <w:marTop w:val="0"/>
          <w:marBottom w:val="0"/>
          <w:divBdr>
            <w:top w:val="none" w:sz="0" w:space="0" w:color="auto"/>
            <w:left w:val="none" w:sz="0" w:space="0" w:color="auto"/>
            <w:bottom w:val="none" w:sz="0" w:space="0" w:color="auto"/>
            <w:right w:val="none" w:sz="0" w:space="0" w:color="auto"/>
          </w:divBdr>
          <w:divsChild>
            <w:div w:id="573978695">
              <w:marLeft w:val="0"/>
              <w:marRight w:val="0"/>
              <w:marTop w:val="0"/>
              <w:marBottom w:val="0"/>
              <w:divBdr>
                <w:top w:val="none" w:sz="0" w:space="0" w:color="auto"/>
                <w:left w:val="none" w:sz="0" w:space="0" w:color="auto"/>
                <w:bottom w:val="none" w:sz="0" w:space="0" w:color="auto"/>
                <w:right w:val="none" w:sz="0" w:space="0" w:color="auto"/>
              </w:divBdr>
              <w:divsChild>
                <w:div w:id="978537231">
                  <w:marLeft w:val="0"/>
                  <w:marRight w:val="0"/>
                  <w:marTop w:val="0"/>
                  <w:marBottom w:val="0"/>
                  <w:divBdr>
                    <w:top w:val="none" w:sz="0" w:space="0" w:color="auto"/>
                    <w:left w:val="none" w:sz="0" w:space="0" w:color="auto"/>
                    <w:bottom w:val="none" w:sz="0" w:space="0" w:color="auto"/>
                    <w:right w:val="none" w:sz="0" w:space="0" w:color="auto"/>
                  </w:divBdr>
                  <w:divsChild>
                    <w:div w:id="671374350">
                      <w:marLeft w:val="0"/>
                      <w:marRight w:val="0"/>
                      <w:marTop w:val="0"/>
                      <w:marBottom w:val="0"/>
                      <w:divBdr>
                        <w:top w:val="none" w:sz="0" w:space="0" w:color="auto"/>
                        <w:left w:val="none" w:sz="0" w:space="0" w:color="auto"/>
                        <w:bottom w:val="none" w:sz="0" w:space="0" w:color="auto"/>
                        <w:right w:val="none" w:sz="0" w:space="0" w:color="auto"/>
                      </w:divBdr>
                      <w:divsChild>
                        <w:div w:id="1970167298">
                          <w:marLeft w:val="0"/>
                          <w:marRight w:val="0"/>
                          <w:marTop w:val="0"/>
                          <w:marBottom w:val="0"/>
                          <w:divBdr>
                            <w:top w:val="none" w:sz="0" w:space="0" w:color="auto"/>
                            <w:left w:val="none" w:sz="0" w:space="0" w:color="auto"/>
                            <w:bottom w:val="none" w:sz="0" w:space="0" w:color="auto"/>
                            <w:right w:val="none" w:sz="0" w:space="0" w:color="auto"/>
                          </w:divBdr>
                          <w:divsChild>
                            <w:div w:id="726219493">
                              <w:marLeft w:val="0"/>
                              <w:marRight w:val="0"/>
                              <w:marTop w:val="0"/>
                              <w:marBottom w:val="0"/>
                              <w:divBdr>
                                <w:top w:val="none" w:sz="0" w:space="0" w:color="auto"/>
                                <w:left w:val="none" w:sz="0" w:space="0" w:color="auto"/>
                                <w:bottom w:val="none" w:sz="0" w:space="0" w:color="auto"/>
                                <w:right w:val="none" w:sz="0" w:space="0" w:color="auto"/>
                              </w:divBdr>
                              <w:divsChild>
                                <w:div w:id="1002665900">
                                  <w:marLeft w:val="0"/>
                                  <w:marRight w:val="0"/>
                                  <w:marTop w:val="0"/>
                                  <w:marBottom w:val="0"/>
                                  <w:divBdr>
                                    <w:top w:val="none" w:sz="0" w:space="0" w:color="auto"/>
                                    <w:left w:val="none" w:sz="0" w:space="0" w:color="auto"/>
                                    <w:bottom w:val="none" w:sz="0" w:space="0" w:color="auto"/>
                                    <w:right w:val="none" w:sz="0" w:space="0" w:color="auto"/>
                                  </w:divBdr>
                                  <w:divsChild>
                                    <w:div w:id="181760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400304">
                          <w:marLeft w:val="0"/>
                          <w:marRight w:val="0"/>
                          <w:marTop w:val="0"/>
                          <w:marBottom w:val="0"/>
                          <w:divBdr>
                            <w:top w:val="none" w:sz="0" w:space="0" w:color="auto"/>
                            <w:left w:val="none" w:sz="0" w:space="0" w:color="auto"/>
                            <w:bottom w:val="none" w:sz="0" w:space="0" w:color="auto"/>
                            <w:right w:val="none" w:sz="0" w:space="0" w:color="auto"/>
                          </w:divBdr>
                          <w:divsChild>
                            <w:div w:id="1785155739">
                              <w:marLeft w:val="0"/>
                              <w:marRight w:val="0"/>
                              <w:marTop w:val="0"/>
                              <w:marBottom w:val="0"/>
                              <w:divBdr>
                                <w:top w:val="none" w:sz="0" w:space="0" w:color="auto"/>
                                <w:left w:val="none" w:sz="0" w:space="0" w:color="auto"/>
                                <w:bottom w:val="none" w:sz="0" w:space="0" w:color="auto"/>
                                <w:right w:val="none" w:sz="0" w:space="0" w:color="auto"/>
                              </w:divBdr>
                              <w:divsChild>
                                <w:div w:id="3078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4327150">
      <w:bodyDiv w:val="1"/>
      <w:marLeft w:val="0"/>
      <w:marRight w:val="0"/>
      <w:marTop w:val="0"/>
      <w:marBottom w:val="0"/>
      <w:divBdr>
        <w:top w:val="none" w:sz="0" w:space="0" w:color="auto"/>
        <w:left w:val="none" w:sz="0" w:space="0" w:color="auto"/>
        <w:bottom w:val="none" w:sz="0" w:space="0" w:color="auto"/>
        <w:right w:val="none" w:sz="0" w:space="0" w:color="auto"/>
      </w:divBdr>
    </w:div>
    <w:div w:id="508716590">
      <w:bodyDiv w:val="1"/>
      <w:marLeft w:val="0"/>
      <w:marRight w:val="0"/>
      <w:marTop w:val="0"/>
      <w:marBottom w:val="0"/>
      <w:divBdr>
        <w:top w:val="none" w:sz="0" w:space="0" w:color="auto"/>
        <w:left w:val="none" w:sz="0" w:space="0" w:color="auto"/>
        <w:bottom w:val="none" w:sz="0" w:space="0" w:color="auto"/>
        <w:right w:val="none" w:sz="0" w:space="0" w:color="auto"/>
      </w:divBdr>
    </w:div>
    <w:div w:id="549537248">
      <w:bodyDiv w:val="1"/>
      <w:marLeft w:val="0"/>
      <w:marRight w:val="0"/>
      <w:marTop w:val="0"/>
      <w:marBottom w:val="0"/>
      <w:divBdr>
        <w:top w:val="none" w:sz="0" w:space="0" w:color="auto"/>
        <w:left w:val="none" w:sz="0" w:space="0" w:color="auto"/>
        <w:bottom w:val="none" w:sz="0" w:space="0" w:color="auto"/>
        <w:right w:val="none" w:sz="0" w:space="0" w:color="auto"/>
      </w:divBdr>
    </w:div>
    <w:div w:id="554704434">
      <w:bodyDiv w:val="1"/>
      <w:marLeft w:val="0"/>
      <w:marRight w:val="0"/>
      <w:marTop w:val="0"/>
      <w:marBottom w:val="0"/>
      <w:divBdr>
        <w:top w:val="none" w:sz="0" w:space="0" w:color="auto"/>
        <w:left w:val="none" w:sz="0" w:space="0" w:color="auto"/>
        <w:bottom w:val="none" w:sz="0" w:space="0" w:color="auto"/>
        <w:right w:val="none" w:sz="0" w:space="0" w:color="auto"/>
      </w:divBdr>
    </w:div>
    <w:div w:id="563417087">
      <w:bodyDiv w:val="1"/>
      <w:marLeft w:val="0"/>
      <w:marRight w:val="0"/>
      <w:marTop w:val="0"/>
      <w:marBottom w:val="0"/>
      <w:divBdr>
        <w:top w:val="none" w:sz="0" w:space="0" w:color="auto"/>
        <w:left w:val="none" w:sz="0" w:space="0" w:color="auto"/>
        <w:bottom w:val="none" w:sz="0" w:space="0" w:color="auto"/>
        <w:right w:val="none" w:sz="0" w:space="0" w:color="auto"/>
      </w:divBdr>
    </w:div>
    <w:div w:id="563685408">
      <w:bodyDiv w:val="1"/>
      <w:marLeft w:val="0"/>
      <w:marRight w:val="0"/>
      <w:marTop w:val="0"/>
      <w:marBottom w:val="0"/>
      <w:divBdr>
        <w:top w:val="none" w:sz="0" w:space="0" w:color="auto"/>
        <w:left w:val="none" w:sz="0" w:space="0" w:color="auto"/>
        <w:bottom w:val="none" w:sz="0" w:space="0" w:color="auto"/>
        <w:right w:val="none" w:sz="0" w:space="0" w:color="auto"/>
      </w:divBdr>
    </w:div>
    <w:div w:id="572202003">
      <w:bodyDiv w:val="1"/>
      <w:marLeft w:val="0"/>
      <w:marRight w:val="0"/>
      <w:marTop w:val="0"/>
      <w:marBottom w:val="0"/>
      <w:divBdr>
        <w:top w:val="none" w:sz="0" w:space="0" w:color="auto"/>
        <w:left w:val="none" w:sz="0" w:space="0" w:color="auto"/>
        <w:bottom w:val="none" w:sz="0" w:space="0" w:color="auto"/>
        <w:right w:val="none" w:sz="0" w:space="0" w:color="auto"/>
      </w:divBdr>
    </w:div>
    <w:div w:id="576092979">
      <w:bodyDiv w:val="1"/>
      <w:marLeft w:val="0"/>
      <w:marRight w:val="0"/>
      <w:marTop w:val="0"/>
      <w:marBottom w:val="0"/>
      <w:divBdr>
        <w:top w:val="none" w:sz="0" w:space="0" w:color="auto"/>
        <w:left w:val="none" w:sz="0" w:space="0" w:color="auto"/>
        <w:bottom w:val="none" w:sz="0" w:space="0" w:color="auto"/>
        <w:right w:val="none" w:sz="0" w:space="0" w:color="auto"/>
      </w:divBdr>
    </w:div>
    <w:div w:id="592475828">
      <w:bodyDiv w:val="1"/>
      <w:marLeft w:val="0"/>
      <w:marRight w:val="0"/>
      <w:marTop w:val="0"/>
      <w:marBottom w:val="0"/>
      <w:divBdr>
        <w:top w:val="none" w:sz="0" w:space="0" w:color="auto"/>
        <w:left w:val="none" w:sz="0" w:space="0" w:color="auto"/>
        <w:bottom w:val="none" w:sz="0" w:space="0" w:color="auto"/>
        <w:right w:val="none" w:sz="0" w:space="0" w:color="auto"/>
      </w:divBdr>
      <w:divsChild>
        <w:div w:id="26295631">
          <w:marLeft w:val="0"/>
          <w:marRight w:val="0"/>
          <w:marTop w:val="0"/>
          <w:marBottom w:val="0"/>
          <w:divBdr>
            <w:top w:val="none" w:sz="0" w:space="0" w:color="auto"/>
            <w:left w:val="none" w:sz="0" w:space="0" w:color="auto"/>
            <w:bottom w:val="none" w:sz="0" w:space="0" w:color="auto"/>
            <w:right w:val="none" w:sz="0" w:space="0" w:color="auto"/>
          </w:divBdr>
        </w:div>
        <w:div w:id="461460703">
          <w:marLeft w:val="0"/>
          <w:marRight w:val="0"/>
          <w:marTop w:val="0"/>
          <w:marBottom w:val="0"/>
          <w:divBdr>
            <w:top w:val="none" w:sz="0" w:space="0" w:color="auto"/>
            <w:left w:val="none" w:sz="0" w:space="0" w:color="auto"/>
            <w:bottom w:val="none" w:sz="0" w:space="0" w:color="auto"/>
            <w:right w:val="none" w:sz="0" w:space="0" w:color="auto"/>
          </w:divBdr>
        </w:div>
      </w:divsChild>
    </w:div>
    <w:div w:id="594628039">
      <w:bodyDiv w:val="1"/>
      <w:marLeft w:val="0"/>
      <w:marRight w:val="0"/>
      <w:marTop w:val="0"/>
      <w:marBottom w:val="0"/>
      <w:divBdr>
        <w:top w:val="none" w:sz="0" w:space="0" w:color="auto"/>
        <w:left w:val="none" w:sz="0" w:space="0" w:color="auto"/>
        <w:bottom w:val="none" w:sz="0" w:space="0" w:color="auto"/>
        <w:right w:val="none" w:sz="0" w:space="0" w:color="auto"/>
      </w:divBdr>
    </w:div>
    <w:div w:id="620916349">
      <w:bodyDiv w:val="1"/>
      <w:marLeft w:val="0"/>
      <w:marRight w:val="0"/>
      <w:marTop w:val="0"/>
      <w:marBottom w:val="0"/>
      <w:divBdr>
        <w:top w:val="none" w:sz="0" w:space="0" w:color="auto"/>
        <w:left w:val="none" w:sz="0" w:space="0" w:color="auto"/>
        <w:bottom w:val="none" w:sz="0" w:space="0" w:color="auto"/>
        <w:right w:val="none" w:sz="0" w:space="0" w:color="auto"/>
      </w:divBdr>
    </w:div>
    <w:div w:id="631180119">
      <w:bodyDiv w:val="1"/>
      <w:marLeft w:val="0"/>
      <w:marRight w:val="0"/>
      <w:marTop w:val="0"/>
      <w:marBottom w:val="0"/>
      <w:divBdr>
        <w:top w:val="none" w:sz="0" w:space="0" w:color="auto"/>
        <w:left w:val="none" w:sz="0" w:space="0" w:color="auto"/>
        <w:bottom w:val="none" w:sz="0" w:space="0" w:color="auto"/>
        <w:right w:val="none" w:sz="0" w:space="0" w:color="auto"/>
      </w:divBdr>
    </w:div>
    <w:div w:id="634068725">
      <w:bodyDiv w:val="1"/>
      <w:marLeft w:val="0"/>
      <w:marRight w:val="0"/>
      <w:marTop w:val="0"/>
      <w:marBottom w:val="0"/>
      <w:divBdr>
        <w:top w:val="none" w:sz="0" w:space="0" w:color="auto"/>
        <w:left w:val="none" w:sz="0" w:space="0" w:color="auto"/>
        <w:bottom w:val="none" w:sz="0" w:space="0" w:color="auto"/>
        <w:right w:val="none" w:sz="0" w:space="0" w:color="auto"/>
      </w:divBdr>
    </w:div>
    <w:div w:id="644437725">
      <w:bodyDiv w:val="1"/>
      <w:marLeft w:val="0"/>
      <w:marRight w:val="0"/>
      <w:marTop w:val="0"/>
      <w:marBottom w:val="0"/>
      <w:divBdr>
        <w:top w:val="none" w:sz="0" w:space="0" w:color="auto"/>
        <w:left w:val="none" w:sz="0" w:space="0" w:color="auto"/>
        <w:bottom w:val="none" w:sz="0" w:space="0" w:color="auto"/>
        <w:right w:val="none" w:sz="0" w:space="0" w:color="auto"/>
      </w:divBdr>
    </w:div>
    <w:div w:id="677075211">
      <w:bodyDiv w:val="1"/>
      <w:marLeft w:val="0"/>
      <w:marRight w:val="0"/>
      <w:marTop w:val="0"/>
      <w:marBottom w:val="0"/>
      <w:divBdr>
        <w:top w:val="none" w:sz="0" w:space="0" w:color="auto"/>
        <w:left w:val="none" w:sz="0" w:space="0" w:color="auto"/>
        <w:bottom w:val="none" w:sz="0" w:space="0" w:color="auto"/>
        <w:right w:val="none" w:sz="0" w:space="0" w:color="auto"/>
      </w:divBdr>
    </w:div>
    <w:div w:id="678653350">
      <w:bodyDiv w:val="1"/>
      <w:marLeft w:val="0"/>
      <w:marRight w:val="0"/>
      <w:marTop w:val="0"/>
      <w:marBottom w:val="0"/>
      <w:divBdr>
        <w:top w:val="none" w:sz="0" w:space="0" w:color="auto"/>
        <w:left w:val="none" w:sz="0" w:space="0" w:color="auto"/>
        <w:bottom w:val="none" w:sz="0" w:space="0" w:color="auto"/>
        <w:right w:val="none" w:sz="0" w:space="0" w:color="auto"/>
      </w:divBdr>
    </w:div>
    <w:div w:id="686641771">
      <w:bodyDiv w:val="1"/>
      <w:marLeft w:val="0"/>
      <w:marRight w:val="0"/>
      <w:marTop w:val="0"/>
      <w:marBottom w:val="0"/>
      <w:divBdr>
        <w:top w:val="none" w:sz="0" w:space="0" w:color="auto"/>
        <w:left w:val="none" w:sz="0" w:space="0" w:color="auto"/>
        <w:bottom w:val="none" w:sz="0" w:space="0" w:color="auto"/>
        <w:right w:val="none" w:sz="0" w:space="0" w:color="auto"/>
      </w:divBdr>
    </w:div>
    <w:div w:id="687371105">
      <w:bodyDiv w:val="1"/>
      <w:marLeft w:val="0"/>
      <w:marRight w:val="0"/>
      <w:marTop w:val="0"/>
      <w:marBottom w:val="0"/>
      <w:divBdr>
        <w:top w:val="none" w:sz="0" w:space="0" w:color="auto"/>
        <w:left w:val="none" w:sz="0" w:space="0" w:color="auto"/>
        <w:bottom w:val="none" w:sz="0" w:space="0" w:color="auto"/>
        <w:right w:val="none" w:sz="0" w:space="0" w:color="auto"/>
      </w:divBdr>
    </w:div>
    <w:div w:id="709573433">
      <w:bodyDiv w:val="1"/>
      <w:marLeft w:val="0"/>
      <w:marRight w:val="0"/>
      <w:marTop w:val="0"/>
      <w:marBottom w:val="0"/>
      <w:divBdr>
        <w:top w:val="none" w:sz="0" w:space="0" w:color="auto"/>
        <w:left w:val="none" w:sz="0" w:space="0" w:color="auto"/>
        <w:bottom w:val="none" w:sz="0" w:space="0" w:color="auto"/>
        <w:right w:val="none" w:sz="0" w:space="0" w:color="auto"/>
      </w:divBdr>
    </w:div>
    <w:div w:id="749425100">
      <w:bodyDiv w:val="1"/>
      <w:marLeft w:val="0"/>
      <w:marRight w:val="0"/>
      <w:marTop w:val="0"/>
      <w:marBottom w:val="0"/>
      <w:divBdr>
        <w:top w:val="none" w:sz="0" w:space="0" w:color="auto"/>
        <w:left w:val="none" w:sz="0" w:space="0" w:color="auto"/>
        <w:bottom w:val="none" w:sz="0" w:space="0" w:color="auto"/>
        <w:right w:val="none" w:sz="0" w:space="0" w:color="auto"/>
      </w:divBdr>
    </w:div>
    <w:div w:id="756366330">
      <w:bodyDiv w:val="1"/>
      <w:marLeft w:val="0"/>
      <w:marRight w:val="0"/>
      <w:marTop w:val="0"/>
      <w:marBottom w:val="0"/>
      <w:divBdr>
        <w:top w:val="none" w:sz="0" w:space="0" w:color="auto"/>
        <w:left w:val="none" w:sz="0" w:space="0" w:color="auto"/>
        <w:bottom w:val="none" w:sz="0" w:space="0" w:color="auto"/>
        <w:right w:val="none" w:sz="0" w:space="0" w:color="auto"/>
      </w:divBdr>
    </w:div>
    <w:div w:id="759789153">
      <w:bodyDiv w:val="1"/>
      <w:marLeft w:val="0"/>
      <w:marRight w:val="0"/>
      <w:marTop w:val="0"/>
      <w:marBottom w:val="0"/>
      <w:divBdr>
        <w:top w:val="none" w:sz="0" w:space="0" w:color="auto"/>
        <w:left w:val="none" w:sz="0" w:space="0" w:color="auto"/>
        <w:bottom w:val="none" w:sz="0" w:space="0" w:color="auto"/>
        <w:right w:val="none" w:sz="0" w:space="0" w:color="auto"/>
      </w:divBdr>
    </w:div>
    <w:div w:id="765921929">
      <w:bodyDiv w:val="1"/>
      <w:marLeft w:val="0"/>
      <w:marRight w:val="0"/>
      <w:marTop w:val="0"/>
      <w:marBottom w:val="0"/>
      <w:divBdr>
        <w:top w:val="none" w:sz="0" w:space="0" w:color="auto"/>
        <w:left w:val="none" w:sz="0" w:space="0" w:color="auto"/>
        <w:bottom w:val="none" w:sz="0" w:space="0" w:color="auto"/>
        <w:right w:val="none" w:sz="0" w:space="0" w:color="auto"/>
      </w:divBdr>
    </w:div>
    <w:div w:id="770204298">
      <w:bodyDiv w:val="1"/>
      <w:marLeft w:val="0"/>
      <w:marRight w:val="0"/>
      <w:marTop w:val="0"/>
      <w:marBottom w:val="0"/>
      <w:divBdr>
        <w:top w:val="none" w:sz="0" w:space="0" w:color="auto"/>
        <w:left w:val="none" w:sz="0" w:space="0" w:color="auto"/>
        <w:bottom w:val="none" w:sz="0" w:space="0" w:color="auto"/>
        <w:right w:val="none" w:sz="0" w:space="0" w:color="auto"/>
      </w:divBdr>
    </w:div>
    <w:div w:id="779879284">
      <w:bodyDiv w:val="1"/>
      <w:marLeft w:val="0"/>
      <w:marRight w:val="0"/>
      <w:marTop w:val="0"/>
      <w:marBottom w:val="0"/>
      <w:divBdr>
        <w:top w:val="none" w:sz="0" w:space="0" w:color="auto"/>
        <w:left w:val="none" w:sz="0" w:space="0" w:color="auto"/>
        <w:bottom w:val="none" w:sz="0" w:space="0" w:color="auto"/>
        <w:right w:val="none" w:sz="0" w:space="0" w:color="auto"/>
      </w:divBdr>
    </w:div>
    <w:div w:id="787240061">
      <w:bodyDiv w:val="1"/>
      <w:marLeft w:val="0"/>
      <w:marRight w:val="0"/>
      <w:marTop w:val="0"/>
      <w:marBottom w:val="0"/>
      <w:divBdr>
        <w:top w:val="none" w:sz="0" w:space="0" w:color="auto"/>
        <w:left w:val="none" w:sz="0" w:space="0" w:color="auto"/>
        <w:bottom w:val="none" w:sz="0" w:space="0" w:color="auto"/>
        <w:right w:val="none" w:sz="0" w:space="0" w:color="auto"/>
      </w:divBdr>
    </w:div>
    <w:div w:id="794641986">
      <w:bodyDiv w:val="1"/>
      <w:marLeft w:val="0"/>
      <w:marRight w:val="0"/>
      <w:marTop w:val="0"/>
      <w:marBottom w:val="0"/>
      <w:divBdr>
        <w:top w:val="none" w:sz="0" w:space="0" w:color="auto"/>
        <w:left w:val="none" w:sz="0" w:space="0" w:color="auto"/>
        <w:bottom w:val="none" w:sz="0" w:space="0" w:color="auto"/>
        <w:right w:val="none" w:sz="0" w:space="0" w:color="auto"/>
      </w:divBdr>
    </w:div>
    <w:div w:id="800269631">
      <w:bodyDiv w:val="1"/>
      <w:marLeft w:val="0"/>
      <w:marRight w:val="0"/>
      <w:marTop w:val="0"/>
      <w:marBottom w:val="0"/>
      <w:divBdr>
        <w:top w:val="none" w:sz="0" w:space="0" w:color="auto"/>
        <w:left w:val="none" w:sz="0" w:space="0" w:color="auto"/>
        <w:bottom w:val="none" w:sz="0" w:space="0" w:color="auto"/>
        <w:right w:val="none" w:sz="0" w:space="0" w:color="auto"/>
      </w:divBdr>
    </w:div>
    <w:div w:id="804078088">
      <w:bodyDiv w:val="1"/>
      <w:marLeft w:val="0"/>
      <w:marRight w:val="0"/>
      <w:marTop w:val="0"/>
      <w:marBottom w:val="0"/>
      <w:divBdr>
        <w:top w:val="none" w:sz="0" w:space="0" w:color="auto"/>
        <w:left w:val="none" w:sz="0" w:space="0" w:color="auto"/>
        <w:bottom w:val="none" w:sz="0" w:space="0" w:color="auto"/>
        <w:right w:val="none" w:sz="0" w:space="0" w:color="auto"/>
      </w:divBdr>
    </w:div>
    <w:div w:id="820930036">
      <w:bodyDiv w:val="1"/>
      <w:marLeft w:val="0"/>
      <w:marRight w:val="0"/>
      <w:marTop w:val="0"/>
      <w:marBottom w:val="0"/>
      <w:divBdr>
        <w:top w:val="none" w:sz="0" w:space="0" w:color="auto"/>
        <w:left w:val="none" w:sz="0" w:space="0" w:color="auto"/>
        <w:bottom w:val="none" w:sz="0" w:space="0" w:color="auto"/>
        <w:right w:val="none" w:sz="0" w:space="0" w:color="auto"/>
      </w:divBdr>
    </w:div>
    <w:div w:id="832526571">
      <w:bodyDiv w:val="1"/>
      <w:marLeft w:val="0"/>
      <w:marRight w:val="0"/>
      <w:marTop w:val="0"/>
      <w:marBottom w:val="0"/>
      <w:divBdr>
        <w:top w:val="none" w:sz="0" w:space="0" w:color="auto"/>
        <w:left w:val="none" w:sz="0" w:space="0" w:color="auto"/>
        <w:bottom w:val="none" w:sz="0" w:space="0" w:color="auto"/>
        <w:right w:val="none" w:sz="0" w:space="0" w:color="auto"/>
      </w:divBdr>
    </w:div>
    <w:div w:id="836072271">
      <w:bodyDiv w:val="1"/>
      <w:marLeft w:val="0"/>
      <w:marRight w:val="0"/>
      <w:marTop w:val="0"/>
      <w:marBottom w:val="0"/>
      <w:divBdr>
        <w:top w:val="none" w:sz="0" w:space="0" w:color="auto"/>
        <w:left w:val="none" w:sz="0" w:space="0" w:color="auto"/>
        <w:bottom w:val="none" w:sz="0" w:space="0" w:color="auto"/>
        <w:right w:val="none" w:sz="0" w:space="0" w:color="auto"/>
      </w:divBdr>
    </w:div>
    <w:div w:id="873883962">
      <w:bodyDiv w:val="1"/>
      <w:marLeft w:val="0"/>
      <w:marRight w:val="0"/>
      <w:marTop w:val="0"/>
      <w:marBottom w:val="0"/>
      <w:divBdr>
        <w:top w:val="none" w:sz="0" w:space="0" w:color="auto"/>
        <w:left w:val="none" w:sz="0" w:space="0" w:color="auto"/>
        <w:bottom w:val="none" w:sz="0" w:space="0" w:color="auto"/>
        <w:right w:val="none" w:sz="0" w:space="0" w:color="auto"/>
      </w:divBdr>
    </w:div>
    <w:div w:id="879511324">
      <w:bodyDiv w:val="1"/>
      <w:marLeft w:val="0"/>
      <w:marRight w:val="0"/>
      <w:marTop w:val="0"/>
      <w:marBottom w:val="0"/>
      <w:divBdr>
        <w:top w:val="none" w:sz="0" w:space="0" w:color="auto"/>
        <w:left w:val="none" w:sz="0" w:space="0" w:color="auto"/>
        <w:bottom w:val="none" w:sz="0" w:space="0" w:color="auto"/>
        <w:right w:val="none" w:sz="0" w:space="0" w:color="auto"/>
      </w:divBdr>
    </w:div>
    <w:div w:id="907963047">
      <w:bodyDiv w:val="1"/>
      <w:marLeft w:val="0"/>
      <w:marRight w:val="0"/>
      <w:marTop w:val="0"/>
      <w:marBottom w:val="0"/>
      <w:divBdr>
        <w:top w:val="none" w:sz="0" w:space="0" w:color="auto"/>
        <w:left w:val="none" w:sz="0" w:space="0" w:color="auto"/>
        <w:bottom w:val="none" w:sz="0" w:space="0" w:color="auto"/>
        <w:right w:val="none" w:sz="0" w:space="0" w:color="auto"/>
      </w:divBdr>
    </w:div>
    <w:div w:id="912204876">
      <w:bodyDiv w:val="1"/>
      <w:marLeft w:val="0"/>
      <w:marRight w:val="0"/>
      <w:marTop w:val="0"/>
      <w:marBottom w:val="0"/>
      <w:divBdr>
        <w:top w:val="none" w:sz="0" w:space="0" w:color="auto"/>
        <w:left w:val="none" w:sz="0" w:space="0" w:color="auto"/>
        <w:bottom w:val="none" w:sz="0" w:space="0" w:color="auto"/>
        <w:right w:val="none" w:sz="0" w:space="0" w:color="auto"/>
      </w:divBdr>
    </w:div>
    <w:div w:id="919755639">
      <w:bodyDiv w:val="1"/>
      <w:marLeft w:val="0"/>
      <w:marRight w:val="0"/>
      <w:marTop w:val="0"/>
      <w:marBottom w:val="0"/>
      <w:divBdr>
        <w:top w:val="none" w:sz="0" w:space="0" w:color="auto"/>
        <w:left w:val="none" w:sz="0" w:space="0" w:color="auto"/>
        <w:bottom w:val="none" w:sz="0" w:space="0" w:color="auto"/>
        <w:right w:val="none" w:sz="0" w:space="0" w:color="auto"/>
      </w:divBdr>
    </w:div>
    <w:div w:id="949433647">
      <w:bodyDiv w:val="1"/>
      <w:marLeft w:val="0"/>
      <w:marRight w:val="0"/>
      <w:marTop w:val="0"/>
      <w:marBottom w:val="0"/>
      <w:divBdr>
        <w:top w:val="none" w:sz="0" w:space="0" w:color="auto"/>
        <w:left w:val="none" w:sz="0" w:space="0" w:color="auto"/>
        <w:bottom w:val="none" w:sz="0" w:space="0" w:color="auto"/>
        <w:right w:val="none" w:sz="0" w:space="0" w:color="auto"/>
      </w:divBdr>
      <w:divsChild>
        <w:div w:id="1271745916">
          <w:marLeft w:val="0"/>
          <w:marRight w:val="0"/>
          <w:marTop w:val="0"/>
          <w:marBottom w:val="0"/>
          <w:divBdr>
            <w:top w:val="none" w:sz="0" w:space="0" w:color="auto"/>
            <w:left w:val="none" w:sz="0" w:space="0" w:color="auto"/>
            <w:bottom w:val="none" w:sz="0" w:space="0" w:color="auto"/>
            <w:right w:val="none" w:sz="0" w:space="0" w:color="auto"/>
          </w:divBdr>
          <w:divsChild>
            <w:div w:id="1793547206">
              <w:marLeft w:val="0"/>
              <w:marRight w:val="0"/>
              <w:marTop w:val="0"/>
              <w:marBottom w:val="0"/>
              <w:divBdr>
                <w:top w:val="none" w:sz="0" w:space="0" w:color="auto"/>
                <w:left w:val="none" w:sz="0" w:space="0" w:color="auto"/>
                <w:bottom w:val="none" w:sz="0" w:space="0" w:color="auto"/>
                <w:right w:val="none" w:sz="0" w:space="0" w:color="auto"/>
              </w:divBdr>
              <w:divsChild>
                <w:div w:id="995113874">
                  <w:marLeft w:val="0"/>
                  <w:marRight w:val="0"/>
                  <w:marTop w:val="0"/>
                  <w:marBottom w:val="0"/>
                  <w:divBdr>
                    <w:top w:val="none" w:sz="0" w:space="0" w:color="auto"/>
                    <w:left w:val="none" w:sz="0" w:space="0" w:color="auto"/>
                    <w:bottom w:val="none" w:sz="0" w:space="0" w:color="auto"/>
                    <w:right w:val="none" w:sz="0" w:space="0" w:color="auto"/>
                  </w:divBdr>
                  <w:divsChild>
                    <w:div w:id="1793399227">
                      <w:marLeft w:val="0"/>
                      <w:marRight w:val="0"/>
                      <w:marTop w:val="0"/>
                      <w:marBottom w:val="0"/>
                      <w:divBdr>
                        <w:top w:val="none" w:sz="0" w:space="0" w:color="auto"/>
                        <w:left w:val="none" w:sz="0" w:space="0" w:color="auto"/>
                        <w:bottom w:val="none" w:sz="0" w:space="0" w:color="auto"/>
                        <w:right w:val="none" w:sz="0" w:space="0" w:color="auto"/>
                      </w:divBdr>
                      <w:divsChild>
                        <w:div w:id="185752466">
                          <w:marLeft w:val="0"/>
                          <w:marRight w:val="0"/>
                          <w:marTop w:val="0"/>
                          <w:marBottom w:val="0"/>
                          <w:divBdr>
                            <w:top w:val="none" w:sz="0" w:space="0" w:color="auto"/>
                            <w:left w:val="none" w:sz="0" w:space="0" w:color="auto"/>
                            <w:bottom w:val="none" w:sz="0" w:space="0" w:color="auto"/>
                            <w:right w:val="none" w:sz="0" w:space="0" w:color="auto"/>
                          </w:divBdr>
                          <w:divsChild>
                            <w:div w:id="822739071">
                              <w:marLeft w:val="0"/>
                              <w:marRight w:val="0"/>
                              <w:marTop w:val="0"/>
                              <w:marBottom w:val="0"/>
                              <w:divBdr>
                                <w:top w:val="none" w:sz="0" w:space="0" w:color="auto"/>
                                <w:left w:val="none" w:sz="0" w:space="0" w:color="auto"/>
                                <w:bottom w:val="none" w:sz="0" w:space="0" w:color="auto"/>
                                <w:right w:val="none" w:sz="0" w:space="0" w:color="auto"/>
                              </w:divBdr>
                              <w:divsChild>
                                <w:div w:id="203148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16990">
                          <w:marLeft w:val="0"/>
                          <w:marRight w:val="0"/>
                          <w:marTop w:val="0"/>
                          <w:marBottom w:val="0"/>
                          <w:divBdr>
                            <w:top w:val="none" w:sz="0" w:space="0" w:color="auto"/>
                            <w:left w:val="none" w:sz="0" w:space="0" w:color="auto"/>
                            <w:bottom w:val="none" w:sz="0" w:space="0" w:color="auto"/>
                            <w:right w:val="none" w:sz="0" w:space="0" w:color="auto"/>
                          </w:divBdr>
                          <w:divsChild>
                            <w:div w:id="1019964182">
                              <w:marLeft w:val="0"/>
                              <w:marRight w:val="0"/>
                              <w:marTop w:val="0"/>
                              <w:marBottom w:val="0"/>
                              <w:divBdr>
                                <w:top w:val="none" w:sz="0" w:space="0" w:color="auto"/>
                                <w:left w:val="none" w:sz="0" w:space="0" w:color="auto"/>
                                <w:bottom w:val="none" w:sz="0" w:space="0" w:color="auto"/>
                                <w:right w:val="none" w:sz="0" w:space="0" w:color="auto"/>
                              </w:divBdr>
                              <w:divsChild>
                                <w:div w:id="2104378217">
                                  <w:marLeft w:val="0"/>
                                  <w:marRight w:val="0"/>
                                  <w:marTop w:val="0"/>
                                  <w:marBottom w:val="0"/>
                                  <w:divBdr>
                                    <w:top w:val="none" w:sz="0" w:space="0" w:color="auto"/>
                                    <w:left w:val="none" w:sz="0" w:space="0" w:color="auto"/>
                                    <w:bottom w:val="none" w:sz="0" w:space="0" w:color="auto"/>
                                    <w:right w:val="none" w:sz="0" w:space="0" w:color="auto"/>
                                  </w:divBdr>
                                  <w:divsChild>
                                    <w:div w:id="25620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1860776">
      <w:bodyDiv w:val="1"/>
      <w:marLeft w:val="0"/>
      <w:marRight w:val="0"/>
      <w:marTop w:val="0"/>
      <w:marBottom w:val="0"/>
      <w:divBdr>
        <w:top w:val="none" w:sz="0" w:space="0" w:color="auto"/>
        <w:left w:val="none" w:sz="0" w:space="0" w:color="auto"/>
        <w:bottom w:val="none" w:sz="0" w:space="0" w:color="auto"/>
        <w:right w:val="none" w:sz="0" w:space="0" w:color="auto"/>
      </w:divBdr>
      <w:divsChild>
        <w:div w:id="1549147623">
          <w:marLeft w:val="0"/>
          <w:marRight w:val="0"/>
          <w:marTop w:val="0"/>
          <w:marBottom w:val="0"/>
          <w:divBdr>
            <w:top w:val="none" w:sz="0" w:space="0" w:color="auto"/>
            <w:left w:val="none" w:sz="0" w:space="0" w:color="auto"/>
            <w:bottom w:val="none" w:sz="0" w:space="0" w:color="auto"/>
            <w:right w:val="none" w:sz="0" w:space="0" w:color="auto"/>
          </w:divBdr>
          <w:divsChild>
            <w:div w:id="1041245339">
              <w:marLeft w:val="0"/>
              <w:marRight w:val="0"/>
              <w:marTop w:val="0"/>
              <w:marBottom w:val="0"/>
              <w:divBdr>
                <w:top w:val="none" w:sz="0" w:space="0" w:color="auto"/>
                <w:left w:val="none" w:sz="0" w:space="0" w:color="auto"/>
                <w:bottom w:val="none" w:sz="0" w:space="0" w:color="auto"/>
                <w:right w:val="none" w:sz="0" w:space="0" w:color="auto"/>
              </w:divBdr>
              <w:divsChild>
                <w:div w:id="516314340">
                  <w:marLeft w:val="0"/>
                  <w:marRight w:val="0"/>
                  <w:marTop w:val="0"/>
                  <w:marBottom w:val="0"/>
                  <w:divBdr>
                    <w:top w:val="none" w:sz="0" w:space="0" w:color="auto"/>
                    <w:left w:val="none" w:sz="0" w:space="0" w:color="auto"/>
                    <w:bottom w:val="none" w:sz="0" w:space="0" w:color="auto"/>
                    <w:right w:val="none" w:sz="0" w:space="0" w:color="auto"/>
                  </w:divBdr>
                  <w:divsChild>
                    <w:div w:id="603079495">
                      <w:marLeft w:val="0"/>
                      <w:marRight w:val="0"/>
                      <w:marTop w:val="0"/>
                      <w:marBottom w:val="0"/>
                      <w:divBdr>
                        <w:top w:val="none" w:sz="0" w:space="0" w:color="auto"/>
                        <w:left w:val="none" w:sz="0" w:space="0" w:color="auto"/>
                        <w:bottom w:val="none" w:sz="0" w:space="0" w:color="auto"/>
                        <w:right w:val="none" w:sz="0" w:space="0" w:color="auto"/>
                      </w:divBdr>
                      <w:divsChild>
                        <w:div w:id="117649943">
                          <w:marLeft w:val="0"/>
                          <w:marRight w:val="0"/>
                          <w:marTop w:val="0"/>
                          <w:marBottom w:val="0"/>
                          <w:divBdr>
                            <w:top w:val="none" w:sz="0" w:space="0" w:color="auto"/>
                            <w:left w:val="none" w:sz="0" w:space="0" w:color="auto"/>
                            <w:bottom w:val="none" w:sz="0" w:space="0" w:color="auto"/>
                            <w:right w:val="none" w:sz="0" w:space="0" w:color="auto"/>
                          </w:divBdr>
                          <w:divsChild>
                            <w:div w:id="259997340">
                              <w:marLeft w:val="0"/>
                              <w:marRight w:val="0"/>
                              <w:marTop w:val="0"/>
                              <w:marBottom w:val="0"/>
                              <w:divBdr>
                                <w:top w:val="none" w:sz="0" w:space="0" w:color="auto"/>
                                <w:left w:val="none" w:sz="0" w:space="0" w:color="auto"/>
                                <w:bottom w:val="none" w:sz="0" w:space="0" w:color="auto"/>
                                <w:right w:val="none" w:sz="0" w:space="0" w:color="auto"/>
                              </w:divBdr>
                              <w:divsChild>
                                <w:div w:id="459694137">
                                  <w:marLeft w:val="0"/>
                                  <w:marRight w:val="0"/>
                                  <w:marTop w:val="0"/>
                                  <w:marBottom w:val="0"/>
                                  <w:divBdr>
                                    <w:top w:val="none" w:sz="0" w:space="0" w:color="auto"/>
                                    <w:left w:val="none" w:sz="0" w:space="0" w:color="auto"/>
                                    <w:bottom w:val="none" w:sz="0" w:space="0" w:color="auto"/>
                                    <w:right w:val="none" w:sz="0" w:space="0" w:color="auto"/>
                                  </w:divBdr>
                                  <w:divsChild>
                                    <w:div w:id="202886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643773">
                          <w:marLeft w:val="0"/>
                          <w:marRight w:val="0"/>
                          <w:marTop w:val="0"/>
                          <w:marBottom w:val="0"/>
                          <w:divBdr>
                            <w:top w:val="none" w:sz="0" w:space="0" w:color="auto"/>
                            <w:left w:val="none" w:sz="0" w:space="0" w:color="auto"/>
                            <w:bottom w:val="none" w:sz="0" w:space="0" w:color="auto"/>
                            <w:right w:val="none" w:sz="0" w:space="0" w:color="auto"/>
                          </w:divBdr>
                          <w:divsChild>
                            <w:div w:id="1972054788">
                              <w:marLeft w:val="0"/>
                              <w:marRight w:val="0"/>
                              <w:marTop w:val="0"/>
                              <w:marBottom w:val="0"/>
                              <w:divBdr>
                                <w:top w:val="none" w:sz="0" w:space="0" w:color="auto"/>
                                <w:left w:val="none" w:sz="0" w:space="0" w:color="auto"/>
                                <w:bottom w:val="none" w:sz="0" w:space="0" w:color="auto"/>
                                <w:right w:val="none" w:sz="0" w:space="0" w:color="auto"/>
                              </w:divBdr>
                              <w:divsChild>
                                <w:div w:id="65734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9020036">
      <w:bodyDiv w:val="1"/>
      <w:marLeft w:val="0"/>
      <w:marRight w:val="0"/>
      <w:marTop w:val="0"/>
      <w:marBottom w:val="0"/>
      <w:divBdr>
        <w:top w:val="none" w:sz="0" w:space="0" w:color="auto"/>
        <w:left w:val="none" w:sz="0" w:space="0" w:color="auto"/>
        <w:bottom w:val="none" w:sz="0" w:space="0" w:color="auto"/>
        <w:right w:val="none" w:sz="0" w:space="0" w:color="auto"/>
      </w:divBdr>
    </w:div>
    <w:div w:id="1021971315">
      <w:bodyDiv w:val="1"/>
      <w:marLeft w:val="0"/>
      <w:marRight w:val="0"/>
      <w:marTop w:val="0"/>
      <w:marBottom w:val="0"/>
      <w:divBdr>
        <w:top w:val="none" w:sz="0" w:space="0" w:color="auto"/>
        <w:left w:val="none" w:sz="0" w:space="0" w:color="auto"/>
        <w:bottom w:val="none" w:sz="0" w:space="0" w:color="auto"/>
        <w:right w:val="none" w:sz="0" w:space="0" w:color="auto"/>
      </w:divBdr>
    </w:div>
    <w:div w:id="1024406202">
      <w:bodyDiv w:val="1"/>
      <w:marLeft w:val="0"/>
      <w:marRight w:val="0"/>
      <w:marTop w:val="0"/>
      <w:marBottom w:val="0"/>
      <w:divBdr>
        <w:top w:val="none" w:sz="0" w:space="0" w:color="auto"/>
        <w:left w:val="none" w:sz="0" w:space="0" w:color="auto"/>
        <w:bottom w:val="none" w:sz="0" w:space="0" w:color="auto"/>
        <w:right w:val="none" w:sz="0" w:space="0" w:color="auto"/>
      </w:divBdr>
    </w:div>
    <w:div w:id="1029602554">
      <w:bodyDiv w:val="1"/>
      <w:marLeft w:val="0"/>
      <w:marRight w:val="0"/>
      <w:marTop w:val="0"/>
      <w:marBottom w:val="0"/>
      <w:divBdr>
        <w:top w:val="none" w:sz="0" w:space="0" w:color="auto"/>
        <w:left w:val="none" w:sz="0" w:space="0" w:color="auto"/>
        <w:bottom w:val="none" w:sz="0" w:space="0" w:color="auto"/>
        <w:right w:val="none" w:sz="0" w:space="0" w:color="auto"/>
      </w:divBdr>
    </w:div>
    <w:div w:id="1031957285">
      <w:bodyDiv w:val="1"/>
      <w:marLeft w:val="0"/>
      <w:marRight w:val="0"/>
      <w:marTop w:val="0"/>
      <w:marBottom w:val="0"/>
      <w:divBdr>
        <w:top w:val="none" w:sz="0" w:space="0" w:color="auto"/>
        <w:left w:val="none" w:sz="0" w:space="0" w:color="auto"/>
        <w:bottom w:val="none" w:sz="0" w:space="0" w:color="auto"/>
        <w:right w:val="none" w:sz="0" w:space="0" w:color="auto"/>
      </w:divBdr>
    </w:div>
    <w:div w:id="1040593738">
      <w:bodyDiv w:val="1"/>
      <w:marLeft w:val="0"/>
      <w:marRight w:val="0"/>
      <w:marTop w:val="0"/>
      <w:marBottom w:val="0"/>
      <w:divBdr>
        <w:top w:val="none" w:sz="0" w:space="0" w:color="auto"/>
        <w:left w:val="none" w:sz="0" w:space="0" w:color="auto"/>
        <w:bottom w:val="none" w:sz="0" w:space="0" w:color="auto"/>
        <w:right w:val="none" w:sz="0" w:space="0" w:color="auto"/>
      </w:divBdr>
    </w:div>
    <w:div w:id="1052922331">
      <w:bodyDiv w:val="1"/>
      <w:marLeft w:val="0"/>
      <w:marRight w:val="0"/>
      <w:marTop w:val="0"/>
      <w:marBottom w:val="0"/>
      <w:divBdr>
        <w:top w:val="none" w:sz="0" w:space="0" w:color="auto"/>
        <w:left w:val="none" w:sz="0" w:space="0" w:color="auto"/>
        <w:bottom w:val="none" w:sz="0" w:space="0" w:color="auto"/>
        <w:right w:val="none" w:sz="0" w:space="0" w:color="auto"/>
      </w:divBdr>
    </w:div>
    <w:div w:id="1054157280">
      <w:bodyDiv w:val="1"/>
      <w:marLeft w:val="0"/>
      <w:marRight w:val="0"/>
      <w:marTop w:val="0"/>
      <w:marBottom w:val="0"/>
      <w:divBdr>
        <w:top w:val="none" w:sz="0" w:space="0" w:color="auto"/>
        <w:left w:val="none" w:sz="0" w:space="0" w:color="auto"/>
        <w:bottom w:val="none" w:sz="0" w:space="0" w:color="auto"/>
        <w:right w:val="none" w:sz="0" w:space="0" w:color="auto"/>
      </w:divBdr>
    </w:div>
    <w:div w:id="1069110831">
      <w:bodyDiv w:val="1"/>
      <w:marLeft w:val="0"/>
      <w:marRight w:val="0"/>
      <w:marTop w:val="0"/>
      <w:marBottom w:val="0"/>
      <w:divBdr>
        <w:top w:val="none" w:sz="0" w:space="0" w:color="auto"/>
        <w:left w:val="none" w:sz="0" w:space="0" w:color="auto"/>
        <w:bottom w:val="none" w:sz="0" w:space="0" w:color="auto"/>
        <w:right w:val="none" w:sz="0" w:space="0" w:color="auto"/>
      </w:divBdr>
    </w:div>
    <w:div w:id="1079788539">
      <w:bodyDiv w:val="1"/>
      <w:marLeft w:val="0"/>
      <w:marRight w:val="0"/>
      <w:marTop w:val="0"/>
      <w:marBottom w:val="0"/>
      <w:divBdr>
        <w:top w:val="none" w:sz="0" w:space="0" w:color="auto"/>
        <w:left w:val="none" w:sz="0" w:space="0" w:color="auto"/>
        <w:bottom w:val="none" w:sz="0" w:space="0" w:color="auto"/>
        <w:right w:val="none" w:sz="0" w:space="0" w:color="auto"/>
      </w:divBdr>
    </w:div>
    <w:div w:id="1112237913">
      <w:bodyDiv w:val="1"/>
      <w:marLeft w:val="0"/>
      <w:marRight w:val="0"/>
      <w:marTop w:val="0"/>
      <w:marBottom w:val="0"/>
      <w:divBdr>
        <w:top w:val="none" w:sz="0" w:space="0" w:color="auto"/>
        <w:left w:val="none" w:sz="0" w:space="0" w:color="auto"/>
        <w:bottom w:val="none" w:sz="0" w:space="0" w:color="auto"/>
        <w:right w:val="none" w:sz="0" w:space="0" w:color="auto"/>
      </w:divBdr>
    </w:div>
    <w:div w:id="1114327699">
      <w:bodyDiv w:val="1"/>
      <w:marLeft w:val="0"/>
      <w:marRight w:val="0"/>
      <w:marTop w:val="0"/>
      <w:marBottom w:val="0"/>
      <w:divBdr>
        <w:top w:val="none" w:sz="0" w:space="0" w:color="auto"/>
        <w:left w:val="none" w:sz="0" w:space="0" w:color="auto"/>
        <w:bottom w:val="none" w:sz="0" w:space="0" w:color="auto"/>
        <w:right w:val="none" w:sz="0" w:space="0" w:color="auto"/>
      </w:divBdr>
    </w:div>
    <w:div w:id="1131021253">
      <w:bodyDiv w:val="1"/>
      <w:marLeft w:val="0"/>
      <w:marRight w:val="0"/>
      <w:marTop w:val="0"/>
      <w:marBottom w:val="0"/>
      <w:divBdr>
        <w:top w:val="none" w:sz="0" w:space="0" w:color="auto"/>
        <w:left w:val="none" w:sz="0" w:space="0" w:color="auto"/>
        <w:bottom w:val="none" w:sz="0" w:space="0" w:color="auto"/>
        <w:right w:val="none" w:sz="0" w:space="0" w:color="auto"/>
      </w:divBdr>
    </w:div>
    <w:div w:id="1154368162">
      <w:bodyDiv w:val="1"/>
      <w:marLeft w:val="0"/>
      <w:marRight w:val="0"/>
      <w:marTop w:val="0"/>
      <w:marBottom w:val="0"/>
      <w:divBdr>
        <w:top w:val="none" w:sz="0" w:space="0" w:color="auto"/>
        <w:left w:val="none" w:sz="0" w:space="0" w:color="auto"/>
        <w:bottom w:val="none" w:sz="0" w:space="0" w:color="auto"/>
        <w:right w:val="none" w:sz="0" w:space="0" w:color="auto"/>
      </w:divBdr>
    </w:div>
    <w:div w:id="1154880113">
      <w:bodyDiv w:val="1"/>
      <w:marLeft w:val="0"/>
      <w:marRight w:val="0"/>
      <w:marTop w:val="0"/>
      <w:marBottom w:val="0"/>
      <w:divBdr>
        <w:top w:val="none" w:sz="0" w:space="0" w:color="auto"/>
        <w:left w:val="none" w:sz="0" w:space="0" w:color="auto"/>
        <w:bottom w:val="none" w:sz="0" w:space="0" w:color="auto"/>
        <w:right w:val="none" w:sz="0" w:space="0" w:color="auto"/>
      </w:divBdr>
    </w:div>
    <w:div w:id="1199077310">
      <w:bodyDiv w:val="1"/>
      <w:marLeft w:val="0"/>
      <w:marRight w:val="0"/>
      <w:marTop w:val="0"/>
      <w:marBottom w:val="0"/>
      <w:divBdr>
        <w:top w:val="none" w:sz="0" w:space="0" w:color="auto"/>
        <w:left w:val="none" w:sz="0" w:space="0" w:color="auto"/>
        <w:bottom w:val="none" w:sz="0" w:space="0" w:color="auto"/>
        <w:right w:val="none" w:sz="0" w:space="0" w:color="auto"/>
      </w:divBdr>
    </w:div>
    <w:div w:id="1201238401">
      <w:bodyDiv w:val="1"/>
      <w:marLeft w:val="0"/>
      <w:marRight w:val="0"/>
      <w:marTop w:val="0"/>
      <w:marBottom w:val="0"/>
      <w:divBdr>
        <w:top w:val="none" w:sz="0" w:space="0" w:color="auto"/>
        <w:left w:val="none" w:sz="0" w:space="0" w:color="auto"/>
        <w:bottom w:val="none" w:sz="0" w:space="0" w:color="auto"/>
        <w:right w:val="none" w:sz="0" w:space="0" w:color="auto"/>
      </w:divBdr>
      <w:divsChild>
        <w:div w:id="436407899">
          <w:marLeft w:val="0"/>
          <w:marRight w:val="0"/>
          <w:marTop w:val="0"/>
          <w:marBottom w:val="0"/>
          <w:divBdr>
            <w:top w:val="none" w:sz="0" w:space="0" w:color="auto"/>
            <w:left w:val="none" w:sz="0" w:space="0" w:color="auto"/>
            <w:bottom w:val="none" w:sz="0" w:space="0" w:color="auto"/>
            <w:right w:val="none" w:sz="0" w:space="0" w:color="auto"/>
          </w:divBdr>
          <w:divsChild>
            <w:div w:id="958688134">
              <w:marLeft w:val="0"/>
              <w:marRight w:val="0"/>
              <w:marTop w:val="0"/>
              <w:marBottom w:val="0"/>
              <w:divBdr>
                <w:top w:val="none" w:sz="0" w:space="0" w:color="auto"/>
                <w:left w:val="none" w:sz="0" w:space="0" w:color="auto"/>
                <w:bottom w:val="none" w:sz="0" w:space="0" w:color="auto"/>
                <w:right w:val="none" w:sz="0" w:space="0" w:color="auto"/>
              </w:divBdr>
              <w:divsChild>
                <w:div w:id="1761217074">
                  <w:marLeft w:val="0"/>
                  <w:marRight w:val="0"/>
                  <w:marTop w:val="0"/>
                  <w:marBottom w:val="0"/>
                  <w:divBdr>
                    <w:top w:val="none" w:sz="0" w:space="0" w:color="auto"/>
                    <w:left w:val="none" w:sz="0" w:space="0" w:color="auto"/>
                    <w:bottom w:val="none" w:sz="0" w:space="0" w:color="auto"/>
                    <w:right w:val="none" w:sz="0" w:space="0" w:color="auto"/>
                  </w:divBdr>
                  <w:divsChild>
                    <w:div w:id="504593546">
                      <w:marLeft w:val="0"/>
                      <w:marRight w:val="0"/>
                      <w:marTop w:val="0"/>
                      <w:marBottom w:val="0"/>
                      <w:divBdr>
                        <w:top w:val="none" w:sz="0" w:space="0" w:color="auto"/>
                        <w:left w:val="none" w:sz="0" w:space="0" w:color="auto"/>
                        <w:bottom w:val="none" w:sz="0" w:space="0" w:color="auto"/>
                        <w:right w:val="none" w:sz="0" w:space="0" w:color="auto"/>
                      </w:divBdr>
                      <w:divsChild>
                        <w:div w:id="1105081413">
                          <w:marLeft w:val="0"/>
                          <w:marRight w:val="0"/>
                          <w:marTop w:val="0"/>
                          <w:marBottom w:val="0"/>
                          <w:divBdr>
                            <w:top w:val="none" w:sz="0" w:space="0" w:color="auto"/>
                            <w:left w:val="none" w:sz="0" w:space="0" w:color="auto"/>
                            <w:bottom w:val="none" w:sz="0" w:space="0" w:color="auto"/>
                            <w:right w:val="none" w:sz="0" w:space="0" w:color="auto"/>
                          </w:divBdr>
                          <w:divsChild>
                            <w:div w:id="1724018227">
                              <w:marLeft w:val="0"/>
                              <w:marRight w:val="0"/>
                              <w:marTop w:val="0"/>
                              <w:marBottom w:val="0"/>
                              <w:divBdr>
                                <w:top w:val="none" w:sz="0" w:space="0" w:color="auto"/>
                                <w:left w:val="none" w:sz="0" w:space="0" w:color="auto"/>
                                <w:bottom w:val="none" w:sz="0" w:space="0" w:color="auto"/>
                                <w:right w:val="none" w:sz="0" w:space="0" w:color="auto"/>
                              </w:divBdr>
                              <w:divsChild>
                                <w:div w:id="113136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732945">
                          <w:marLeft w:val="0"/>
                          <w:marRight w:val="0"/>
                          <w:marTop w:val="0"/>
                          <w:marBottom w:val="0"/>
                          <w:divBdr>
                            <w:top w:val="none" w:sz="0" w:space="0" w:color="auto"/>
                            <w:left w:val="none" w:sz="0" w:space="0" w:color="auto"/>
                            <w:bottom w:val="none" w:sz="0" w:space="0" w:color="auto"/>
                            <w:right w:val="none" w:sz="0" w:space="0" w:color="auto"/>
                          </w:divBdr>
                          <w:divsChild>
                            <w:div w:id="2028942002">
                              <w:marLeft w:val="0"/>
                              <w:marRight w:val="0"/>
                              <w:marTop w:val="0"/>
                              <w:marBottom w:val="0"/>
                              <w:divBdr>
                                <w:top w:val="none" w:sz="0" w:space="0" w:color="auto"/>
                                <w:left w:val="none" w:sz="0" w:space="0" w:color="auto"/>
                                <w:bottom w:val="none" w:sz="0" w:space="0" w:color="auto"/>
                                <w:right w:val="none" w:sz="0" w:space="0" w:color="auto"/>
                              </w:divBdr>
                              <w:divsChild>
                                <w:div w:id="609818755">
                                  <w:marLeft w:val="0"/>
                                  <w:marRight w:val="0"/>
                                  <w:marTop w:val="0"/>
                                  <w:marBottom w:val="0"/>
                                  <w:divBdr>
                                    <w:top w:val="none" w:sz="0" w:space="0" w:color="auto"/>
                                    <w:left w:val="none" w:sz="0" w:space="0" w:color="auto"/>
                                    <w:bottom w:val="none" w:sz="0" w:space="0" w:color="auto"/>
                                    <w:right w:val="none" w:sz="0" w:space="0" w:color="auto"/>
                                  </w:divBdr>
                                  <w:divsChild>
                                    <w:div w:id="128839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1188813">
      <w:bodyDiv w:val="1"/>
      <w:marLeft w:val="0"/>
      <w:marRight w:val="0"/>
      <w:marTop w:val="0"/>
      <w:marBottom w:val="0"/>
      <w:divBdr>
        <w:top w:val="none" w:sz="0" w:space="0" w:color="auto"/>
        <w:left w:val="none" w:sz="0" w:space="0" w:color="auto"/>
        <w:bottom w:val="none" w:sz="0" w:space="0" w:color="auto"/>
        <w:right w:val="none" w:sz="0" w:space="0" w:color="auto"/>
      </w:divBdr>
      <w:divsChild>
        <w:div w:id="87118042">
          <w:marLeft w:val="0"/>
          <w:marRight w:val="0"/>
          <w:marTop w:val="0"/>
          <w:marBottom w:val="0"/>
          <w:divBdr>
            <w:top w:val="none" w:sz="0" w:space="0" w:color="auto"/>
            <w:left w:val="none" w:sz="0" w:space="0" w:color="auto"/>
            <w:bottom w:val="none" w:sz="0" w:space="0" w:color="auto"/>
            <w:right w:val="none" w:sz="0" w:space="0" w:color="auto"/>
          </w:divBdr>
          <w:divsChild>
            <w:div w:id="44254293">
              <w:marLeft w:val="0"/>
              <w:marRight w:val="0"/>
              <w:marTop w:val="0"/>
              <w:marBottom w:val="0"/>
              <w:divBdr>
                <w:top w:val="none" w:sz="0" w:space="0" w:color="auto"/>
                <w:left w:val="none" w:sz="0" w:space="0" w:color="auto"/>
                <w:bottom w:val="none" w:sz="0" w:space="0" w:color="auto"/>
                <w:right w:val="none" w:sz="0" w:space="0" w:color="auto"/>
              </w:divBdr>
            </w:div>
            <w:div w:id="50156228">
              <w:marLeft w:val="0"/>
              <w:marRight w:val="0"/>
              <w:marTop w:val="0"/>
              <w:marBottom w:val="0"/>
              <w:divBdr>
                <w:top w:val="none" w:sz="0" w:space="0" w:color="auto"/>
                <w:left w:val="none" w:sz="0" w:space="0" w:color="auto"/>
                <w:bottom w:val="none" w:sz="0" w:space="0" w:color="auto"/>
                <w:right w:val="none" w:sz="0" w:space="0" w:color="auto"/>
              </w:divBdr>
            </w:div>
            <w:div w:id="156456957">
              <w:marLeft w:val="0"/>
              <w:marRight w:val="0"/>
              <w:marTop w:val="0"/>
              <w:marBottom w:val="0"/>
              <w:divBdr>
                <w:top w:val="none" w:sz="0" w:space="0" w:color="auto"/>
                <w:left w:val="none" w:sz="0" w:space="0" w:color="auto"/>
                <w:bottom w:val="none" w:sz="0" w:space="0" w:color="auto"/>
                <w:right w:val="none" w:sz="0" w:space="0" w:color="auto"/>
              </w:divBdr>
            </w:div>
            <w:div w:id="253132333">
              <w:marLeft w:val="0"/>
              <w:marRight w:val="0"/>
              <w:marTop w:val="0"/>
              <w:marBottom w:val="0"/>
              <w:divBdr>
                <w:top w:val="none" w:sz="0" w:space="0" w:color="auto"/>
                <w:left w:val="none" w:sz="0" w:space="0" w:color="auto"/>
                <w:bottom w:val="none" w:sz="0" w:space="0" w:color="auto"/>
                <w:right w:val="none" w:sz="0" w:space="0" w:color="auto"/>
              </w:divBdr>
            </w:div>
            <w:div w:id="432238995">
              <w:marLeft w:val="0"/>
              <w:marRight w:val="0"/>
              <w:marTop w:val="0"/>
              <w:marBottom w:val="0"/>
              <w:divBdr>
                <w:top w:val="none" w:sz="0" w:space="0" w:color="auto"/>
                <w:left w:val="none" w:sz="0" w:space="0" w:color="auto"/>
                <w:bottom w:val="none" w:sz="0" w:space="0" w:color="auto"/>
                <w:right w:val="none" w:sz="0" w:space="0" w:color="auto"/>
              </w:divBdr>
            </w:div>
            <w:div w:id="460539420">
              <w:marLeft w:val="0"/>
              <w:marRight w:val="0"/>
              <w:marTop w:val="0"/>
              <w:marBottom w:val="0"/>
              <w:divBdr>
                <w:top w:val="none" w:sz="0" w:space="0" w:color="auto"/>
                <w:left w:val="none" w:sz="0" w:space="0" w:color="auto"/>
                <w:bottom w:val="none" w:sz="0" w:space="0" w:color="auto"/>
                <w:right w:val="none" w:sz="0" w:space="0" w:color="auto"/>
              </w:divBdr>
            </w:div>
            <w:div w:id="508377571">
              <w:marLeft w:val="0"/>
              <w:marRight w:val="0"/>
              <w:marTop w:val="0"/>
              <w:marBottom w:val="0"/>
              <w:divBdr>
                <w:top w:val="none" w:sz="0" w:space="0" w:color="auto"/>
                <w:left w:val="none" w:sz="0" w:space="0" w:color="auto"/>
                <w:bottom w:val="none" w:sz="0" w:space="0" w:color="auto"/>
                <w:right w:val="none" w:sz="0" w:space="0" w:color="auto"/>
              </w:divBdr>
            </w:div>
            <w:div w:id="543061127">
              <w:marLeft w:val="0"/>
              <w:marRight w:val="0"/>
              <w:marTop w:val="0"/>
              <w:marBottom w:val="0"/>
              <w:divBdr>
                <w:top w:val="none" w:sz="0" w:space="0" w:color="auto"/>
                <w:left w:val="none" w:sz="0" w:space="0" w:color="auto"/>
                <w:bottom w:val="none" w:sz="0" w:space="0" w:color="auto"/>
                <w:right w:val="none" w:sz="0" w:space="0" w:color="auto"/>
              </w:divBdr>
            </w:div>
            <w:div w:id="987054090">
              <w:marLeft w:val="0"/>
              <w:marRight w:val="0"/>
              <w:marTop w:val="0"/>
              <w:marBottom w:val="0"/>
              <w:divBdr>
                <w:top w:val="none" w:sz="0" w:space="0" w:color="auto"/>
                <w:left w:val="none" w:sz="0" w:space="0" w:color="auto"/>
                <w:bottom w:val="none" w:sz="0" w:space="0" w:color="auto"/>
                <w:right w:val="none" w:sz="0" w:space="0" w:color="auto"/>
              </w:divBdr>
            </w:div>
            <w:div w:id="1341354226">
              <w:marLeft w:val="0"/>
              <w:marRight w:val="0"/>
              <w:marTop w:val="0"/>
              <w:marBottom w:val="0"/>
              <w:divBdr>
                <w:top w:val="none" w:sz="0" w:space="0" w:color="auto"/>
                <w:left w:val="none" w:sz="0" w:space="0" w:color="auto"/>
                <w:bottom w:val="none" w:sz="0" w:space="0" w:color="auto"/>
                <w:right w:val="none" w:sz="0" w:space="0" w:color="auto"/>
              </w:divBdr>
            </w:div>
            <w:div w:id="1550260513">
              <w:marLeft w:val="0"/>
              <w:marRight w:val="0"/>
              <w:marTop w:val="0"/>
              <w:marBottom w:val="0"/>
              <w:divBdr>
                <w:top w:val="none" w:sz="0" w:space="0" w:color="auto"/>
                <w:left w:val="none" w:sz="0" w:space="0" w:color="auto"/>
                <w:bottom w:val="none" w:sz="0" w:space="0" w:color="auto"/>
                <w:right w:val="none" w:sz="0" w:space="0" w:color="auto"/>
              </w:divBdr>
            </w:div>
            <w:div w:id="1576933284">
              <w:marLeft w:val="0"/>
              <w:marRight w:val="0"/>
              <w:marTop w:val="0"/>
              <w:marBottom w:val="0"/>
              <w:divBdr>
                <w:top w:val="none" w:sz="0" w:space="0" w:color="auto"/>
                <w:left w:val="none" w:sz="0" w:space="0" w:color="auto"/>
                <w:bottom w:val="none" w:sz="0" w:space="0" w:color="auto"/>
                <w:right w:val="none" w:sz="0" w:space="0" w:color="auto"/>
              </w:divBdr>
            </w:div>
            <w:div w:id="1622106786">
              <w:marLeft w:val="0"/>
              <w:marRight w:val="0"/>
              <w:marTop w:val="0"/>
              <w:marBottom w:val="0"/>
              <w:divBdr>
                <w:top w:val="none" w:sz="0" w:space="0" w:color="auto"/>
                <w:left w:val="none" w:sz="0" w:space="0" w:color="auto"/>
                <w:bottom w:val="none" w:sz="0" w:space="0" w:color="auto"/>
                <w:right w:val="none" w:sz="0" w:space="0" w:color="auto"/>
              </w:divBdr>
            </w:div>
            <w:div w:id="1669404552">
              <w:marLeft w:val="0"/>
              <w:marRight w:val="0"/>
              <w:marTop w:val="0"/>
              <w:marBottom w:val="0"/>
              <w:divBdr>
                <w:top w:val="none" w:sz="0" w:space="0" w:color="auto"/>
                <w:left w:val="none" w:sz="0" w:space="0" w:color="auto"/>
                <w:bottom w:val="none" w:sz="0" w:space="0" w:color="auto"/>
                <w:right w:val="none" w:sz="0" w:space="0" w:color="auto"/>
              </w:divBdr>
            </w:div>
          </w:divsChild>
        </w:div>
        <w:div w:id="124155473">
          <w:marLeft w:val="0"/>
          <w:marRight w:val="0"/>
          <w:marTop w:val="0"/>
          <w:marBottom w:val="0"/>
          <w:divBdr>
            <w:top w:val="none" w:sz="0" w:space="0" w:color="auto"/>
            <w:left w:val="none" w:sz="0" w:space="0" w:color="auto"/>
            <w:bottom w:val="none" w:sz="0" w:space="0" w:color="auto"/>
            <w:right w:val="none" w:sz="0" w:space="0" w:color="auto"/>
          </w:divBdr>
          <w:divsChild>
            <w:div w:id="200827358">
              <w:marLeft w:val="0"/>
              <w:marRight w:val="0"/>
              <w:marTop w:val="0"/>
              <w:marBottom w:val="0"/>
              <w:divBdr>
                <w:top w:val="none" w:sz="0" w:space="0" w:color="auto"/>
                <w:left w:val="none" w:sz="0" w:space="0" w:color="auto"/>
                <w:bottom w:val="none" w:sz="0" w:space="0" w:color="auto"/>
                <w:right w:val="none" w:sz="0" w:space="0" w:color="auto"/>
              </w:divBdr>
            </w:div>
            <w:div w:id="385375232">
              <w:marLeft w:val="0"/>
              <w:marRight w:val="0"/>
              <w:marTop w:val="0"/>
              <w:marBottom w:val="0"/>
              <w:divBdr>
                <w:top w:val="none" w:sz="0" w:space="0" w:color="auto"/>
                <w:left w:val="none" w:sz="0" w:space="0" w:color="auto"/>
                <w:bottom w:val="none" w:sz="0" w:space="0" w:color="auto"/>
                <w:right w:val="none" w:sz="0" w:space="0" w:color="auto"/>
              </w:divBdr>
            </w:div>
            <w:div w:id="389184423">
              <w:marLeft w:val="0"/>
              <w:marRight w:val="0"/>
              <w:marTop w:val="0"/>
              <w:marBottom w:val="0"/>
              <w:divBdr>
                <w:top w:val="none" w:sz="0" w:space="0" w:color="auto"/>
                <w:left w:val="none" w:sz="0" w:space="0" w:color="auto"/>
                <w:bottom w:val="none" w:sz="0" w:space="0" w:color="auto"/>
                <w:right w:val="none" w:sz="0" w:space="0" w:color="auto"/>
              </w:divBdr>
            </w:div>
            <w:div w:id="479611628">
              <w:marLeft w:val="0"/>
              <w:marRight w:val="0"/>
              <w:marTop w:val="0"/>
              <w:marBottom w:val="0"/>
              <w:divBdr>
                <w:top w:val="none" w:sz="0" w:space="0" w:color="auto"/>
                <w:left w:val="none" w:sz="0" w:space="0" w:color="auto"/>
                <w:bottom w:val="none" w:sz="0" w:space="0" w:color="auto"/>
                <w:right w:val="none" w:sz="0" w:space="0" w:color="auto"/>
              </w:divBdr>
            </w:div>
            <w:div w:id="499852296">
              <w:marLeft w:val="0"/>
              <w:marRight w:val="0"/>
              <w:marTop w:val="0"/>
              <w:marBottom w:val="0"/>
              <w:divBdr>
                <w:top w:val="none" w:sz="0" w:space="0" w:color="auto"/>
                <w:left w:val="none" w:sz="0" w:space="0" w:color="auto"/>
                <w:bottom w:val="none" w:sz="0" w:space="0" w:color="auto"/>
                <w:right w:val="none" w:sz="0" w:space="0" w:color="auto"/>
              </w:divBdr>
            </w:div>
            <w:div w:id="546602779">
              <w:marLeft w:val="0"/>
              <w:marRight w:val="0"/>
              <w:marTop w:val="0"/>
              <w:marBottom w:val="0"/>
              <w:divBdr>
                <w:top w:val="none" w:sz="0" w:space="0" w:color="auto"/>
                <w:left w:val="none" w:sz="0" w:space="0" w:color="auto"/>
                <w:bottom w:val="none" w:sz="0" w:space="0" w:color="auto"/>
                <w:right w:val="none" w:sz="0" w:space="0" w:color="auto"/>
              </w:divBdr>
            </w:div>
            <w:div w:id="797793675">
              <w:marLeft w:val="0"/>
              <w:marRight w:val="0"/>
              <w:marTop w:val="0"/>
              <w:marBottom w:val="0"/>
              <w:divBdr>
                <w:top w:val="none" w:sz="0" w:space="0" w:color="auto"/>
                <w:left w:val="none" w:sz="0" w:space="0" w:color="auto"/>
                <w:bottom w:val="none" w:sz="0" w:space="0" w:color="auto"/>
                <w:right w:val="none" w:sz="0" w:space="0" w:color="auto"/>
              </w:divBdr>
            </w:div>
            <w:div w:id="876158538">
              <w:marLeft w:val="0"/>
              <w:marRight w:val="0"/>
              <w:marTop w:val="0"/>
              <w:marBottom w:val="0"/>
              <w:divBdr>
                <w:top w:val="none" w:sz="0" w:space="0" w:color="auto"/>
                <w:left w:val="none" w:sz="0" w:space="0" w:color="auto"/>
                <w:bottom w:val="none" w:sz="0" w:space="0" w:color="auto"/>
                <w:right w:val="none" w:sz="0" w:space="0" w:color="auto"/>
              </w:divBdr>
            </w:div>
            <w:div w:id="927617373">
              <w:marLeft w:val="0"/>
              <w:marRight w:val="0"/>
              <w:marTop w:val="0"/>
              <w:marBottom w:val="0"/>
              <w:divBdr>
                <w:top w:val="none" w:sz="0" w:space="0" w:color="auto"/>
                <w:left w:val="none" w:sz="0" w:space="0" w:color="auto"/>
                <w:bottom w:val="none" w:sz="0" w:space="0" w:color="auto"/>
                <w:right w:val="none" w:sz="0" w:space="0" w:color="auto"/>
              </w:divBdr>
            </w:div>
            <w:div w:id="1041973678">
              <w:marLeft w:val="0"/>
              <w:marRight w:val="0"/>
              <w:marTop w:val="0"/>
              <w:marBottom w:val="0"/>
              <w:divBdr>
                <w:top w:val="none" w:sz="0" w:space="0" w:color="auto"/>
                <w:left w:val="none" w:sz="0" w:space="0" w:color="auto"/>
                <w:bottom w:val="none" w:sz="0" w:space="0" w:color="auto"/>
                <w:right w:val="none" w:sz="0" w:space="0" w:color="auto"/>
              </w:divBdr>
            </w:div>
            <w:div w:id="1099333204">
              <w:marLeft w:val="0"/>
              <w:marRight w:val="0"/>
              <w:marTop w:val="0"/>
              <w:marBottom w:val="0"/>
              <w:divBdr>
                <w:top w:val="none" w:sz="0" w:space="0" w:color="auto"/>
                <w:left w:val="none" w:sz="0" w:space="0" w:color="auto"/>
                <w:bottom w:val="none" w:sz="0" w:space="0" w:color="auto"/>
                <w:right w:val="none" w:sz="0" w:space="0" w:color="auto"/>
              </w:divBdr>
            </w:div>
            <w:div w:id="1246378828">
              <w:marLeft w:val="0"/>
              <w:marRight w:val="0"/>
              <w:marTop w:val="0"/>
              <w:marBottom w:val="0"/>
              <w:divBdr>
                <w:top w:val="none" w:sz="0" w:space="0" w:color="auto"/>
                <w:left w:val="none" w:sz="0" w:space="0" w:color="auto"/>
                <w:bottom w:val="none" w:sz="0" w:space="0" w:color="auto"/>
                <w:right w:val="none" w:sz="0" w:space="0" w:color="auto"/>
              </w:divBdr>
            </w:div>
            <w:div w:id="1291286162">
              <w:marLeft w:val="0"/>
              <w:marRight w:val="0"/>
              <w:marTop w:val="0"/>
              <w:marBottom w:val="0"/>
              <w:divBdr>
                <w:top w:val="none" w:sz="0" w:space="0" w:color="auto"/>
                <w:left w:val="none" w:sz="0" w:space="0" w:color="auto"/>
                <w:bottom w:val="none" w:sz="0" w:space="0" w:color="auto"/>
                <w:right w:val="none" w:sz="0" w:space="0" w:color="auto"/>
              </w:divBdr>
            </w:div>
            <w:div w:id="1465658705">
              <w:marLeft w:val="0"/>
              <w:marRight w:val="0"/>
              <w:marTop w:val="0"/>
              <w:marBottom w:val="0"/>
              <w:divBdr>
                <w:top w:val="none" w:sz="0" w:space="0" w:color="auto"/>
                <w:left w:val="none" w:sz="0" w:space="0" w:color="auto"/>
                <w:bottom w:val="none" w:sz="0" w:space="0" w:color="auto"/>
                <w:right w:val="none" w:sz="0" w:space="0" w:color="auto"/>
              </w:divBdr>
            </w:div>
            <w:div w:id="1612662834">
              <w:marLeft w:val="0"/>
              <w:marRight w:val="0"/>
              <w:marTop w:val="0"/>
              <w:marBottom w:val="0"/>
              <w:divBdr>
                <w:top w:val="none" w:sz="0" w:space="0" w:color="auto"/>
                <w:left w:val="none" w:sz="0" w:space="0" w:color="auto"/>
                <w:bottom w:val="none" w:sz="0" w:space="0" w:color="auto"/>
                <w:right w:val="none" w:sz="0" w:space="0" w:color="auto"/>
              </w:divBdr>
            </w:div>
            <w:div w:id="1910339127">
              <w:marLeft w:val="0"/>
              <w:marRight w:val="0"/>
              <w:marTop w:val="0"/>
              <w:marBottom w:val="0"/>
              <w:divBdr>
                <w:top w:val="none" w:sz="0" w:space="0" w:color="auto"/>
                <w:left w:val="none" w:sz="0" w:space="0" w:color="auto"/>
                <w:bottom w:val="none" w:sz="0" w:space="0" w:color="auto"/>
                <w:right w:val="none" w:sz="0" w:space="0" w:color="auto"/>
              </w:divBdr>
            </w:div>
            <w:div w:id="1944409889">
              <w:marLeft w:val="0"/>
              <w:marRight w:val="0"/>
              <w:marTop w:val="0"/>
              <w:marBottom w:val="0"/>
              <w:divBdr>
                <w:top w:val="none" w:sz="0" w:space="0" w:color="auto"/>
                <w:left w:val="none" w:sz="0" w:space="0" w:color="auto"/>
                <w:bottom w:val="none" w:sz="0" w:space="0" w:color="auto"/>
                <w:right w:val="none" w:sz="0" w:space="0" w:color="auto"/>
              </w:divBdr>
            </w:div>
            <w:div w:id="1946229843">
              <w:marLeft w:val="0"/>
              <w:marRight w:val="0"/>
              <w:marTop w:val="0"/>
              <w:marBottom w:val="0"/>
              <w:divBdr>
                <w:top w:val="none" w:sz="0" w:space="0" w:color="auto"/>
                <w:left w:val="none" w:sz="0" w:space="0" w:color="auto"/>
                <w:bottom w:val="none" w:sz="0" w:space="0" w:color="auto"/>
                <w:right w:val="none" w:sz="0" w:space="0" w:color="auto"/>
              </w:divBdr>
            </w:div>
            <w:div w:id="206826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893776">
      <w:bodyDiv w:val="1"/>
      <w:marLeft w:val="0"/>
      <w:marRight w:val="0"/>
      <w:marTop w:val="0"/>
      <w:marBottom w:val="0"/>
      <w:divBdr>
        <w:top w:val="none" w:sz="0" w:space="0" w:color="auto"/>
        <w:left w:val="none" w:sz="0" w:space="0" w:color="auto"/>
        <w:bottom w:val="none" w:sz="0" w:space="0" w:color="auto"/>
        <w:right w:val="none" w:sz="0" w:space="0" w:color="auto"/>
      </w:divBdr>
    </w:div>
    <w:div w:id="1266690384">
      <w:bodyDiv w:val="1"/>
      <w:marLeft w:val="0"/>
      <w:marRight w:val="0"/>
      <w:marTop w:val="0"/>
      <w:marBottom w:val="0"/>
      <w:divBdr>
        <w:top w:val="none" w:sz="0" w:space="0" w:color="auto"/>
        <w:left w:val="none" w:sz="0" w:space="0" w:color="auto"/>
        <w:bottom w:val="none" w:sz="0" w:space="0" w:color="auto"/>
        <w:right w:val="none" w:sz="0" w:space="0" w:color="auto"/>
      </w:divBdr>
    </w:div>
    <w:div w:id="1268391145">
      <w:bodyDiv w:val="1"/>
      <w:marLeft w:val="0"/>
      <w:marRight w:val="0"/>
      <w:marTop w:val="0"/>
      <w:marBottom w:val="0"/>
      <w:divBdr>
        <w:top w:val="none" w:sz="0" w:space="0" w:color="auto"/>
        <w:left w:val="none" w:sz="0" w:space="0" w:color="auto"/>
        <w:bottom w:val="none" w:sz="0" w:space="0" w:color="auto"/>
        <w:right w:val="none" w:sz="0" w:space="0" w:color="auto"/>
      </w:divBdr>
    </w:div>
    <w:div w:id="1276668409">
      <w:bodyDiv w:val="1"/>
      <w:marLeft w:val="0"/>
      <w:marRight w:val="0"/>
      <w:marTop w:val="0"/>
      <w:marBottom w:val="0"/>
      <w:divBdr>
        <w:top w:val="none" w:sz="0" w:space="0" w:color="auto"/>
        <w:left w:val="none" w:sz="0" w:space="0" w:color="auto"/>
        <w:bottom w:val="none" w:sz="0" w:space="0" w:color="auto"/>
        <w:right w:val="none" w:sz="0" w:space="0" w:color="auto"/>
      </w:divBdr>
    </w:div>
    <w:div w:id="1344278267">
      <w:bodyDiv w:val="1"/>
      <w:marLeft w:val="0"/>
      <w:marRight w:val="0"/>
      <w:marTop w:val="0"/>
      <w:marBottom w:val="0"/>
      <w:divBdr>
        <w:top w:val="none" w:sz="0" w:space="0" w:color="auto"/>
        <w:left w:val="none" w:sz="0" w:space="0" w:color="auto"/>
        <w:bottom w:val="none" w:sz="0" w:space="0" w:color="auto"/>
        <w:right w:val="none" w:sz="0" w:space="0" w:color="auto"/>
      </w:divBdr>
    </w:div>
    <w:div w:id="1345747837">
      <w:bodyDiv w:val="1"/>
      <w:marLeft w:val="0"/>
      <w:marRight w:val="0"/>
      <w:marTop w:val="0"/>
      <w:marBottom w:val="0"/>
      <w:divBdr>
        <w:top w:val="none" w:sz="0" w:space="0" w:color="auto"/>
        <w:left w:val="none" w:sz="0" w:space="0" w:color="auto"/>
        <w:bottom w:val="none" w:sz="0" w:space="0" w:color="auto"/>
        <w:right w:val="none" w:sz="0" w:space="0" w:color="auto"/>
      </w:divBdr>
    </w:div>
    <w:div w:id="1348404148">
      <w:bodyDiv w:val="1"/>
      <w:marLeft w:val="0"/>
      <w:marRight w:val="0"/>
      <w:marTop w:val="0"/>
      <w:marBottom w:val="0"/>
      <w:divBdr>
        <w:top w:val="none" w:sz="0" w:space="0" w:color="auto"/>
        <w:left w:val="none" w:sz="0" w:space="0" w:color="auto"/>
        <w:bottom w:val="none" w:sz="0" w:space="0" w:color="auto"/>
        <w:right w:val="none" w:sz="0" w:space="0" w:color="auto"/>
      </w:divBdr>
    </w:div>
    <w:div w:id="1352293655">
      <w:bodyDiv w:val="1"/>
      <w:marLeft w:val="0"/>
      <w:marRight w:val="0"/>
      <w:marTop w:val="0"/>
      <w:marBottom w:val="0"/>
      <w:divBdr>
        <w:top w:val="none" w:sz="0" w:space="0" w:color="auto"/>
        <w:left w:val="none" w:sz="0" w:space="0" w:color="auto"/>
        <w:bottom w:val="none" w:sz="0" w:space="0" w:color="auto"/>
        <w:right w:val="none" w:sz="0" w:space="0" w:color="auto"/>
      </w:divBdr>
    </w:div>
    <w:div w:id="1362971242">
      <w:bodyDiv w:val="1"/>
      <w:marLeft w:val="0"/>
      <w:marRight w:val="0"/>
      <w:marTop w:val="0"/>
      <w:marBottom w:val="0"/>
      <w:divBdr>
        <w:top w:val="none" w:sz="0" w:space="0" w:color="auto"/>
        <w:left w:val="none" w:sz="0" w:space="0" w:color="auto"/>
        <w:bottom w:val="none" w:sz="0" w:space="0" w:color="auto"/>
        <w:right w:val="none" w:sz="0" w:space="0" w:color="auto"/>
      </w:divBdr>
    </w:div>
    <w:div w:id="1376078553">
      <w:bodyDiv w:val="1"/>
      <w:marLeft w:val="0"/>
      <w:marRight w:val="0"/>
      <w:marTop w:val="0"/>
      <w:marBottom w:val="0"/>
      <w:divBdr>
        <w:top w:val="none" w:sz="0" w:space="0" w:color="auto"/>
        <w:left w:val="none" w:sz="0" w:space="0" w:color="auto"/>
        <w:bottom w:val="none" w:sz="0" w:space="0" w:color="auto"/>
        <w:right w:val="none" w:sz="0" w:space="0" w:color="auto"/>
      </w:divBdr>
    </w:div>
    <w:div w:id="1408769900">
      <w:bodyDiv w:val="1"/>
      <w:marLeft w:val="0"/>
      <w:marRight w:val="0"/>
      <w:marTop w:val="0"/>
      <w:marBottom w:val="0"/>
      <w:divBdr>
        <w:top w:val="none" w:sz="0" w:space="0" w:color="auto"/>
        <w:left w:val="none" w:sz="0" w:space="0" w:color="auto"/>
        <w:bottom w:val="none" w:sz="0" w:space="0" w:color="auto"/>
        <w:right w:val="none" w:sz="0" w:space="0" w:color="auto"/>
      </w:divBdr>
    </w:div>
    <w:div w:id="1409108888">
      <w:bodyDiv w:val="1"/>
      <w:marLeft w:val="0"/>
      <w:marRight w:val="0"/>
      <w:marTop w:val="0"/>
      <w:marBottom w:val="0"/>
      <w:divBdr>
        <w:top w:val="none" w:sz="0" w:space="0" w:color="auto"/>
        <w:left w:val="none" w:sz="0" w:space="0" w:color="auto"/>
        <w:bottom w:val="none" w:sz="0" w:space="0" w:color="auto"/>
        <w:right w:val="none" w:sz="0" w:space="0" w:color="auto"/>
      </w:divBdr>
    </w:div>
    <w:div w:id="1422095569">
      <w:bodyDiv w:val="1"/>
      <w:marLeft w:val="0"/>
      <w:marRight w:val="0"/>
      <w:marTop w:val="0"/>
      <w:marBottom w:val="0"/>
      <w:divBdr>
        <w:top w:val="none" w:sz="0" w:space="0" w:color="auto"/>
        <w:left w:val="none" w:sz="0" w:space="0" w:color="auto"/>
        <w:bottom w:val="none" w:sz="0" w:space="0" w:color="auto"/>
        <w:right w:val="none" w:sz="0" w:space="0" w:color="auto"/>
      </w:divBdr>
    </w:div>
    <w:div w:id="1430082681">
      <w:bodyDiv w:val="1"/>
      <w:marLeft w:val="0"/>
      <w:marRight w:val="0"/>
      <w:marTop w:val="0"/>
      <w:marBottom w:val="0"/>
      <w:divBdr>
        <w:top w:val="none" w:sz="0" w:space="0" w:color="auto"/>
        <w:left w:val="none" w:sz="0" w:space="0" w:color="auto"/>
        <w:bottom w:val="none" w:sz="0" w:space="0" w:color="auto"/>
        <w:right w:val="none" w:sz="0" w:space="0" w:color="auto"/>
      </w:divBdr>
    </w:div>
    <w:div w:id="1434787710">
      <w:bodyDiv w:val="1"/>
      <w:marLeft w:val="0"/>
      <w:marRight w:val="0"/>
      <w:marTop w:val="0"/>
      <w:marBottom w:val="0"/>
      <w:divBdr>
        <w:top w:val="none" w:sz="0" w:space="0" w:color="auto"/>
        <w:left w:val="none" w:sz="0" w:space="0" w:color="auto"/>
        <w:bottom w:val="none" w:sz="0" w:space="0" w:color="auto"/>
        <w:right w:val="none" w:sz="0" w:space="0" w:color="auto"/>
      </w:divBdr>
    </w:div>
    <w:div w:id="1438214639">
      <w:bodyDiv w:val="1"/>
      <w:marLeft w:val="0"/>
      <w:marRight w:val="0"/>
      <w:marTop w:val="0"/>
      <w:marBottom w:val="0"/>
      <w:divBdr>
        <w:top w:val="none" w:sz="0" w:space="0" w:color="auto"/>
        <w:left w:val="none" w:sz="0" w:space="0" w:color="auto"/>
        <w:bottom w:val="none" w:sz="0" w:space="0" w:color="auto"/>
        <w:right w:val="none" w:sz="0" w:space="0" w:color="auto"/>
      </w:divBdr>
    </w:div>
    <w:div w:id="1446195730">
      <w:bodyDiv w:val="1"/>
      <w:marLeft w:val="0"/>
      <w:marRight w:val="0"/>
      <w:marTop w:val="0"/>
      <w:marBottom w:val="0"/>
      <w:divBdr>
        <w:top w:val="none" w:sz="0" w:space="0" w:color="auto"/>
        <w:left w:val="none" w:sz="0" w:space="0" w:color="auto"/>
        <w:bottom w:val="none" w:sz="0" w:space="0" w:color="auto"/>
        <w:right w:val="none" w:sz="0" w:space="0" w:color="auto"/>
      </w:divBdr>
    </w:div>
    <w:div w:id="1450737634">
      <w:bodyDiv w:val="1"/>
      <w:marLeft w:val="0"/>
      <w:marRight w:val="0"/>
      <w:marTop w:val="0"/>
      <w:marBottom w:val="0"/>
      <w:divBdr>
        <w:top w:val="none" w:sz="0" w:space="0" w:color="auto"/>
        <w:left w:val="none" w:sz="0" w:space="0" w:color="auto"/>
        <w:bottom w:val="none" w:sz="0" w:space="0" w:color="auto"/>
        <w:right w:val="none" w:sz="0" w:space="0" w:color="auto"/>
      </w:divBdr>
    </w:div>
    <w:div w:id="1462377721">
      <w:bodyDiv w:val="1"/>
      <w:marLeft w:val="0"/>
      <w:marRight w:val="0"/>
      <w:marTop w:val="0"/>
      <w:marBottom w:val="0"/>
      <w:divBdr>
        <w:top w:val="none" w:sz="0" w:space="0" w:color="auto"/>
        <w:left w:val="none" w:sz="0" w:space="0" w:color="auto"/>
        <w:bottom w:val="none" w:sz="0" w:space="0" w:color="auto"/>
        <w:right w:val="none" w:sz="0" w:space="0" w:color="auto"/>
      </w:divBdr>
    </w:div>
    <w:div w:id="1469712880">
      <w:bodyDiv w:val="1"/>
      <w:marLeft w:val="0"/>
      <w:marRight w:val="0"/>
      <w:marTop w:val="0"/>
      <w:marBottom w:val="0"/>
      <w:divBdr>
        <w:top w:val="none" w:sz="0" w:space="0" w:color="auto"/>
        <w:left w:val="none" w:sz="0" w:space="0" w:color="auto"/>
        <w:bottom w:val="none" w:sz="0" w:space="0" w:color="auto"/>
        <w:right w:val="none" w:sz="0" w:space="0" w:color="auto"/>
      </w:divBdr>
    </w:div>
    <w:div w:id="1485242860">
      <w:bodyDiv w:val="1"/>
      <w:marLeft w:val="0"/>
      <w:marRight w:val="0"/>
      <w:marTop w:val="0"/>
      <w:marBottom w:val="0"/>
      <w:divBdr>
        <w:top w:val="none" w:sz="0" w:space="0" w:color="auto"/>
        <w:left w:val="none" w:sz="0" w:space="0" w:color="auto"/>
        <w:bottom w:val="none" w:sz="0" w:space="0" w:color="auto"/>
        <w:right w:val="none" w:sz="0" w:space="0" w:color="auto"/>
      </w:divBdr>
    </w:div>
    <w:div w:id="1488128717">
      <w:bodyDiv w:val="1"/>
      <w:marLeft w:val="0"/>
      <w:marRight w:val="0"/>
      <w:marTop w:val="0"/>
      <w:marBottom w:val="0"/>
      <w:divBdr>
        <w:top w:val="none" w:sz="0" w:space="0" w:color="auto"/>
        <w:left w:val="none" w:sz="0" w:space="0" w:color="auto"/>
        <w:bottom w:val="none" w:sz="0" w:space="0" w:color="auto"/>
        <w:right w:val="none" w:sz="0" w:space="0" w:color="auto"/>
      </w:divBdr>
    </w:div>
    <w:div w:id="1492520082">
      <w:bodyDiv w:val="1"/>
      <w:marLeft w:val="0"/>
      <w:marRight w:val="0"/>
      <w:marTop w:val="0"/>
      <w:marBottom w:val="0"/>
      <w:divBdr>
        <w:top w:val="none" w:sz="0" w:space="0" w:color="auto"/>
        <w:left w:val="none" w:sz="0" w:space="0" w:color="auto"/>
        <w:bottom w:val="none" w:sz="0" w:space="0" w:color="auto"/>
        <w:right w:val="none" w:sz="0" w:space="0" w:color="auto"/>
      </w:divBdr>
    </w:div>
    <w:div w:id="1503817742">
      <w:bodyDiv w:val="1"/>
      <w:marLeft w:val="0"/>
      <w:marRight w:val="0"/>
      <w:marTop w:val="0"/>
      <w:marBottom w:val="0"/>
      <w:divBdr>
        <w:top w:val="none" w:sz="0" w:space="0" w:color="auto"/>
        <w:left w:val="none" w:sz="0" w:space="0" w:color="auto"/>
        <w:bottom w:val="none" w:sz="0" w:space="0" w:color="auto"/>
        <w:right w:val="none" w:sz="0" w:space="0" w:color="auto"/>
      </w:divBdr>
    </w:div>
    <w:div w:id="1507134107">
      <w:bodyDiv w:val="1"/>
      <w:marLeft w:val="0"/>
      <w:marRight w:val="0"/>
      <w:marTop w:val="0"/>
      <w:marBottom w:val="0"/>
      <w:divBdr>
        <w:top w:val="none" w:sz="0" w:space="0" w:color="auto"/>
        <w:left w:val="none" w:sz="0" w:space="0" w:color="auto"/>
        <w:bottom w:val="none" w:sz="0" w:space="0" w:color="auto"/>
        <w:right w:val="none" w:sz="0" w:space="0" w:color="auto"/>
      </w:divBdr>
    </w:div>
    <w:div w:id="1531065071">
      <w:bodyDiv w:val="1"/>
      <w:marLeft w:val="0"/>
      <w:marRight w:val="0"/>
      <w:marTop w:val="0"/>
      <w:marBottom w:val="0"/>
      <w:divBdr>
        <w:top w:val="none" w:sz="0" w:space="0" w:color="auto"/>
        <w:left w:val="none" w:sz="0" w:space="0" w:color="auto"/>
        <w:bottom w:val="none" w:sz="0" w:space="0" w:color="auto"/>
        <w:right w:val="none" w:sz="0" w:space="0" w:color="auto"/>
      </w:divBdr>
    </w:div>
    <w:div w:id="1565943701">
      <w:bodyDiv w:val="1"/>
      <w:marLeft w:val="0"/>
      <w:marRight w:val="0"/>
      <w:marTop w:val="0"/>
      <w:marBottom w:val="0"/>
      <w:divBdr>
        <w:top w:val="none" w:sz="0" w:space="0" w:color="auto"/>
        <w:left w:val="none" w:sz="0" w:space="0" w:color="auto"/>
        <w:bottom w:val="none" w:sz="0" w:space="0" w:color="auto"/>
        <w:right w:val="none" w:sz="0" w:space="0" w:color="auto"/>
      </w:divBdr>
    </w:div>
    <w:div w:id="1577979328">
      <w:bodyDiv w:val="1"/>
      <w:marLeft w:val="0"/>
      <w:marRight w:val="0"/>
      <w:marTop w:val="0"/>
      <w:marBottom w:val="0"/>
      <w:divBdr>
        <w:top w:val="none" w:sz="0" w:space="0" w:color="auto"/>
        <w:left w:val="none" w:sz="0" w:space="0" w:color="auto"/>
        <w:bottom w:val="none" w:sz="0" w:space="0" w:color="auto"/>
        <w:right w:val="none" w:sz="0" w:space="0" w:color="auto"/>
      </w:divBdr>
    </w:div>
    <w:div w:id="1588340124">
      <w:bodyDiv w:val="1"/>
      <w:marLeft w:val="0"/>
      <w:marRight w:val="0"/>
      <w:marTop w:val="0"/>
      <w:marBottom w:val="0"/>
      <w:divBdr>
        <w:top w:val="none" w:sz="0" w:space="0" w:color="auto"/>
        <w:left w:val="none" w:sz="0" w:space="0" w:color="auto"/>
        <w:bottom w:val="none" w:sz="0" w:space="0" w:color="auto"/>
        <w:right w:val="none" w:sz="0" w:space="0" w:color="auto"/>
      </w:divBdr>
    </w:div>
    <w:div w:id="1589656422">
      <w:bodyDiv w:val="1"/>
      <w:marLeft w:val="0"/>
      <w:marRight w:val="0"/>
      <w:marTop w:val="0"/>
      <w:marBottom w:val="0"/>
      <w:divBdr>
        <w:top w:val="none" w:sz="0" w:space="0" w:color="auto"/>
        <w:left w:val="none" w:sz="0" w:space="0" w:color="auto"/>
        <w:bottom w:val="none" w:sz="0" w:space="0" w:color="auto"/>
        <w:right w:val="none" w:sz="0" w:space="0" w:color="auto"/>
      </w:divBdr>
    </w:div>
    <w:div w:id="1621452372">
      <w:bodyDiv w:val="1"/>
      <w:marLeft w:val="0"/>
      <w:marRight w:val="0"/>
      <w:marTop w:val="0"/>
      <w:marBottom w:val="0"/>
      <w:divBdr>
        <w:top w:val="none" w:sz="0" w:space="0" w:color="auto"/>
        <w:left w:val="none" w:sz="0" w:space="0" w:color="auto"/>
        <w:bottom w:val="none" w:sz="0" w:space="0" w:color="auto"/>
        <w:right w:val="none" w:sz="0" w:space="0" w:color="auto"/>
      </w:divBdr>
    </w:div>
    <w:div w:id="1633362314">
      <w:bodyDiv w:val="1"/>
      <w:marLeft w:val="0"/>
      <w:marRight w:val="0"/>
      <w:marTop w:val="0"/>
      <w:marBottom w:val="0"/>
      <w:divBdr>
        <w:top w:val="none" w:sz="0" w:space="0" w:color="auto"/>
        <w:left w:val="none" w:sz="0" w:space="0" w:color="auto"/>
        <w:bottom w:val="none" w:sz="0" w:space="0" w:color="auto"/>
        <w:right w:val="none" w:sz="0" w:space="0" w:color="auto"/>
      </w:divBdr>
    </w:div>
    <w:div w:id="1638758846">
      <w:bodyDiv w:val="1"/>
      <w:marLeft w:val="0"/>
      <w:marRight w:val="0"/>
      <w:marTop w:val="0"/>
      <w:marBottom w:val="0"/>
      <w:divBdr>
        <w:top w:val="none" w:sz="0" w:space="0" w:color="auto"/>
        <w:left w:val="none" w:sz="0" w:space="0" w:color="auto"/>
        <w:bottom w:val="none" w:sz="0" w:space="0" w:color="auto"/>
        <w:right w:val="none" w:sz="0" w:space="0" w:color="auto"/>
      </w:divBdr>
    </w:div>
    <w:div w:id="1647852299">
      <w:bodyDiv w:val="1"/>
      <w:marLeft w:val="0"/>
      <w:marRight w:val="0"/>
      <w:marTop w:val="0"/>
      <w:marBottom w:val="0"/>
      <w:divBdr>
        <w:top w:val="none" w:sz="0" w:space="0" w:color="auto"/>
        <w:left w:val="none" w:sz="0" w:space="0" w:color="auto"/>
        <w:bottom w:val="none" w:sz="0" w:space="0" w:color="auto"/>
        <w:right w:val="none" w:sz="0" w:space="0" w:color="auto"/>
      </w:divBdr>
    </w:div>
    <w:div w:id="1662199617">
      <w:bodyDiv w:val="1"/>
      <w:marLeft w:val="0"/>
      <w:marRight w:val="0"/>
      <w:marTop w:val="0"/>
      <w:marBottom w:val="0"/>
      <w:divBdr>
        <w:top w:val="none" w:sz="0" w:space="0" w:color="auto"/>
        <w:left w:val="none" w:sz="0" w:space="0" w:color="auto"/>
        <w:bottom w:val="none" w:sz="0" w:space="0" w:color="auto"/>
        <w:right w:val="none" w:sz="0" w:space="0" w:color="auto"/>
      </w:divBdr>
    </w:div>
    <w:div w:id="1678577254">
      <w:bodyDiv w:val="1"/>
      <w:marLeft w:val="0"/>
      <w:marRight w:val="0"/>
      <w:marTop w:val="0"/>
      <w:marBottom w:val="0"/>
      <w:divBdr>
        <w:top w:val="none" w:sz="0" w:space="0" w:color="auto"/>
        <w:left w:val="none" w:sz="0" w:space="0" w:color="auto"/>
        <w:bottom w:val="none" w:sz="0" w:space="0" w:color="auto"/>
        <w:right w:val="none" w:sz="0" w:space="0" w:color="auto"/>
      </w:divBdr>
    </w:div>
    <w:div w:id="1679192083">
      <w:bodyDiv w:val="1"/>
      <w:marLeft w:val="0"/>
      <w:marRight w:val="0"/>
      <w:marTop w:val="0"/>
      <w:marBottom w:val="0"/>
      <w:divBdr>
        <w:top w:val="none" w:sz="0" w:space="0" w:color="auto"/>
        <w:left w:val="none" w:sz="0" w:space="0" w:color="auto"/>
        <w:bottom w:val="none" w:sz="0" w:space="0" w:color="auto"/>
        <w:right w:val="none" w:sz="0" w:space="0" w:color="auto"/>
      </w:divBdr>
    </w:div>
    <w:div w:id="1708994024">
      <w:bodyDiv w:val="1"/>
      <w:marLeft w:val="0"/>
      <w:marRight w:val="0"/>
      <w:marTop w:val="0"/>
      <w:marBottom w:val="0"/>
      <w:divBdr>
        <w:top w:val="none" w:sz="0" w:space="0" w:color="auto"/>
        <w:left w:val="none" w:sz="0" w:space="0" w:color="auto"/>
        <w:bottom w:val="none" w:sz="0" w:space="0" w:color="auto"/>
        <w:right w:val="none" w:sz="0" w:space="0" w:color="auto"/>
      </w:divBdr>
    </w:div>
    <w:div w:id="1711832384">
      <w:bodyDiv w:val="1"/>
      <w:marLeft w:val="0"/>
      <w:marRight w:val="0"/>
      <w:marTop w:val="0"/>
      <w:marBottom w:val="0"/>
      <w:divBdr>
        <w:top w:val="none" w:sz="0" w:space="0" w:color="auto"/>
        <w:left w:val="none" w:sz="0" w:space="0" w:color="auto"/>
        <w:bottom w:val="none" w:sz="0" w:space="0" w:color="auto"/>
        <w:right w:val="none" w:sz="0" w:space="0" w:color="auto"/>
      </w:divBdr>
    </w:div>
    <w:div w:id="1719014378">
      <w:bodyDiv w:val="1"/>
      <w:marLeft w:val="0"/>
      <w:marRight w:val="0"/>
      <w:marTop w:val="0"/>
      <w:marBottom w:val="0"/>
      <w:divBdr>
        <w:top w:val="none" w:sz="0" w:space="0" w:color="auto"/>
        <w:left w:val="none" w:sz="0" w:space="0" w:color="auto"/>
        <w:bottom w:val="none" w:sz="0" w:space="0" w:color="auto"/>
        <w:right w:val="none" w:sz="0" w:space="0" w:color="auto"/>
      </w:divBdr>
    </w:div>
    <w:div w:id="1728409379">
      <w:bodyDiv w:val="1"/>
      <w:marLeft w:val="0"/>
      <w:marRight w:val="0"/>
      <w:marTop w:val="0"/>
      <w:marBottom w:val="0"/>
      <w:divBdr>
        <w:top w:val="none" w:sz="0" w:space="0" w:color="auto"/>
        <w:left w:val="none" w:sz="0" w:space="0" w:color="auto"/>
        <w:bottom w:val="none" w:sz="0" w:space="0" w:color="auto"/>
        <w:right w:val="none" w:sz="0" w:space="0" w:color="auto"/>
      </w:divBdr>
    </w:div>
    <w:div w:id="1729693298">
      <w:bodyDiv w:val="1"/>
      <w:marLeft w:val="0"/>
      <w:marRight w:val="0"/>
      <w:marTop w:val="0"/>
      <w:marBottom w:val="0"/>
      <w:divBdr>
        <w:top w:val="none" w:sz="0" w:space="0" w:color="auto"/>
        <w:left w:val="none" w:sz="0" w:space="0" w:color="auto"/>
        <w:bottom w:val="none" w:sz="0" w:space="0" w:color="auto"/>
        <w:right w:val="none" w:sz="0" w:space="0" w:color="auto"/>
      </w:divBdr>
    </w:div>
    <w:div w:id="1766149479">
      <w:bodyDiv w:val="1"/>
      <w:marLeft w:val="0"/>
      <w:marRight w:val="0"/>
      <w:marTop w:val="0"/>
      <w:marBottom w:val="0"/>
      <w:divBdr>
        <w:top w:val="none" w:sz="0" w:space="0" w:color="auto"/>
        <w:left w:val="none" w:sz="0" w:space="0" w:color="auto"/>
        <w:bottom w:val="none" w:sz="0" w:space="0" w:color="auto"/>
        <w:right w:val="none" w:sz="0" w:space="0" w:color="auto"/>
      </w:divBdr>
    </w:div>
    <w:div w:id="1778283845">
      <w:bodyDiv w:val="1"/>
      <w:marLeft w:val="0"/>
      <w:marRight w:val="0"/>
      <w:marTop w:val="0"/>
      <w:marBottom w:val="0"/>
      <w:divBdr>
        <w:top w:val="none" w:sz="0" w:space="0" w:color="auto"/>
        <w:left w:val="none" w:sz="0" w:space="0" w:color="auto"/>
        <w:bottom w:val="none" w:sz="0" w:space="0" w:color="auto"/>
        <w:right w:val="none" w:sz="0" w:space="0" w:color="auto"/>
      </w:divBdr>
      <w:divsChild>
        <w:div w:id="1441296124">
          <w:marLeft w:val="0"/>
          <w:marRight w:val="0"/>
          <w:marTop w:val="0"/>
          <w:marBottom w:val="0"/>
          <w:divBdr>
            <w:top w:val="none" w:sz="0" w:space="0" w:color="auto"/>
            <w:left w:val="none" w:sz="0" w:space="0" w:color="auto"/>
            <w:bottom w:val="none" w:sz="0" w:space="0" w:color="auto"/>
            <w:right w:val="none" w:sz="0" w:space="0" w:color="auto"/>
          </w:divBdr>
          <w:divsChild>
            <w:div w:id="1726297297">
              <w:marLeft w:val="0"/>
              <w:marRight w:val="0"/>
              <w:marTop w:val="0"/>
              <w:marBottom w:val="0"/>
              <w:divBdr>
                <w:top w:val="none" w:sz="0" w:space="0" w:color="auto"/>
                <w:left w:val="none" w:sz="0" w:space="0" w:color="auto"/>
                <w:bottom w:val="none" w:sz="0" w:space="0" w:color="auto"/>
                <w:right w:val="none" w:sz="0" w:space="0" w:color="auto"/>
              </w:divBdr>
              <w:divsChild>
                <w:div w:id="474685528">
                  <w:marLeft w:val="0"/>
                  <w:marRight w:val="0"/>
                  <w:marTop w:val="0"/>
                  <w:marBottom w:val="0"/>
                  <w:divBdr>
                    <w:top w:val="none" w:sz="0" w:space="0" w:color="auto"/>
                    <w:left w:val="none" w:sz="0" w:space="0" w:color="auto"/>
                    <w:bottom w:val="none" w:sz="0" w:space="0" w:color="auto"/>
                    <w:right w:val="none" w:sz="0" w:space="0" w:color="auto"/>
                  </w:divBdr>
                  <w:divsChild>
                    <w:div w:id="735784056">
                      <w:marLeft w:val="0"/>
                      <w:marRight w:val="0"/>
                      <w:marTop w:val="0"/>
                      <w:marBottom w:val="0"/>
                      <w:divBdr>
                        <w:top w:val="none" w:sz="0" w:space="0" w:color="auto"/>
                        <w:left w:val="none" w:sz="0" w:space="0" w:color="auto"/>
                        <w:bottom w:val="none" w:sz="0" w:space="0" w:color="auto"/>
                        <w:right w:val="none" w:sz="0" w:space="0" w:color="auto"/>
                      </w:divBdr>
                      <w:divsChild>
                        <w:div w:id="103694555">
                          <w:marLeft w:val="0"/>
                          <w:marRight w:val="0"/>
                          <w:marTop w:val="0"/>
                          <w:marBottom w:val="0"/>
                          <w:divBdr>
                            <w:top w:val="none" w:sz="0" w:space="0" w:color="auto"/>
                            <w:left w:val="none" w:sz="0" w:space="0" w:color="auto"/>
                            <w:bottom w:val="none" w:sz="0" w:space="0" w:color="auto"/>
                            <w:right w:val="none" w:sz="0" w:space="0" w:color="auto"/>
                          </w:divBdr>
                          <w:divsChild>
                            <w:div w:id="434399910">
                              <w:marLeft w:val="0"/>
                              <w:marRight w:val="0"/>
                              <w:marTop w:val="0"/>
                              <w:marBottom w:val="0"/>
                              <w:divBdr>
                                <w:top w:val="none" w:sz="0" w:space="0" w:color="auto"/>
                                <w:left w:val="none" w:sz="0" w:space="0" w:color="auto"/>
                                <w:bottom w:val="none" w:sz="0" w:space="0" w:color="auto"/>
                                <w:right w:val="none" w:sz="0" w:space="0" w:color="auto"/>
                              </w:divBdr>
                              <w:divsChild>
                                <w:div w:id="2084528092">
                                  <w:marLeft w:val="0"/>
                                  <w:marRight w:val="0"/>
                                  <w:marTop w:val="0"/>
                                  <w:marBottom w:val="0"/>
                                  <w:divBdr>
                                    <w:top w:val="none" w:sz="0" w:space="0" w:color="auto"/>
                                    <w:left w:val="none" w:sz="0" w:space="0" w:color="auto"/>
                                    <w:bottom w:val="none" w:sz="0" w:space="0" w:color="auto"/>
                                    <w:right w:val="none" w:sz="0" w:space="0" w:color="auto"/>
                                  </w:divBdr>
                                  <w:divsChild>
                                    <w:div w:id="143716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223809">
                          <w:marLeft w:val="0"/>
                          <w:marRight w:val="0"/>
                          <w:marTop w:val="0"/>
                          <w:marBottom w:val="0"/>
                          <w:divBdr>
                            <w:top w:val="none" w:sz="0" w:space="0" w:color="auto"/>
                            <w:left w:val="none" w:sz="0" w:space="0" w:color="auto"/>
                            <w:bottom w:val="none" w:sz="0" w:space="0" w:color="auto"/>
                            <w:right w:val="none" w:sz="0" w:space="0" w:color="auto"/>
                          </w:divBdr>
                          <w:divsChild>
                            <w:div w:id="84805795">
                              <w:marLeft w:val="0"/>
                              <w:marRight w:val="0"/>
                              <w:marTop w:val="0"/>
                              <w:marBottom w:val="0"/>
                              <w:divBdr>
                                <w:top w:val="none" w:sz="0" w:space="0" w:color="auto"/>
                                <w:left w:val="none" w:sz="0" w:space="0" w:color="auto"/>
                                <w:bottom w:val="none" w:sz="0" w:space="0" w:color="auto"/>
                                <w:right w:val="none" w:sz="0" w:space="0" w:color="auto"/>
                              </w:divBdr>
                              <w:divsChild>
                                <w:div w:id="9721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4231002">
      <w:bodyDiv w:val="1"/>
      <w:marLeft w:val="0"/>
      <w:marRight w:val="0"/>
      <w:marTop w:val="0"/>
      <w:marBottom w:val="0"/>
      <w:divBdr>
        <w:top w:val="none" w:sz="0" w:space="0" w:color="auto"/>
        <w:left w:val="none" w:sz="0" w:space="0" w:color="auto"/>
        <w:bottom w:val="none" w:sz="0" w:space="0" w:color="auto"/>
        <w:right w:val="none" w:sz="0" w:space="0" w:color="auto"/>
      </w:divBdr>
    </w:div>
    <w:div w:id="1793481186">
      <w:bodyDiv w:val="1"/>
      <w:marLeft w:val="0"/>
      <w:marRight w:val="0"/>
      <w:marTop w:val="0"/>
      <w:marBottom w:val="0"/>
      <w:divBdr>
        <w:top w:val="none" w:sz="0" w:space="0" w:color="auto"/>
        <w:left w:val="none" w:sz="0" w:space="0" w:color="auto"/>
        <w:bottom w:val="none" w:sz="0" w:space="0" w:color="auto"/>
        <w:right w:val="none" w:sz="0" w:space="0" w:color="auto"/>
      </w:divBdr>
    </w:div>
    <w:div w:id="1795519375">
      <w:bodyDiv w:val="1"/>
      <w:marLeft w:val="0"/>
      <w:marRight w:val="0"/>
      <w:marTop w:val="0"/>
      <w:marBottom w:val="0"/>
      <w:divBdr>
        <w:top w:val="none" w:sz="0" w:space="0" w:color="auto"/>
        <w:left w:val="none" w:sz="0" w:space="0" w:color="auto"/>
        <w:bottom w:val="none" w:sz="0" w:space="0" w:color="auto"/>
        <w:right w:val="none" w:sz="0" w:space="0" w:color="auto"/>
      </w:divBdr>
    </w:div>
    <w:div w:id="1800609737">
      <w:bodyDiv w:val="1"/>
      <w:marLeft w:val="0"/>
      <w:marRight w:val="0"/>
      <w:marTop w:val="0"/>
      <w:marBottom w:val="0"/>
      <w:divBdr>
        <w:top w:val="none" w:sz="0" w:space="0" w:color="auto"/>
        <w:left w:val="none" w:sz="0" w:space="0" w:color="auto"/>
        <w:bottom w:val="none" w:sz="0" w:space="0" w:color="auto"/>
        <w:right w:val="none" w:sz="0" w:space="0" w:color="auto"/>
      </w:divBdr>
    </w:div>
    <w:div w:id="1809277734">
      <w:bodyDiv w:val="1"/>
      <w:marLeft w:val="0"/>
      <w:marRight w:val="0"/>
      <w:marTop w:val="0"/>
      <w:marBottom w:val="0"/>
      <w:divBdr>
        <w:top w:val="none" w:sz="0" w:space="0" w:color="auto"/>
        <w:left w:val="none" w:sz="0" w:space="0" w:color="auto"/>
        <w:bottom w:val="none" w:sz="0" w:space="0" w:color="auto"/>
        <w:right w:val="none" w:sz="0" w:space="0" w:color="auto"/>
      </w:divBdr>
    </w:div>
    <w:div w:id="1813982663">
      <w:bodyDiv w:val="1"/>
      <w:marLeft w:val="0"/>
      <w:marRight w:val="0"/>
      <w:marTop w:val="0"/>
      <w:marBottom w:val="0"/>
      <w:divBdr>
        <w:top w:val="none" w:sz="0" w:space="0" w:color="auto"/>
        <w:left w:val="none" w:sz="0" w:space="0" w:color="auto"/>
        <w:bottom w:val="none" w:sz="0" w:space="0" w:color="auto"/>
        <w:right w:val="none" w:sz="0" w:space="0" w:color="auto"/>
      </w:divBdr>
    </w:div>
    <w:div w:id="1820925397">
      <w:bodyDiv w:val="1"/>
      <w:marLeft w:val="0"/>
      <w:marRight w:val="0"/>
      <w:marTop w:val="0"/>
      <w:marBottom w:val="0"/>
      <w:divBdr>
        <w:top w:val="none" w:sz="0" w:space="0" w:color="auto"/>
        <w:left w:val="none" w:sz="0" w:space="0" w:color="auto"/>
        <w:bottom w:val="none" w:sz="0" w:space="0" w:color="auto"/>
        <w:right w:val="none" w:sz="0" w:space="0" w:color="auto"/>
      </w:divBdr>
    </w:div>
    <w:div w:id="1822119322">
      <w:bodyDiv w:val="1"/>
      <w:marLeft w:val="0"/>
      <w:marRight w:val="0"/>
      <w:marTop w:val="0"/>
      <w:marBottom w:val="0"/>
      <w:divBdr>
        <w:top w:val="none" w:sz="0" w:space="0" w:color="auto"/>
        <w:left w:val="none" w:sz="0" w:space="0" w:color="auto"/>
        <w:bottom w:val="none" w:sz="0" w:space="0" w:color="auto"/>
        <w:right w:val="none" w:sz="0" w:space="0" w:color="auto"/>
      </w:divBdr>
    </w:div>
    <w:div w:id="1827016229">
      <w:bodyDiv w:val="1"/>
      <w:marLeft w:val="0"/>
      <w:marRight w:val="0"/>
      <w:marTop w:val="0"/>
      <w:marBottom w:val="0"/>
      <w:divBdr>
        <w:top w:val="none" w:sz="0" w:space="0" w:color="auto"/>
        <w:left w:val="none" w:sz="0" w:space="0" w:color="auto"/>
        <w:bottom w:val="none" w:sz="0" w:space="0" w:color="auto"/>
        <w:right w:val="none" w:sz="0" w:space="0" w:color="auto"/>
      </w:divBdr>
      <w:divsChild>
        <w:div w:id="653531376">
          <w:marLeft w:val="0"/>
          <w:marRight w:val="0"/>
          <w:marTop w:val="0"/>
          <w:marBottom w:val="0"/>
          <w:divBdr>
            <w:top w:val="none" w:sz="0" w:space="0" w:color="auto"/>
            <w:left w:val="none" w:sz="0" w:space="0" w:color="auto"/>
            <w:bottom w:val="none" w:sz="0" w:space="0" w:color="auto"/>
            <w:right w:val="none" w:sz="0" w:space="0" w:color="auto"/>
          </w:divBdr>
          <w:divsChild>
            <w:div w:id="1489711542">
              <w:marLeft w:val="0"/>
              <w:marRight w:val="0"/>
              <w:marTop w:val="0"/>
              <w:marBottom w:val="0"/>
              <w:divBdr>
                <w:top w:val="none" w:sz="0" w:space="0" w:color="auto"/>
                <w:left w:val="none" w:sz="0" w:space="0" w:color="auto"/>
                <w:bottom w:val="none" w:sz="0" w:space="0" w:color="auto"/>
                <w:right w:val="none" w:sz="0" w:space="0" w:color="auto"/>
              </w:divBdr>
            </w:div>
          </w:divsChild>
        </w:div>
        <w:div w:id="724597887">
          <w:marLeft w:val="0"/>
          <w:marRight w:val="0"/>
          <w:marTop w:val="0"/>
          <w:marBottom w:val="0"/>
          <w:divBdr>
            <w:top w:val="none" w:sz="0" w:space="0" w:color="auto"/>
            <w:left w:val="none" w:sz="0" w:space="0" w:color="auto"/>
            <w:bottom w:val="none" w:sz="0" w:space="0" w:color="auto"/>
            <w:right w:val="none" w:sz="0" w:space="0" w:color="auto"/>
          </w:divBdr>
          <w:divsChild>
            <w:div w:id="1089424617">
              <w:marLeft w:val="0"/>
              <w:marRight w:val="0"/>
              <w:marTop w:val="0"/>
              <w:marBottom w:val="0"/>
              <w:divBdr>
                <w:top w:val="none" w:sz="0" w:space="0" w:color="auto"/>
                <w:left w:val="none" w:sz="0" w:space="0" w:color="auto"/>
                <w:bottom w:val="none" w:sz="0" w:space="0" w:color="auto"/>
                <w:right w:val="none" w:sz="0" w:space="0" w:color="auto"/>
              </w:divBdr>
            </w:div>
          </w:divsChild>
        </w:div>
        <w:div w:id="967972467">
          <w:marLeft w:val="0"/>
          <w:marRight w:val="0"/>
          <w:marTop w:val="0"/>
          <w:marBottom w:val="0"/>
          <w:divBdr>
            <w:top w:val="none" w:sz="0" w:space="0" w:color="auto"/>
            <w:left w:val="none" w:sz="0" w:space="0" w:color="auto"/>
            <w:bottom w:val="none" w:sz="0" w:space="0" w:color="auto"/>
            <w:right w:val="none" w:sz="0" w:space="0" w:color="auto"/>
          </w:divBdr>
          <w:divsChild>
            <w:div w:id="1540631490">
              <w:marLeft w:val="0"/>
              <w:marRight w:val="0"/>
              <w:marTop w:val="0"/>
              <w:marBottom w:val="0"/>
              <w:divBdr>
                <w:top w:val="none" w:sz="0" w:space="0" w:color="auto"/>
                <w:left w:val="none" w:sz="0" w:space="0" w:color="auto"/>
                <w:bottom w:val="none" w:sz="0" w:space="0" w:color="auto"/>
                <w:right w:val="none" w:sz="0" w:space="0" w:color="auto"/>
              </w:divBdr>
            </w:div>
          </w:divsChild>
        </w:div>
        <w:div w:id="991984677">
          <w:marLeft w:val="0"/>
          <w:marRight w:val="0"/>
          <w:marTop w:val="0"/>
          <w:marBottom w:val="0"/>
          <w:divBdr>
            <w:top w:val="none" w:sz="0" w:space="0" w:color="auto"/>
            <w:left w:val="none" w:sz="0" w:space="0" w:color="auto"/>
            <w:bottom w:val="none" w:sz="0" w:space="0" w:color="auto"/>
            <w:right w:val="none" w:sz="0" w:space="0" w:color="auto"/>
          </w:divBdr>
          <w:divsChild>
            <w:div w:id="744303000">
              <w:marLeft w:val="0"/>
              <w:marRight w:val="0"/>
              <w:marTop w:val="0"/>
              <w:marBottom w:val="0"/>
              <w:divBdr>
                <w:top w:val="none" w:sz="0" w:space="0" w:color="auto"/>
                <w:left w:val="none" w:sz="0" w:space="0" w:color="auto"/>
                <w:bottom w:val="none" w:sz="0" w:space="0" w:color="auto"/>
                <w:right w:val="none" w:sz="0" w:space="0" w:color="auto"/>
              </w:divBdr>
            </w:div>
          </w:divsChild>
        </w:div>
        <w:div w:id="1134909038">
          <w:marLeft w:val="0"/>
          <w:marRight w:val="0"/>
          <w:marTop w:val="0"/>
          <w:marBottom w:val="0"/>
          <w:divBdr>
            <w:top w:val="none" w:sz="0" w:space="0" w:color="auto"/>
            <w:left w:val="none" w:sz="0" w:space="0" w:color="auto"/>
            <w:bottom w:val="none" w:sz="0" w:space="0" w:color="auto"/>
            <w:right w:val="none" w:sz="0" w:space="0" w:color="auto"/>
          </w:divBdr>
          <w:divsChild>
            <w:div w:id="759911658">
              <w:marLeft w:val="0"/>
              <w:marRight w:val="0"/>
              <w:marTop w:val="0"/>
              <w:marBottom w:val="0"/>
              <w:divBdr>
                <w:top w:val="none" w:sz="0" w:space="0" w:color="auto"/>
                <w:left w:val="none" w:sz="0" w:space="0" w:color="auto"/>
                <w:bottom w:val="none" w:sz="0" w:space="0" w:color="auto"/>
                <w:right w:val="none" w:sz="0" w:space="0" w:color="auto"/>
              </w:divBdr>
            </w:div>
          </w:divsChild>
        </w:div>
        <w:div w:id="1492984634">
          <w:marLeft w:val="0"/>
          <w:marRight w:val="0"/>
          <w:marTop w:val="0"/>
          <w:marBottom w:val="0"/>
          <w:divBdr>
            <w:top w:val="none" w:sz="0" w:space="0" w:color="auto"/>
            <w:left w:val="none" w:sz="0" w:space="0" w:color="auto"/>
            <w:bottom w:val="none" w:sz="0" w:space="0" w:color="auto"/>
            <w:right w:val="none" w:sz="0" w:space="0" w:color="auto"/>
          </w:divBdr>
          <w:divsChild>
            <w:div w:id="1547252074">
              <w:marLeft w:val="0"/>
              <w:marRight w:val="0"/>
              <w:marTop w:val="0"/>
              <w:marBottom w:val="0"/>
              <w:divBdr>
                <w:top w:val="none" w:sz="0" w:space="0" w:color="auto"/>
                <w:left w:val="none" w:sz="0" w:space="0" w:color="auto"/>
                <w:bottom w:val="none" w:sz="0" w:space="0" w:color="auto"/>
                <w:right w:val="none" w:sz="0" w:space="0" w:color="auto"/>
              </w:divBdr>
            </w:div>
          </w:divsChild>
        </w:div>
        <w:div w:id="1692609825">
          <w:marLeft w:val="0"/>
          <w:marRight w:val="0"/>
          <w:marTop w:val="0"/>
          <w:marBottom w:val="0"/>
          <w:divBdr>
            <w:top w:val="none" w:sz="0" w:space="0" w:color="auto"/>
            <w:left w:val="none" w:sz="0" w:space="0" w:color="auto"/>
            <w:bottom w:val="none" w:sz="0" w:space="0" w:color="auto"/>
            <w:right w:val="none" w:sz="0" w:space="0" w:color="auto"/>
          </w:divBdr>
          <w:divsChild>
            <w:div w:id="1208025831">
              <w:marLeft w:val="0"/>
              <w:marRight w:val="0"/>
              <w:marTop w:val="0"/>
              <w:marBottom w:val="0"/>
              <w:divBdr>
                <w:top w:val="none" w:sz="0" w:space="0" w:color="auto"/>
                <w:left w:val="none" w:sz="0" w:space="0" w:color="auto"/>
                <w:bottom w:val="none" w:sz="0" w:space="0" w:color="auto"/>
                <w:right w:val="none" w:sz="0" w:space="0" w:color="auto"/>
              </w:divBdr>
            </w:div>
          </w:divsChild>
        </w:div>
        <w:div w:id="1858890181">
          <w:marLeft w:val="0"/>
          <w:marRight w:val="0"/>
          <w:marTop w:val="0"/>
          <w:marBottom w:val="0"/>
          <w:divBdr>
            <w:top w:val="none" w:sz="0" w:space="0" w:color="auto"/>
            <w:left w:val="none" w:sz="0" w:space="0" w:color="auto"/>
            <w:bottom w:val="none" w:sz="0" w:space="0" w:color="auto"/>
            <w:right w:val="none" w:sz="0" w:space="0" w:color="auto"/>
          </w:divBdr>
          <w:divsChild>
            <w:div w:id="98732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627299">
      <w:bodyDiv w:val="1"/>
      <w:marLeft w:val="0"/>
      <w:marRight w:val="0"/>
      <w:marTop w:val="0"/>
      <w:marBottom w:val="0"/>
      <w:divBdr>
        <w:top w:val="none" w:sz="0" w:space="0" w:color="auto"/>
        <w:left w:val="none" w:sz="0" w:space="0" w:color="auto"/>
        <w:bottom w:val="none" w:sz="0" w:space="0" w:color="auto"/>
        <w:right w:val="none" w:sz="0" w:space="0" w:color="auto"/>
      </w:divBdr>
    </w:div>
    <w:div w:id="1858234299">
      <w:bodyDiv w:val="1"/>
      <w:marLeft w:val="0"/>
      <w:marRight w:val="0"/>
      <w:marTop w:val="0"/>
      <w:marBottom w:val="0"/>
      <w:divBdr>
        <w:top w:val="none" w:sz="0" w:space="0" w:color="auto"/>
        <w:left w:val="none" w:sz="0" w:space="0" w:color="auto"/>
        <w:bottom w:val="none" w:sz="0" w:space="0" w:color="auto"/>
        <w:right w:val="none" w:sz="0" w:space="0" w:color="auto"/>
      </w:divBdr>
    </w:div>
    <w:div w:id="1887256749">
      <w:bodyDiv w:val="1"/>
      <w:marLeft w:val="0"/>
      <w:marRight w:val="0"/>
      <w:marTop w:val="0"/>
      <w:marBottom w:val="0"/>
      <w:divBdr>
        <w:top w:val="none" w:sz="0" w:space="0" w:color="auto"/>
        <w:left w:val="none" w:sz="0" w:space="0" w:color="auto"/>
        <w:bottom w:val="none" w:sz="0" w:space="0" w:color="auto"/>
        <w:right w:val="none" w:sz="0" w:space="0" w:color="auto"/>
      </w:divBdr>
    </w:div>
    <w:div w:id="1900247522">
      <w:bodyDiv w:val="1"/>
      <w:marLeft w:val="0"/>
      <w:marRight w:val="0"/>
      <w:marTop w:val="0"/>
      <w:marBottom w:val="0"/>
      <w:divBdr>
        <w:top w:val="none" w:sz="0" w:space="0" w:color="auto"/>
        <w:left w:val="none" w:sz="0" w:space="0" w:color="auto"/>
        <w:bottom w:val="none" w:sz="0" w:space="0" w:color="auto"/>
        <w:right w:val="none" w:sz="0" w:space="0" w:color="auto"/>
      </w:divBdr>
    </w:div>
    <w:div w:id="1917549597">
      <w:bodyDiv w:val="1"/>
      <w:marLeft w:val="0"/>
      <w:marRight w:val="0"/>
      <w:marTop w:val="0"/>
      <w:marBottom w:val="0"/>
      <w:divBdr>
        <w:top w:val="none" w:sz="0" w:space="0" w:color="auto"/>
        <w:left w:val="none" w:sz="0" w:space="0" w:color="auto"/>
        <w:bottom w:val="none" w:sz="0" w:space="0" w:color="auto"/>
        <w:right w:val="none" w:sz="0" w:space="0" w:color="auto"/>
      </w:divBdr>
    </w:div>
    <w:div w:id="1922135815">
      <w:bodyDiv w:val="1"/>
      <w:marLeft w:val="0"/>
      <w:marRight w:val="0"/>
      <w:marTop w:val="0"/>
      <w:marBottom w:val="0"/>
      <w:divBdr>
        <w:top w:val="none" w:sz="0" w:space="0" w:color="auto"/>
        <w:left w:val="none" w:sz="0" w:space="0" w:color="auto"/>
        <w:bottom w:val="none" w:sz="0" w:space="0" w:color="auto"/>
        <w:right w:val="none" w:sz="0" w:space="0" w:color="auto"/>
      </w:divBdr>
    </w:div>
    <w:div w:id="1922717744">
      <w:bodyDiv w:val="1"/>
      <w:marLeft w:val="0"/>
      <w:marRight w:val="0"/>
      <w:marTop w:val="0"/>
      <w:marBottom w:val="0"/>
      <w:divBdr>
        <w:top w:val="none" w:sz="0" w:space="0" w:color="auto"/>
        <w:left w:val="none" w:sz="0" w:space="0" w:color="auto"/>
        <w:bottom w:val="none" w:sz="0" w:space="0" w:color="auto"/>
        <w:right w:val="none" w:sz="0" w:space="0" w:color="auto"/>
      </w:divBdr>
    </w:div>
    <w:div w:id="1927152336">
      <w:bodyDiv w:val="1"/>
      <w:marLeft w:val="0"/>
      <w:marRight w:val="0"/>
      <w:marTop w:val="0"/>
      <w:marBottom w:val="0"/>
      <w:divBdr>
        <w:top w:val="none" w:sz="0" w:space="0" w:color="auto"/>
        <w:left w:val="none" w:sz="0" w:space="0" w:color="auto"/>
        <w:bottom w:val="none" w:sz="0" w:space="0" w:color="auto"/>
        <w:right w:val="none" w:sz="0" w:space="0" w:color="auto"/>
      </w:divBdr>
    </w:div>
    <w:div w:id="1930852068">
      <w:bodyDiv w:val="1"/>
      <w:marLeft w:val="0"/>
      <w:marRight w:val="0"/>
      <w:marTop w:val="0"/>
      <w:marBottom w:val="0"/>
      <w:divBdr>
        <w:top w:val="none" w:sz="0" w:space="0" w:color="auto"/>
        <w:left w:val="none" w:sz="0" w:space="0" w:color="auto"/>
        <w:bottom w:val="none" w:sz="0" w:space="0" w:color="auto"/>
        <w:right w:val="none" w:sz="0" w:space="0" w:color="auto"/>
      </w:divBdr>
    </w:div>
    <w:div w:id="1933855933">
      <w:bodyDiv w:val="1"/>
      <w:marLeft w:val="0"/>
      <w:marRight w:val="0"/>
      <w:marTop w:val="0"/>
      <w:marBottom w:val="0"/>
      <w:divBdr>
        <w:top w:val="none" w:sz="0" w:space="0" w:color="auto"/>
        <w:left w:val="none" w:sz="0" w:space="0" w:color="auto"/>
        <w:bottom w:val="none" w:sz="0" w:space="0" w:color="auto"/>
        <w:right w:val="none" w:sz="0" w:space="0" w:color="auto"/>
      </w:divBdr>
    </w:div>
    <w:div w:id="1937059717">
      <w:bodyDiv w:val="1"/>
      <w:marLeft w:val="0"/>
      <w:marRight w:val="0"/>
      <w:marTop w:val="0"/>
      <w:marBottom w:val="0"/>
      <w:divBdr>
        <w:top w:val="none" w:sz="0" w:space="0" w:color="auto"/>
        <w:left w:val="none" w:sz="0" w:space="0" w:color="auto"/>
        <w:bottom w:val="none" w:sz="0" w:space="0" w:color="auto"/>
        <w:right w:val="none" w:sz="0" w:space="0" w:color="auto"/>
      </w:divBdr>
    </w:div>
    <w:div w:id="1946382311">
      <w:bodyDiv w:val="1"/>
      <w:marLeft w:val="0"/>
      <w:marRight w:val="0"/>
      <w:marTop w:val="0"/>
      <w:marBottom w:val="0"/>
      <w:divBdr>
        <w:top w:val="none" w:sz="0" w:space="0" w:color="auto"/>
        <w:left w:val="none" w:sz="0" w:space="0" w:color="auto"/>
        <w:bottom w:val="none" w:sz="0" w:space="0" w:color="auto"/>
        <w:right w:val="none" w:sz="0" w:space="0" w:color="auto"/>
      </w:divBdr>
    </w:div>
    <w:div w:id="1949508655">
      <w:bodyDiv w:val="1"/>
      <w:marLeft w:val="0"/>
      <w:marRight w:val="0"/>
      <w:marTop w:val="0"/>
      <w:marBottom w:val="0"/>
      <w:divBdr>
        <w:top w:val="none" w:sz="0" w:space="0" w:color="auto"/>
        <w:left w:val="none" w:sz="0" w:space="0" w:color="auto"/>
        <w:bottom w:val="none" w:sz="0" w:space="0" w:color="auto"/>
        <w:right w:val="none" w:sz="0" w:space="0" w:color="auto"/>
      </w:divBdr>
    </w:div>
    <w:div w:id="1958637084">
      <w:bodyDiv w:val="1"/>
      <w:marLeft w:val="0"/>
      <w:marRight w:val="0"/>
      <w:marTop w:val="0"/>
      <w:marBottom w:val="0"/>
      <w:divBdr>
        <w:top w:val="none" w:sz="0" w:space="0" w:color="auto"/>
        <w:left w:val="none" w:sz="0" w:space="0" w:color="auto"/>
        <w:bottom w:val="none" w:sz="0" w:space="0" w:color="auto"/>
        <w:right w:val="none" w:sz="0" w:space="0" w:color="auto"/>
      </w:divBdr>
    </w:div>
    <w:div w:id="1964069810">
      <w:bodyDiv w:val="1"/>
      <w:marLeft w:val="0"/>
      <w:marRight w:val="0"/>
      <w:marTop w:val="0"/>
      <w:marBottom w:val="0"/>
      <w:divBdr>
        <w:top w:val="none" w:sz="0" w:space="0" w:color="auto"/>
        <w:left w:val="none" w:sz="0" w:space="0" w:color="auto"/>
        <w:bottom w:val="none" w:sz="0" w:space="0" w:color="auto"/>
        <w:right w:val="none" w:sz="0" w:space="0" w:color="auto"/>
      </w:divBdr>
    </w:div>
    <w:div w:id="1964916403">
      <w:bodyDiv w:val="1"/>
      <w:marLeft w:val="0"/>
      <w:marRight w:val="0"/>
      <w:marTop w:val="0"/>
      <w:marBottom w:val="0"/>
      <w:divBdr>
        <w:top w:val="none" w:sz="0" w:space="0" w:color="auto"/>
        <w:left w:val="none" w:sz="0" w:space="0" w:color="auto"/>
        <w:bottom w:val="none" w:sz="0" w:space="0" w:color="auto"/>
        <w:right w:val="none" w:sz="0" w:space="0" w:color="auto"/>
      </w:divBdr>
    </w:div>
    <w:div w:id="1969360748">
      <w:bodyDiv w:val="1"/>
      <w:marLeft w:val="0"/>
      <w:marRight w:val="0"/>
      <w:marTop w:val="0"/>
      <w:marBottom w:val="0"/>
      <w:divBdr>
        <w:top w:val="none" w:sz="0" w:space="0" w:color="auto"/>
        <w:left w:val="none" w:sz="0" w:space="0" w:color="auto"/>
        <w:bottom w:val="none" w:sz="0" w:space="0" w:color="auto"/>
        <w:right w:val="none" w:sz="0" w:space="0" w:color="auto"/>
      </w:divBdr>
    </w:div>
    <w:div w:id="2000767829">
      <w:bodyDiv w:val="1"/>
      <w:marLeft w:val="0"/>
      <w:marRight w:val="0"/>
      <w:marTop w:val="0"/>
      <w:marBottom w:val="0"/>
      <w:divBdr>
        <w:top w:val="none" w:sz="0" w:space="0" w:color="auto"/>
        <w:left w:val="none" w:sz="0" w:space="0" w:color="auto"/>
        <w:bottom w:val="none" w:sz="0" w:space="0" w:color="auto"/>
        <w:right w:val="none" w:sz="0" w:space="0" w:color="auto"/>
      </w:divBdr>
    </w:div>
    <w:div w:id="2021201284">
      <w:bodyDiv w:val="1"/>
      <w:marLeft w:val="0"/>
      <w:marRight w:val="0"/>
      <w:marTop w:val="0"/>
      <w:marBottom w:val="0"/>
      <w:divBdr>
        <w:top w:val="none" w:sz="0" w:space="0" w:color="auto"/>
        <w:left w:val="none" w:sz="0" w:space="0" w:color="auto"/>
        <w:bottom w:val="none" w:sz="0" w:space="0" w:color="auto"/>
        <w:right w:val="none" w:sz="0" w:space="0" w:color="auto"/>
      </w:divBdr>
    </w:div>
    <w:div w:id="2024286187">
      <w:bodyDiv w:val="1"/>
      <w:marLeft w:val="0"/>
      <w:marRight w:val="0"/>
      <w:marTop w:val="0"/>
      <w:marBottom w:val="0"/>
      <w:divBdr>
        <w:top w:val="none" w:sz="0" w:space="0" w:color="auto"/>
        <w:left w:val="none" w:sz="0" w:space="0" w:color="auto"/>
        <w:bottom w:val="none" w:sz="0" w:space="0" w:color="auto"/>
        <w:right w:val="none" w:sz="0" w:space="0" w:color="auto"/>
      </w:divBdr>
    </w:div>
    <w:div w:id="2026977193">
      <w:bodyDiv w:val="1"/>
      <w:marLeft w:val="0"/>
      <w:marRight w:val="0"/>
      <w:marTop w:val="0"/>
      <w:marBottom w:val="0"/>
      <w:divBdr>
        <w:top w:val="none" w:sz="0" w:space="0" w:color="auto"/>
        <w:left w:val="none" w:sz="0" w:space="0" w:color="auto"/>
        <w:bottom w:val="none" w:sz="0" w:space="0" w:color="auto"/>
        <w:right w:val="none" w:sz="0" w:space="0" w:color="auto"/>
      </w:divBdr>
    </w:div>
    <w:div w:id="2028170083">
      <w:bodyDiv w:val="1"/>
      <w:marLeft w:val="0"/>
      <w:marRight w:val="0"/>
      <w:marTop w:val="0"/>
      <w:marBottom w:val="0"/>
      <w:divBdr>
        <w:top w:val="none" w:sz="0" w:space="0" w:color="auto"/>
        <w:left w:val="none" w:sz="0" w:space="0" w:color="auto"/>
        <w:bottom w:val="none" w:sz="0" w:space="0" w:color="auto"/>
        <w:right w:val="none" w:sz="0" w:space="0" w:color="auto"/>
      </w:divBdr>
    </w:div>
    <w:div w:id="2038114948">
      <w:bodyDiv w:val="1"/>
      <w:marLeft w:val="0"/>
      <w:marRight w:val="0"/>
      <w:marTop w:val="0"/>
      <w:marBottom w:val="0"/>
      <w:divBdr>
        <w:top w:val="none" w:sz="0" w:space="0" w:color="auto"/>
        <w:left w:val="none" w:sz="0" w:space="0" w:color="auto"/>
        <w:bottom w:val="none" w:sz="0" w:space="0" w:color="auto"/>
        <w:right w:val="none" w:sz="0" w:space="0" w:color="auto"/>
      </w:divBdr>
    </w:div>
    <w:div w:id="2072851004">
      <w:bodyDiv w:val="1"/>
      <w:marLeft w:val="0"/>
      <w:marRight w:val="0"/>
      <w:marTop w:val="0"/>
      <w:marBottom w:val="0"/>
      <w:divBdr>
        <w:top w:val="none" w:sz="0" w:space="0" w:color="auto"/>
        <w:left w:val="none" w:sz="0" w:space="0" w:color="auto"/>
        <w:bottom w:val="none" w:sz="0" w:space="0" w:color="auto"/>
        <w:right w:val="none" w:sz="0" w:space="0" w:color="auto"/>
      </w:divBdr>
    </w:div>
    <w:div w:id="2088070734">
      <w:bodyDiv w:val="1"/>
      <w:marLeft w:val="0"/>
      <w:marRight w:val="0"/>
      <w:marTop w:val="0"/>
      <w:marBottom w:val="0"/>
      <w:divBdr>
        <w:top w:val="none" w:sz="0" w:space="0" w:color="auto"/>
        <w:left w:val="none" w:sz="0" w:space="0" w:color="auto"/>
        <w:bottom w:val="none" w:sz="0" w:space="0" w:color="auto"/>
        <w:right w:val="none" w:sz="0" w:space="0" w:color="auto"/>
      </w:divBdr>
    </w:div>
    <w:div w:id="2096394443">
      <w:bodyDiv w:val="1"/>
      <w:marLeft w:val="0"/>
      <w:marRight w:val="0"/>
      <w:marTop w:val="0"/>
      <w:marBottom w:val="0"/>
      <w:divBdr>
        <w:top w:val="none" w:sz="0" w:space="0" w:color="auto"/>
        <w:left w:val="none" w:sz="0" w:space="0" w:color="auto"/>
        <w:bottom w:val="none" w:sz="0" w:space="0" w:color="auto"/>
        <w:right w:val="none" w:sz="0" w:space="0" w:color="auto"/>
      </w:divBdr>
    </w:div>
    <w:div w:id="2106532588">
      <w:bodyDiv w:val="1"/>
      <w:marLeft w:val="0"/>
      <w:marRight w:val="0"/>
      <w:marTop w:val="0"/>
      <w:marBottom w:val="0"/>
      <w:divBdr>
        <w:top w:val="none" w:sz="0" w:space="0" w:color="auto"/>
        <w:left w:val="none" w:sz="0" w:space="0" w:color="auto"/>
        <w:bottom w:val="none" w:sz="0" w:space="0" w:color="auto"/>
        <w:right w:val="none" w:sz="0" w:space="0" w:color="auto"/>
      </w:divBdr>
    </w:div>
    <w:div w:id="213971478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footer" Target="footer4.xml"/><Relationship Id="rId5" Type="http://schemas.openxmlformats.org/officeDocument/2006/relationships/styles" Target="style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1.xml"/><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eader" Target="header8.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_rels/header9.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7e83c26-6806-4dd0-9029-f565b2628a0b" xsi:nil="true"/>
    <lcf76f155ced4ddcb4097134ff3c332f xmlns="77dc6660-d970-45f6-8602-8628eaab669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76C6A6E7668346AE0A59FCBFA3BDEB" ma:contentTypeVersion="11" ma:contentTypeDescription="Create a new document." ma:contentTypeScope="" ma:versionID="fa22b70027054eae5d62890f1950992d">
  <xsd:schema xmlns:xsd="http://www.w3.org/2001/XMLSchema" xmlns:xs="http://www.w3.org/2001/XMLSchema" xmlns:p="http://schemas.microsoft.com/office/2006/metadata/properties" xmlns:ns2="77dc6660-d970-45f6-8602-8628eaab6697" xmlns:ns3="57e83c26-6806-4dd0-9029-f565b2628a0b" targetNamespace="http://schemas.microsoft.com/office/2006/metadata/properties" ma:root="true" ma:fieldsID="28b0ce657d18d0f546676c7ca7e287eb" ns2:_="" ns3:_="">
    <xsd:import namespace="77dc6660-d970-45f6-8602-8628eaab6697"/>
    <xsd:import namespace="57e83c26-6806-4dd0-9029-f565b2628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c6660-d970-45f6-8602-8628eaab66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39e25b7-0a97-41c9-a156-d5f3062356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e83c26-6806-4dd0-9029-f565b2628a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e9427e-00b3-4918-8678-2c26818c8e44}" ma:internalName="TaxCatchAll" ma:showField="CatchAllData" ma:web="57e83c26-6806-4dd0-9029-f565b2628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3D8255-F0A7-4292-A3BC-168C90CE54F7}">
  <ds:schemaRefs>
    <ds:schemaRef ds:uri="http://schemas.microsoft.com/office/2006/metadata/properties"/>
    <ds:schemaRef ds:uri="http://schemas.microsoft.com/office/infopath/2007/PartnerControls"/>
    <ds:schemaRef ds:uri="57e83c26-6806-4dd0-9029-f565b2628a0b"/>
    <ds:schemaRef ds:uri="77dc6660-d970-45f6-8602-8628eaab6697"/>
  </ds:schemaRefs>
</ds:datastoreItem>
</file>

<file path=customXml/itemProps2.xml><?xml version="1.0" encoding="utf-8"?>
<ds:datastoreItem xmlns:ds="http://schemas.openxmlformats.org/officeDocument/2006/customXml" ds:itemID="{6ACABFA6-AA8D-44FF-85C1-9CC1D0CB050C}">
  <ds:schemaRefs>
    <ds:schemaRef ds:uri="http://schemas.microsoft.com/sharepoint/v3/contenttype/forms"/>
  </ds:schemaRefs>
</ds:datastoreItem>
</file>

<file path=customXml/itemProps3.xml><?xml version="1.0" encoding="utf-8"?>
<ds:datastoreItem xmlns:ds="http://schemas.openxmlformats.org/officeDocument/2006/customXml" ds:itemID="{25E034B4-8002-4AA4-83EF-7BBC615309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c6660-d970-45f6-8602-8628eaab6697"/>
    <ds:schemaRef ds:uri="57e83c26-6806-4dd0-9029-f565b2628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 id="{f46cb8ea-7900-4d10-8ceb-80e8c1c81ee7}" enabled="0" method="" siteId="{f46cb8ea-7900-4d10-8ceb-80e8c1c81ee7}" removed="1"/>
</clbl:labelList>
</file>

<file path=docProps/app.xml><?xml version="1.0" encoding="utf-8"?>
<Properties xmlns="http://schemas.openxmlformats.org/officeDocument/2006/extended-properties" xmlns:vt="http://schemas.openxmlformats.org/officeDocument/2006/docPropsVTypes">
  <Template>Normal</Template>
  <TotalTime>2</TotalTime>
  <Pages>27</Pages>
  <Words>8660</Words>
  <Characters>49364</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TAS_E&amp;E 015_Exhibit G.16 - MECM System Maintenance and Operations Runbook_DRAFT redacted</dc:title>
  <dc:subject/>
  <dc:creator/>
  <cp:keywords/>
  <dc:description/>
  <cp:lastModifiedBy>Wright, Frances (HEALTH-CONTRACTOR)</cp:lastModifiedBy>
  <cp:revision>3</cp:revision>
  <dcterms:created xsi:type="dcterms:W3CDTF">2026-08-24T18:33:00Z</dcterms:created>
  <dcterms:modified xsi:type="dcterms:W3CDTF">2026-08-31T14:24:00Z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2023-05-25T13:51:48Z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d8099e0c-aa1b-4a2a-9e70-9ef8c156eb5f</vt:lpwstr>
  </property>
  <property fmtid="{D5CDD505-2E9C-101B-9397-08002B2CF9AE}" pid="8" name="MSIP_Label_ea60d57e-af5b-4752-ac57-3e4f28ca11dc_ContentBits">
    <vt:lpwstr>0</vt:lpwstr>
  </property>
  <property fmtid="{D5CDD505-2E9C-101B-9397-08002B2CF9AE}" pid="9" name="docLang">
    <vt:lpwstr>en</vt:lpwstr>
  </property>
  <property fmtid="{D5CDD505-2E9C-101B-9397-08002B2CF9AE}" pid="10" name="ContentTypeId">
    <vt:lpwstr>0x010100D276C6A6E7668346AE0A59FCBFA3BDEB</vt:lpwstr>
  </property>
  <property fmtid="{D5CDD505-2E9C-101B-9397-08002B2CF9AE}" pid="11" name="MediaServiceImageTags">
    <vt:lpwstr/>
  </property>
</Properties>
</file>