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08AC9"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4F92A31C"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53C161C4"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2694DB6B"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4F0CBAFA"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309A5F32"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796560B2"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2302A4B5" w14:textId="77777777" w:rsidR="000A24CD" w:rsidRDefault="000A24CD">
      <w:pPr>
        <w:pStyle w:val="paragraph"/>
        <w:spacing w:before="0" w:beforeAutospacing="0" w:after="0" w:afterAutospacing="0"/>
        <w:jc w:val="center"/>
        <w:textAlignment w:val="baseline"/>
        <w:rPr>
          <w:rStyle w:val="normaltextrun"/>
          <w:rFonts w:ascii="Arial" w:hAnsi="Arial" w:cs="Arial"/>
          <w:b/>
          <w:bCs/>
          <w:sz w:val="28"/>
          <w:szCs w:val="28"/>
        </w:rPr>
      </w:pPr>
    </w:p>
    <w:p w14:paraId="0E8E834E" w14:textId="413B824D" w:rsidR="000A24CD" w:rsidRDefault="00120DC3">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Request for Proposals</w:t>
      </w:r>
    </w:p>
    <w:p w14:paraId="0C4FFB6A" w14:textId="030C0964" w:rsidR="000A24CD" w:rsidRDefault="000A24CD">
      <w:pPr>
        <w:pStyle w:val="paragraph"/>
        <w:spacing w:before="0" w:beforeAutospacing="0" w:after="0" w:afterAutospacing="0"/>
        <w:jc w:val="center"/>
        <w:textAlignment w:val="baseline"/>
        <w:rPr>
          <w:rFonts w:ascii="Segoe UI" w:hAnsi="Segoe UI" w:cs="Segoe UI"/>
          <w:sz w:val="18"/>
          <w:szCs w:val="18"/>
        </w:rPr>
      </w:pPr>
    </w:p>
    <w:p w14:paraId="736CCE32" w14:textId="0B301C20" w:rsidR="000A24CD" w:rsidRDefault="00120DC3">
      <w:pPr>
        <w:pStyle w:val="paragraph"/>
        <w:spacing w:before="0" w:beforeAutospacing="0" w:after="0" w:afterAutospacing="0"/>
        <w:jc w:val="center"/>
        <w:textAlignment w:val="baseline"/>
        <w:rPr>
          <w:rFonts w:ascii="Segoe UI" w:hAnsi="Segoe UI" w:cs="Segoe UI"/>
          <w:sz w:val="18"/>
          <w:szCs w:val="18"/>
        </w:rPr>
      </w:pPr>
      <w:r>
        <w:rPr>
          <w:rStyle w:val="contentcontrolboundarysink"/>
          <w:rFonts w:ascii="Arial" w:hAnsi="Arial" w:cs="Arial"/>
          <w:b/>
          <w:bCs/>
          <w:sz w:val="28"/>
          <w:szCs w:val="28"/>
        </w:rPr>
        <w:t>​​</w:t>
      </w:r>
      <w:r>
        <w:rPr>
          <w:rStyle w:val="normaltextrun"/>
          <w:rFonts w:ascii="Arial" w:hAnsi="Arial" w:cs="Arial"/>
          <w:b/>
          <w:bCs/>
          <w:sz w:val="28"/>
          <w:szCs w:val="28"/>
        </w:rPr>
        <w:t>RFP #C043776</w:t>
      </w:r>
      <w:r>
        <w:rPr>
          <w:rStyle w:val="contentcontrolboundarysink"/>
          <w:rFonts w:ascii="Arial" w:hAnsi="Arial" w:cs="Arial"/>
          <w:b/>
          <w:bCs/>
          <w:sz w:val="28"/>
          <w:szCs w:val="28"/>
        </w:rPr>
        <w:t>​</w:t>
      </w:r>
    </w:p>
    <w:p w14:paraId="302F5950" w14:textId="10407E03" w:rsidR="000A24CD" w:rsidRDefault="000A24CD">
      <w:pPr>
        <w:pStyle w:val="paragraph"/>
        <w:spacing w:before="0" w:beforeAutospacing="0" w:after="0" w:afterAutospacing="0"/>
        <w:jc w:val="center"/>
        <w:textAlignment w:val="baseline"/>
        <w:rPr>
          <w:rFonts w:ascii="Segoe UI" w:hAnsi="Segoe UI" w:cs="Segoe UI"/>
          <w:sz w:val="18"/>
          <w:szCs w:val="18"/>
        </w:rPr>
      </w:pPr>
    </w:p>
    <w:p w14:paraId="2382235D" w14:textId="0B4515D6" w:rsidR="000A24CD" w:rsidRDefault="00120DC3">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32"/>
          <w:szCs w:val="32"/>
        </w:rPr>
        <w:t>Converged Eligibility and Enrollment (E&amp;E) System and Appeals Management System (AMS)</w:t>
      </w:r>
    </w:p>
    <w:p w14:paraId="52935D55" w14:textId="43A0CF13" w:rsidR="000A24CD" w:rsidRDefault="000A24CD">
      <w:pPr>
        <w:pStyle w:val="paragraph"/>
        <w:spacing w:before="0" w:beforeAutospacing="0" w:after="0" w:afterAutospacing="0"/>
        <w:jc w:val="center"/>
        <w:textAlignment w:val="baseline"/>
        <w:rPr>
          <w:rFonts w:ascii="Segoe UI" w:hAnsi="Segoe UI" w:cs="Segoe UI"/>
          <w:sz w:val="18"/>
          <w:szCs w:val="18"/>
        </w:rPr>
      </w:pPr>
    </w:p>
    <w:p w14:paraId="7A7068B5" w14:textId="0B34D569" w:rsidR="000A24CD" w:rsidRDefault="000A24CD">
      <w:pPr>
        <w:pStyle w:val="paragraph"/>
        <w:spacing w:before="0" w:beforeAutospacing="0" w:after="0" w:afterAutospacing="0"/>
        <w:jc w:val="center"/>
        <w:textAlignment w:val="baseline"/>
        <w:rPr>
          <w:rFonts w:ascii="Segoe UI" w:hAnsi="Segoe UI" w:cs="Segoe UI"/>
          <w:sz w:val="18"/>
          <w:szCs w:val="18"/>
        </w:rPr>
      </w:pPr>
    </w:p>
    <w:p w14:paraId="3E8B873F" w14:textId="13FCC026" w:rsidR="000A24CD" w:rsidRDefault="00120DC3">
      <w:pPr>
        <w:jc w:val="center"/>
        <w:rPr>
          <w:rFonts w:ascii="Arial" w:hAnsi="Arial" w:cs="Arial"/>
          <w:b/>
          <w:bCs/>
          <w:sz w:val="32"/>
          <w:szCs w:val="32"/>
        </w:rPr>
      </w:pPr>
      <w:r>
        <w:rPr>
          <w:rStyle w:val="normaltextrun"/>
          <w:rFonts w:ascii="Arial" w:hAnsi="Arial" w:cs="Arial"/>
          <w:b/>
          <w:bCs/>
          <w:sz w:val="40"/>
          <w:szCs w:val="40"/>
        </w:rPr>
        <w:t xml:space="preserve">Exhibit G.24 – Converged E&amp;E System and AMS Business Capability Model and Definitions </w:t>
      </w:r>
      <w:r>
        <w:rPr>
          <w:rFonts w:ascii="Arial" w:hAnsi="Arial" w:cs="Arial"/>
          <w:b/>
          <w:bCs/>
          <w:sz w:val="32"/>
          <w:szCs w:val="32"/>
        </w:rPr>
        <w:br w:type="page"/>
      </w:r>
    </w:p>
    <w:p w14:paraId="135CA57A" w14:textId="0B8DC656" w:rsidR="000A24CD" w:rsidRDefault="00120DC3">
      <w:pPr>
        <w:pStyle w:val="Heading1"/>
      </w:pPr>
      <w:r>
        <w:t>Heat Maps of the OHIP (and NYSOH</w:t>
      </w:r>
      <w:r>
        <w:t>) Capability Model</w:t>
      </w:r>
    </w:p>
    <w:p w14:paraId="3431038B" w14:textId="494E574E" w:rsidR="000A24CD" w:rsidRDefault="00120DC3">
      <w:pPr>
        <w:rPr>
          <w:rFonts w:ascii="Arial" w:hAnsi="Arial" w:cs="Arial"/>
        </w:rPr>
      </w:pPr>
      <w:r>
        <w:rPr>
          <w:rFonts w:ascii="Arial" w:hAnsi="Arial" w:cs="Arial"/>
          <w:noProof/>
        </w:rPr>
        <w:drawing>
          <wp:inline distT="0" distB="0" distL="0" distR="0" wp14:anchorId="3924E96B" wp14:editId="1EA20960">
            <wp:extent cx="2761615" cy="1091565"/>
            <wp:effectExtent l="0" t="0" r="635" b="0"/>
            <wp:docPr id="19772151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1615" cy="1091565"/>
                    </a:xfrm>
                    <a:prstGeom prst="rect">
                      <a:avLst/>
                    </a:prstGeom>
                    <a:noFill/>
                  </pic:spPr>
                </pic:pic>
              </a:graphicData>
            </a:graphic>
          </wp:inline>
        </w:drawing>
      </w:r>
    </w:p>
    <w:p w14:paraId="38DC8968" w14:textId="77777777" w:rsidR="000A24CD" w:rsidRDefault="000A24CD">
      <w:pPr>
        <w:rPr>
          <w:rFonts w:ascii="Arial" w:hAnsi="Arial" w:cs="Arial"/>
        </w:rPr>
      </w:pPr>
    </w:p>
    <w:p w14:paraId="35B21B62" w14:textId="7525404F" w:rsidR="000A24CD" w:rsidRDefault="00120DC3">
      <w:pPr>
        <w:pStyle w:val="Heading2"/>
      </w:pPr>
      <w:r>
        <w:t>Converged E&amp;E Heat Map of the OHIP (&amp; NYSOH) Capability Model</w:t>
      </w:r>
    </w:p>
    <w:p w14:paraId="116620DF" w14:textId="7EDF6896" w:rsidR="000A24CD" w:rsidRDefault="00120DC3">
      <w:pPr>
        <w:rPr>
          <w:rFonts w:ascii="Arial" w:hAnsi="Arial" w:cs="Arial"/>
        </w:rPr>
      </w:pPr>
      <w:r>
        <w:rPr>
          <w:rFonts w:ascii="Arial" w:hAnsi="Arial" w:cs="Arial"/>
          <w:noProof/>
        </w:rPr>
        <w:drawing>
          <wp:inline distT="0" distB="0" distL="0" distR="0" wp14:anchorId="5BBC48FD" wp14:editId="147C3DC3">
            <wp:extent cx="8229600" cy="3006221"/>
            <wp:effectExtent l="0" t="0" r="0" b="3810"/>
            <wp:docPr id="84110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05912"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8229600" cy="3006221"/>
                    </a:xfrm>
                    <a:prstGeom prst="rect">
                      <a:avLst/>
                    </a:prstGeom>
                  </pic:spPr>
                </pic:pic>
              </a:graphicData>
            </a:graphic>
          </wp:inline>
        </w:drawing>
      </w:r>
    </w:p>
    <w:p w14:paraId="22C25EEF" w14:textId="77777777" w:rsidR="000A24CD" w:rsidRDefault="00120DC3">
      <w:pPr>
        <w:pStyle w:val="Heading2"/>
      </w:pPr>
      <w:r>
        <w:t>Channel Management Details</w:t>
      </w:r>
    </w:p>
    <w:p w14:paraId="74EA1450" w14:textId="0C7FED61" w:rsidR="000A24CD" w:rsidRDefault="00120DC3">
      <w:pPr>
        <w:pStyle w:val="Heading2"/>
        <w:jc w:val="center"/>
      </w:pPr>
      <w:r>
        <w:rPr>
          <w:noProof/>
        </w:rPr>
        <w:drawing>
          <wp:inline distT="0" distB="0" distL="0" distR="0" wp14:anchorId="0B2E7F9C" wp14:editId="5F6A4FB0">
            <wp:extent cx="5070079" cy="4846342"/>
            <wp:effectExtent l="0" t="0" r="0" b="0"/>
            <wp:docPr id="1744791513"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91513" name="Picture 1" descr="Diagram&#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6708" cy="4852679"/>
                    </a:xfrm>
                    <a:prstGeom prst="rect">
                      <a:avLst/>
                    </a:prstGeom>
                    <a:noFill/>
                  </pic:spPr>
                </pic:pic>
              </a:graphicData>
            </a:graphic>
          </wp:inline>
        </w:drawing>
      </w:r>
    </w:p>
    <w:p w14:paraId="7386BDBD" w14:textId="541AF689" w:rsidR="000A24CD" w:rsidRDefault="00120DC3">
      <w:pPr>
        <w:pStyle w:val="Heading2"/>
      </w:pPr>
      <w:r>
        <w:t>Customer Service</w:t>
      </w:r>
    </w:p>
    <w:p w14:paraId="1F858CE7" w14:textId="29DFE7E2" w:rsidR="000A24CD" w:rsidRDefault="00120DC3">
      <w:pPr>
        <w:rPr>
          <w:rFonts w:ascii="Arial" w:hAnsi="Arial" w:cs="Arial"/>
        </w:rPr>
      </w:pPr>
      <w:r>
        <w:rPr>
          <w:rFonts w:ascii="Arial" w:hAnsi="Arial" w:cs="Arial"/>
          <w:noProof/>
        </w:rPr>
        <w:drawing>
          <wp:inline distT="0" distB="0" distL="0" distR="0" wp14:anchorId="6FF4F10C" wp14:editId="50AAC740">
            <wp:extent cx="8937669" cy="3056424"/>
            <wp:effectExtent l="0" t="0" r="0" b="0"/>
            <wp:docPr id="619012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68448" cy="3066950"/>
                    </a:xfrm>
                    <a:prstGeom prst="rect">
                      <a:avLst/>
                    </a:prstGeom>
                    <a:noFill/>
                  </pic:spPr>
                </pic:pic>
              </a:graphicData>
            </a:graphic>
          </wp:inline>
        </w:drawing>
      </w:r>
    </w:p>
    <w:p w14:paraId="2DAEC8D6" w14:textId="77777777" w:rsidR="000A24CD" w:rsidRDefault="000A24CD">
      <w:pPr>
        <w:rPr>
          <w:rFonts w:ascii="Arial" w:hAnsi="Arial" w:cs="Arial"/>
        </w:rPr>
      </w:pPr>
    </w:p>
    <w:p w14:paraId="070C7088" w14:textId="77777777" w:rsidR="000A24CD" w:rsidRDefault="000A24CD">
      <w:pPr>
        <w:rPr>
          <w:rFonts w:ascii="Arial" w:hAnsi="Arial" w:cs="Arial"/>
        </w:rPr>
      </w:pPr>
    </w:p>
    <w:p w14:paraId="320E8B4E" w14:textId="77777777" w:rsidR="000A24CD" w:rsidRDefault="000A24CD">
      <w:pPr>
        <w:rPr>
          <w:rFonts w:ascii="Arial" w:hAnsi="Arial" w:cs="Arial"/>
        </w:rPr>
      </w:pPr>
    </w:p>
    <w:p w14:paraId="3D93CD66" w14:textId="77777777" w:rsidR="000A24CD" w:rsidRDefault="000A24CD">
      <w:pPr>
        <w:rPr>
          <w:rFonts w:ascii="Arial" w:hAnsi="Arial" w:cs="Arial"/>
        </w:rPr>
      </w:pPr>
    </w:p>
    <w:p w14:paraId="21C18E4F" w14:textId="77777777" w:rsidR="000A24CD" w:rsidRDefault="000A24CD">
      <w:pPr>
        <w:rPr>
          <w:rFonts w:ascii="Arial" w:hAnsi="Arial" w:cs="Arial"/>
        </w:rPr>
      </w:pPr>
    </w:p>
    <w:p w14:paraId="7D7E6C08" w14:textId="77777777" w:rsidR="000A24CD" w:rsidRDefault="000A24CD">
      <w:pPr>
        <w:rPr>
          <w:rFonts w:ascii="Arial" w:hAnsi="Arial" w:cs="Arial"/>
        </w:rPr>
      </w:pPr>
    </w:p>
    <w:p w14:paraId="0AA46D8C" w14:textId="3A9466B6" w:rsidR="000A24CD" w:rsidRDefault="00120DC3">
      <w:pPr>
        <w:pStyle w:val="Heading2"/>
      </w:pPr>
      <w:r>
        <w:t>Stakeholder Communications</w:t>
      </w:r>
    </w:p>
    <w:p w14:paraId="58837BC0" w14:textId="7C60EDFA" w:rsidR="000A24CD" w:rsidRDefault="00120DC3">
      <w:pPr>
        <w:jc w:val="center"/>
        <w:rPr>
          <w:rFonts w:ascii="Arial" w:hAnsi="Arial" w:cs="Arial"/>
        </w:rPr>
      </w:pPr>
      <w:r>
        <w:rPr>
          <w:rFonts w:ascii="Arial" w:hAnsi="Arial" w:cs="Arial"/>
          <w:noProof/>
        </w:rPr>
        <w:drawing>
          <wp:inline distT="0" distB="0" distL="0" distR="0" wp14:anchorId="4DD2EEA0" wp14:editId="56F82BD0">
            <wp:extent cx="7354957" cy="5086151"/>
            <wp:effectExtent l="0" t="0" r="0" b="635"/>
            <wp:docPr id="19416399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54957" cy="5086151"/>
                    </a:xfrm>
                    <a:prstGeom prst="rect">
                      <a:avLst/>
                    </a:prstGeom>
                    <a:noFill/>
                  </pic:spPr>
                </pic:pic>
              </a:graphicData>
            </a:graphic>
          </wp:inline>
        </w:drawing>
      </w:r>
    </w:p>
    <w:p w14:paraId="429BCAEF" w14:textId="7F9891B8" w:rsidR="000A24CD" w:rsidRDefault="00120DC3">
      <w:pPr>
        <w:pStyle w:val="Heading2"/>
      </w:pPr>
      <w:r>
        <w:t>Consumer Management</w:t>
      </w:r>
    </w:p>
    <w:p w14:paraId="30E6C571" w14:textId="23A1D8E9" w:rsidR="000A24CD" w:rsidRDefault="00120DC3">
      <w:pPr>
        <w:rPr>
          <w:rFonts w:ascii="Arial" w:hAnsi="Arial" w:cs="Arial"/>
        </w:rPr>
      </w:pPr>
      <w:r>
        <w:rPr>
          <w:rFonts w:ascii="Arial" w:hAnsi="Arial" w:cs="Arial"/>
          <w:noProof/>
        </w:rPr>
        <w:drawing>
          <wp:inline distT="0" distB="0" distL="0" distR="0" wp14:anchorId="56308FDF" wp14:editId="419DDD39">
            <wp:extent cx="8825200" cy="5043941"/>
            <wp:effectExtent l="0" t="0" r="0" b="4445"/>
            <wp:docPr id="16208494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49445" name="Picture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825200" cy="5043941"/>
                    </a:xfrm>
                    <a:prstGeom prst="rect">
                      <a:avLst/>
                    </a:prstGeom>
                    <a:noFill/>
                  </pic:spPr>
                </pic:pic>
              </a:graphicData>
            </a:graphic>
          </wp:inline>
        </w:drawing>
      </w:r>
    </w:p>
    <w:p w14:paraId="70133088" w14:textId="7B623555" w:rsidR="000A24CD" w:rsidRDefault="00120DC3">
      <w:pPr>
        <w:pStyle w:val="Heading2"/>
      </w:pPr>
      <w:r>
        <w:t>Service Transaction Processing</w:t>
      </w:r>
    </w:p>
    <w:p w14:paraId="6824E90F" w14:textId="651DCD8D" w:rsidR="000A24CD" w:rsidRDefault="00120DC3">
      <w:pPr>
        <w:jc w:val="center"/>
        <w:rPr>
          <w:rFonts w:ascii="Arial" w:hAnsi="Arial" w:cs="Arial"/>
        </w:rPr>
      </w:pPr>
      <w:r>
        <w:rPr>
          <w:rFonts w:ascii="Arial" w:hAnsi="Arial" w:cs="Arial"/>
          <w:noProof/>
        </w:rPr>
        <w:drawing>
          <wp:inline distT="0" distB="0" distL="0" distR="0" wp14:anchorId="76DE51AC" wp14:editId="398F939B">
            <wp:extent cx="6944719" cy="4954475"/>
            <wp:effectExtent l="0" t="0" r="8890" b="0"/>
            <wp:docPr id="18602523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58646" cy="4964411"/>
                    </a:xfrm>
                    <a:prstGeom prst="rect">
                      <a:avLst/>
                    </a:prstGeom>
                    <a:noFill/>
                  </pic:spPr>
                </pic:pic>
              </a:graphicData>
            </a:graphic>
          </wp:inline>
        </w:drawing>
      </w:r>
    </w:p>
    <w:p w14:paraId="4D9BD85E" w14:textId="6C391929" w:rsidR="000A24CD" w:rsidRDefault="00120DC3">
      <w:pPr>
        <w:pStyle w:val="Heading2"/>
      </w:pPr>
      <w:r>
        <w:t>Program Management and Operation</w:t>
      </w:r>
      <w:r>
        <w:t>s</w:t>
      </w:r>
    </w:p>
    <w:p w14:paraId="2DA20D7B" w14:textId="373BEC20" w:rsidR="000A24CD" w:rsidRDefault="00120DC3">
      <w:pPr>
        <w:rPr>
          <w:rFonts w:ascii="Arial" w:hAnsi="Arial" w:cs="Arial"/>
        </w:rPr>
      </w:pPr>
      <w:r>
        <w:rPr>
          <w:rFonts w:ascii="Arial" w:hAnsi="Arial" w:cs="Arial"/>
          <w:noProof/>
        </w:rPr>
        <w:drawing>
          <wp:inline distT="0" distB="0" distL="0" distR="0" wp14:anchorId="1FFC9354" wp14:editId="440058B1">
            <wp:extent cx="8599688" cy="4834419"/>
            <wp:effectExtent l="0" t="0" r="0" b="4445"/>
            <wp:docPr id="8441231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23163" name="Picture 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8599688" cy="4834419"/>
                    </a:xfrm>
                    <a:prstGeom prst="rect">
                      <a:avLst/>
                    </a:prstGeom>
                    <a:noFill/>
                  </pic:spPr>
                </pic:pic>
              </a:graphicData>
            </a:graphic>
          </wp:inline>
        </w:drawing>
      </w:r>
    </w:p>
    <w:p w14:paraId="745B86C5" w14:textId="77777777" w:rsidR="000A24CD" w:rsidRDefault="000A24CD">
      <w:pPr>
        <w:rPr>
          <w:rFonts w:ascii="Arial" w:hAnsi="Arial" w:cs="Arial"/>
        </w:rPr>
      </w:pPr>
    </w:p>
    <w:p w14:paraId="3DF1418E" w14:textId="77777777" w:rsidR="000A24CD" w:rsidRDefault="000A24CD">
      <w:pPr>
        <w:rPr>
          <w:rFonts w:ascii="Arial" w:hAnsi="Arial" w:cs="Arial"/>
        </w:rPr>
      </w:pPr>
    </w:p>
    <w:p w14:paraId="3B9D8644" w14:textId="5AB9048A" w:rsidR="000A24CD" w:rsidRDefault="00120DC3">
      <w:pPr>
        <w:pStyle w:val="Heading2"/>
      </w:pPr>
      <w:r>
        <w:t>Business Partner Management</w:t>
      </w:r>
    </w:p>
    <w:p w14:paraId="26E6E124" w14:textId="67CCBC4B" w:rsidR="000A24CD" w:rsidRDefault="00120DC3">
      <w:pPr>
        <w:rPr>
          <w:rFonts w:ascii="Arial" w:hAnsi="Arial" w:cs="Arial"/>
        </w:rPr>
      </w:pPr>
      <w:r>
        <w:rPr>
          <w:rFonts w:ascii="Arial" w:hAnsi="Arial" w:cs="Arial"/>
          <w:noProof/>
        </w:rPr>
        <w:drawing>
          <wp:inline distT="0" distB="0" distL="0" distR="0" wp14:anchorId="6DB5430E" wp14:editId="0969E768">
            <wp:extent cx="8659444" cy="901886"/>
            <wp:effectExtent l="0" t="0" r="0" b="0"/>
            <wp:docPr id="4054261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32421" cy="909487"/>
                    </a:xfrm>
                    <a:prstGeom prst="rect">
                      <a:avLst/>
                    </a:prstGeom>
                    <a:noFill/>
                  </pic:spPr>
                </pic:pic>
              </a:graphicData>
            </a:graphic>
          </wp:inline>
        </w:drawing>
      </w:r>
    </w:p>
    <w:p w14:paraId="72BAFC9D" w14:textId="77777777" w:rsidR="000A24CD" w:rsidRDefault="000A24CD">
      <w:pPr>
        <w:rPr>
          <w:rFonts w:ascii="Arial" w:hAnsi="Arial" w:cs="Arial"/>
        </w:rPr>
      </w:pPr>
    </w:p>
    <w:p w14:paraId="068630D4" w14:textId="0102B9F9" w:rsidR="000A24CD" w:rsidRDefault="00120DC3">
      <w:pPr>
        <w:pStyle w:val="Heading1"/>
      </w:pPr>
      <w:r>
        <w:t>Definitions</w:t>
      </w:r>
    </w:p>
    <w:p w14:paraId="3E2F92DE" w14:textId="79CCE25C" w:rsidR="000A24CD" w:rsidRDefault="00120DC3">
      <w:pPr>
        <w:pStyle w:val="Heading2"/>
      </w:pPr>
      <w:r>
        <w:t>Level 1 Capability Definitions</w:t>
      </w:r>
    </w:p>
    <w:tbl>
      <w:tblPr>
        <w:tblW w:w="12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612"/>
        <w:gridCol w:w="1689"/>
        <w:gridCol w:w="1925"/>
        <w:gridCol w:w="2279"/>
        <w:gridCol w:w="5996"/>
      </w:tblGrid>
      <w:tr w:rsidR="000A24CD" w14:paraId="4DFA5B4B" w14:textId="77777777" w:rsidTr="00FD5FFA">
        <w:trPr>
          <w:trHeight w:val="530"/>
          <w:tblHeader/>
        </w:trPr>
        <w:tc>
          <w:tcPr>
            <w:tcW w:w="0" w:type="auto"/>
            <w:shd w:val="clear" w:color="000000" w:fill="43285D"/>
          </w:tcPr>
          <w:p w14:paraId="6C62D5DB" w14:textId="45B175C6" w:rsidR="000A24CD" w:rsidRDefault="00120DC3">
            <w:pPr>
              <w:spacing w:after="0" w:line="240" w:lineRule="auto"/>
              <w:jc w:val="center"/>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w:t>
            </w:r>
          </w:p>
        </w:tc>
        <w:tc>
          <w:tcPr>
            <w:tcW w:w="0" w:type="auto"/>
            <w:shd w:val="clear" w:color="000000" w:fill="43285D"/>
          </w:tcPr>
          <w:p w14:paraId="4079C09A" w14:textId="738264D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ID</w:t>
            </w:r>
          </w:p>
        </w:tc>
        <w:tc>
          <w:tcPr>
            <w:tcW w:w="0" w:type="auto"/>
            <w:shd w:val="clear" w:color="000000" w:fill="43285D"/>
            <w:hideMark/>
          </w:tcPr>
          <w:p w14:paraId="16C559A7" w14:textId="4A892D7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Class</w:t>
            </w:r>
          </w:p>
        </w:tc>
        <w:tc>
          <w:tcPr>
            <w:tcW w:w="0" w:type="auto"/>
            <w:shd w:val="clear" w:color="000000" w:fill="43285D"/>
            <w:hideMark/>
          </w:tcPr>
          <w:p w14:paraId="0F85E807" w14:textId="35DD421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L0 Capability Name</w:t>
            </w:r>
          </w:p>
        </w:tc>
        <w:tc>
          <w:tcPr>
            <w:tcW w:w="0" w:type="auto"/>
            <w:shd w:val="clear" w:color="000000" w:fill="43285D"/>
            <w:hideMark/>
          </w:tcPr>
          <w:p w14:paraId="1F22FC08"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L1 Capability Name</w:t>
            </w:r>
          </w:p>
        </w:tc>
        <w:tc>
          <w:tcPr>
            <w:tcW w:w="0" w:type="auto"/>
            <w:shd w:val="clear" w:color="000000" w:fill="43285D"/>
            <w:hideMark/>
          </w:tcPr>
          <w:p w14:paraId="1C2B8E2F"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L1 Capability Definition</w:t>
            </w:r>
          </w:p>
        </w:tc>
      </w:tr>
      <w:tr w:rsidR="000A24CD" w14:paraId="19113BB3" w14:textId="77777777" w:rsidTr="00FD5FFA">
        <w:trPr>
          <w:trHeight w:val="520"/>
        </w:trPr>
        <w:tc>
          <w:tcPr>
            <w:tcW w:w="0" w:type="auto"/>
          </w:tcPr>
          <w:p w14:paraId="26D38695" w14:textId="01F9FE9E"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w:t>
            </w:r>
          </w:p>
        </w:tc>
        <w:tc>
          <w:tcPr>
            <w:tcW w:w="0" w:type="auto"/>
          </w:tcPr>
          <w:p w14:paraId="48B50E89" w14:textId="33FDB34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CH-1</w:t>
            </w:r>
          </w:p>
        </w:tc>
        <w:tc>
          <w:tcPr>
            <w:tcW w:w="0" w:type="auto"/>
            <w:hideMark/>
          </w:tcPr>
          <w:p w14:paraId="188D2B42" w14:textId="2DB5665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632A3C9A"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6663C82B"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In Person / Office Management</w:t>
            </w:r>
          </w:p>
        </w:tc>
        <w:tc>
          <w:tcPr>
            <w:tcW w:w="0" w:type="auto"/>
            <w:hideMark/>
          </w:tcPr>
          <w:p w14:paraId="1D030CDD" w14:textId="2EC3C18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those capabilities needed in order to manage the in-person channel (e.g., an office location) associated with activities in scope for the business area.</w:t>
            </w:r>
          </w:p>
        </w:tc>
      </w:tr>
      <w:tr w:rsidR="000A24CD" w14:paraId="2B119885" w14:textId="77777777" w:rsidTr="00FD5FFA">
        <w:trPr>
          <w:trHeight w:val="520"/>
        </w:trPr>
        <w:tc>
          <w:tcPr>
            <w:tcW w:w="0" w:type="auto"/>
          </w:tcPr>
          <w:p w14:paraId="2EF6A48D" w14:textId="4063C99A"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w:t>
            </w:r>
          </w:p>
        </w:tc>
        <w:tc>
          <w:tcPr>
            <w:tcW w:w="0" w:type="auto"/>
          </w:tcPr>
          <w:p w14:paraId="716AE64A" w14:textId="1733880A"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CH-2</w:t>
            </w:r>
          </w:p>
        </w:tc>
        <w:tc>
          <w:tcPr>
            <w:tcW w:w="0" w:type="auto"/>
            <w:hideMark/>
          </w:tcPr>
          <w:p w14:paraId="452C0B75" w14:textId="70875C60"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006EBE21"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33809A88"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Chat Management</w:t>
            </w:r>
          </w:p>
        </w:tc>
        <w:tc>
          <w:tcPr>
            <w:tcW w:w="0" w:type="auto"/>
            <w:hideMark/>
          </w:tcPr>
          <w:p w14:paraId="67B52321" w14:textId="3B9FC91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w:t>
            </w:r>
            <w:r>
              <w:rPr>
                <w:rFonts w:ascii="Arial" w:eastAsia="Times New Roman" w:hAnsi="Arial" w:cs="Arial"/>
                <w:color w:val="000000"/>
                <w:kern w:val="0"/>
                <w:sz w:val="20"/>
                <w:szCs w:val="20"/>
                <w14:ligatures w14:val="none"/>
              </w:rPr>
              <w:t xml:space="preserve">on managing the "Chat" channel regardless of the way that functionality is presented (e.g., embedded in other channels such as portals, mobile, or kiosks or stand allows). </w:t>
            </w:r>
          </w:p>
        </w:tc>
      </w:tr>
      <w:tr w:rsidR="000A24CD" w14:paraId="57237D1E" w14:textId="77777777" w:rsidTr="00FD5FFA">
        <w:trPr>
          <w:trHeight w:val="520"/>
        </w:trPr>
        <w:tc>
          <w:tcPr>
            <w:tcW w:w="0" w:type="auto"/>
          </w:tcPr>
          <w:p w14:paraId="04BB350E" w14:textId="27A9FA9A"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3</w:t>
            </w:r>
          </w:p>
        </w:tc>
        <w:tc>
          <w:tcPr>
            <w:tcW w:w="0" w:type="auto"/>
          </w:tcPr>
          <w:p w14:paraId="0952B767" w14:textId="31CF9CB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w:t>
            </w:r>
          </w:p>
        </w:tc>
        <w:tc>
          <w:tcPr>
            <w:tcW w:w="0" w:type="auto"/>
            <w:hideMark/>
          </w:tcPr>
          <w:p w14:paraId="5D14FB49" w14:textId="30AF527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52665163"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3A4D1F34"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Online / Portal Management</w:t>
            </w:r>
          </w:p>
        </w:tc>
        <w:tc>
          <w:tcPr>
            <w:tcW w:w="0" w:type="auto"/>
            <w:hideMark/>
          </w:tcPr>
          <w:p w14:paraId="3BB2D85F" w14:textId="1B9D2BC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includes capabilities focused on the management of the online channel and associated functionality, including corporate or specialized websites, self-service portals.</w:t>
            </w:r>
          </w:p>
        </w:tc>
      </w:tr>
      <w:tr w:rsidR="000A24CD" w14:paraId="2A126B83" w14:textId="77777777" w:rsidTr="00FD5FFA">
        <w:trPr>
          <w:trHeight w:val="520"/>
        </w:trPr>
        <w:tc>
          <w:tcPr>
            <w:tcW w:w="0" w:type="auto"/>
          </w:tcPr>
          <w:p w14:paraId="58770B8F" w14:textId="489B4539"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4</w:t>
            </w:r>
          </w:p>
        </w:tc>
        <w:tc>
          <w:tcPr>
            <w:tcW w:w="0" w:type="auto"/>
          </w:tcPr>
          <w:p w14:paraId="074EE74A" w14:textId="49BFA70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CH-4</w:t>
            </w:r>
          </w:p>
        </w:tc>
        <w:tc>
          <w:tcPr>
            <w:tcW w:w="0" w:type="auto"/>
            <w:hideMark/>
          </w:tcPr>
          <w:p w14:paraId="0783C21E" w14:textId="3B68C3BC"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66B344B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06603D4F"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Kiosk Management</w:t>
            </w:r>
          </w:p>
        </w:tc>
        <w:tc>
          <w:tcPr>
            <w:tcW w:w="0" w:type="auto"/>
            <w:hideMark/>
          </w:tcPr>
          <w:p w14:paraId="351CB9D8" w14:textId="08ECFC1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w:t>
            </w:r>
            <w:r>
              <w:rPr>
                <w:rFonts w:ascii="Arial" w:eastAsia="Times New Roman" w:hAnsi="Arial" w:cs="Arial"/>
                <w:color w:val="000000"/>
                <w:kern w:val="0"/>
                <w:sz w:val="20"/>
                <w:szCs w:val="20"/>
                <w14:ligatures w14:val="none"/>
              </w:rPr>
              <w:t>ility reflects capabilities focused on managing the touch-screen kiosks as a channel for receipt and delivery of communications to stakeholders or assisting with processing transactions.</w:t>
            </w:r>
          </w:p>
        </w:tc>
      </w:tr>
      <w:tr w:rsidR="000A24CD" w14:paraId="7488E167" w14:textId="77777777" w:rsidTr="00FD5FFA">
        <w:trPr>
          <w:trHeight w:val="520"/>
        </w:trPr>
        <w:tc>
          <w:tcPr>
            <w:tcW w:w="0" w:type="auto"/>
          </w:tcPr>
          <w:p w14:paraId="4491E4AE" w14:textId="314D3DEB"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w:t>
            </w:r>
          </w:p>
        </w:tc>
        <w:tc>
          <w:tcPr>
            <w:tcW w:w="0" w:type="auto"/>
          </w:tcPr>
          <w:p w14:paraId="5813519A" w14:textId="6376185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CH-5</w:t>
            </w:r>
          </w:p>
        </w:tc>
        <w:tc>
          <w:tcPr>
            <w:tcW w:w="0" w:type="auto"/>
            <w:hideMark/>
          </w:tcPr>
          <w:p w14:paraId="1FB3447A" w14:textId="61D930A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0AE4914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7DA62456"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Phone Management</w:t>
            </w:r>
          </w:p>
        </w:tc>
        <w:tc>
          <w:tcPr>
            <w:tcW w:w="0" w:type="auto"/>
            <w:hideMark/>
          </w:tcPr>
          <w:p w14:paraId="69CCE562" w14:textId="0FF12D0A"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includes capabilities focused on management of the phone channel as a channel for receipt and delivery of communications to stakeholders.</w:t>
            </w:r>
          </w:p>
        </w:tc>
      </w:tr>
      <w:tr w:rsidR="000A24CD" w14:paraId="1CC60C57" w14:textId="77777777" w:rsidTr="00FD5FFA">
        <w:trPr>
          <w:trHeight w:val="520"/>
        </w:trPr>
        <w:tc>
          <w:tcPr>
            <w:tcW w:w="0" w:type="auto"/>
          </w:tcPr>
          <w:p w14:paraId="64DEB022" w14:textId="708D8D7B"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6</w:t>
            </w:r>
          </w:p>
        </w:tc>
        <w:tc>
          <w:tcPr>
            <w:tcW w:w="0" w:type="auto"/>
          </w:tcPr>
          <w:p w14:paraId="58DB2BA0" w14:textId="393FEFC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CH-6</w:t>
            </w:r>
          </w:p>
        </w:tc>
        <w:tc>
          <w:tcPr>
            <w:tcW w:w="0" w:type="auto"/>
            <w:hideMark/>
          </w:tcPr>
          <w:p w14:paraId="423C0F79" w14:textId="0B614EE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18ACD0FD"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38DA479D"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Mobile Management</w:t>
            </w:r>
          </w:p>
        </w:tc>
        <w:tc>
          <w:tcPr>
            <w:tcW w:w="0" w:type="auto"/>
            <w:hideMark/>
          </w:tcPr>
          <w:p w14:paraId="28FA1360" w14:textId="3259949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mana</w:t>
            </w:r>
            <w:r>
              <w:rPr>
                <w:rFonts w:ascii="Arial" w:eastAsia="Times New Roman" w:hAnsi="Arial" w:cs="Arial"/>
                <w:color w:val="000000"/>
                <w:kern w:val="0"/>
                <w:sz w:val="20"/>
                <w:szCs w:val="20"/>
                <w14:ligatures w14:val="none"/>
              </w:rPr>
              <w:t>gement of the mobile channel and related functionality, including mobile applications. This communication can be standardized (content for a generic, unidentified audience), customized or personalized.</w:t>
            </w:r>
          </w:p>
        </w:tc>
      </w:tr>
      <w:tr w:rsidR="000A24CD" w14:paraId="48C08265" w14:textId="77777777" w:rsidTr="00FD5FFA">
        <w:trPr>
          <w:trHeight w:val="750"/>
        </w:trPr>
        <w:tc>
          <w:tcPr>
            <w:tcW w:w="0" w:type="auto"/>
          </w:tcPr>
          <w:p w14:paraId="1346FAC8" w14:textId="77304D2C"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7</w:t>
            </w:r>
          </w:p>
        </w:tc>
        <w:tc>
          <w:tcPr>
            <w:tcW w:w="0" w:type="auto"/>
          </w:tcPr>
          <w:p w14:paraId="6DABB821" w14:textId="31A5B13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CH-7</w:t>
            </w:r>
          </w:p>
        </w:tc>
        <w:tc>
          <w:tcPr>
            <w:tcW w:w="0" w:type="auto"/>
            <w:hideMark/>
          </w:tcPr>
          <w:p w14:paraId="113CABEE" w14:textId="014CD43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14EFCCA4"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71A6E9FB" w14:textId="3C8CF881"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Mail / Electronic</w:t>
            </w:r>
          </w:p>
          <w:p w14:paraId="085DE3B0" w14:textId="2F1A2444"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Correspondence</w:t>
            </w:r>
          </w:p>
          <w:p w14:paraId="4E8A794F" w14:textId="0952C35C"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Management</w:t>
            </w:r>
          </w:p>
        </w:tc>
        <w:tc>
          <w:tcPr>
            <w:tcW w:w="0" w:type="auto"/>
            <w:hideMark/>
          </w:tcPr>
          <w:p w14:paraId="315C9B59" w14:textId="15F7E83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management of the channels that support physical and electronic correspondence (e.g., mail, email, SMS, and fax) and enables asynchronous, one-way push communications where there is an </w:t>
            </w:r>
            <w:r>
              <w:rPr>
                <w:rFonts w:ascii="Arial" w:eastAsia="Times New Roman" w:hAnsi="Arial" w:cs="Arial"/>
                <w:color w:val="000000"/>
                <w:kern w:val="0"/>
                <w:sz w:val="20"/>
                <w:szCs w:val="20"/>
                <w14:ligatures w14:val="none"/>
              </w:rPr>
              <w:t xml:space="preserve">intentional lag between the inquiry and response due to the nature of the channel. </w:t>
            </w:r>
          </w:p>
        </w:tc>
      </w:tr>
      <w:tr w:rsidR="000A24CD" w14:paraId="78CCC344" w14:textId="77777777" w:rsidTr="00FD5FFA">
        <w:trPr>
          <w:trHeight w:val="530"/>
        </w:trPr>
        <w:tc>
          <w:tcPr>
            <w:tcW w:w="0" w:type="auto"/>
          </w:tcPr>
          <w:p w14:paraId="2AAEC8CB" w14:textId="18617F9F"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w:t>
            </w:r>
          </w:p>
        </w:tc>
        <w:tc>
          <w:tcPr>
            <w:tcW w:w="0" w:type="auto"/>
          </w:tcPr>
          <w:p w14:paraId="31B956EB" w14:textId="62939570"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CH-8</w:t>
            </w:r>
          </w:p>
        </w:tc>
        <w:tc>
          <w:tcPr>
            <w:tcW w:w="0" w:type="auto"/>
          </w:tcPr>
          <w:p w14:paraId="7C0B6B65" w14:textId="208CFC90"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tcPr>
          <w:p w14:paraId="482D4E2A" w14:textId="51AE90A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tcPr>
          <w:p w14:paraId="0D1C7A93" w14:textId="30F12B4B"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Social Media Management</w:t>
            </w:r>
          </w:p>
        </w:tc>
        <w:tc>
          <w:tcPr>
            <w:tcW w:w="0" w:type="auto"/>
          </w:tcPr>
          <w:p w14:paraId="189720A9" w14:textId="52D8CA4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management of and participation in </w:t>
            </w:r>
            <w:proofErr w:type="gramStart"/>
            <w:r>
              <w:rPr>
                <w:rFonts w:ascii="Arial" w:eastAsia="Times New Roman" w:hAnsi="Arial" w:cs="Arial"/>
                <w:color w:val="000000"/>
                <w:kern w:val="0"/>
                <w:sz w:val="20"/>
                <w:szCs w:val="20"/>
                <w14:ligatures w14:val="none"/>
              </w:rPr>
              <w:t>the social</w:t>
            </w:r>
            <w:proofErr w:type="gramEnd"/>
            <w:r>
              <w:rPr>
                <w:rFonts w:ascii="Arial" w:eastAsia="Times New Roman" w:hAnsi="Arial" w:cs="Arial"/>
                <w:color w:val="000000"/>
                <w:kern w:val="0"/>
                <w:sz w:val="20"/>
                <w:szCs w:val="20"/>
                <w14:ligatures w14:val="none"/>
              </w:rPr>
              <w:t xml:space="preserve"> media platforms </w:t>
            </w:r>
            <w:proofErr w:type="gramStart"/>
            <w:r>
              <w:rPr>
                <w:rFonts w:ascii="Arial" w:eastAsia="Times New Roman" w:hAnsi="Arial" w:cs="Arial"/>
                <w:color w:val="000000"/>
                <w:kern w:val="0"/>
                <w:sz w:val="20"/>
                <w:szCs w:val="20"/>
                <w14:ligatures w14:val="none"/>
              </w:rPr>
              <w:t>as a way to</w:t>
            </w:r>
            <w:proofErr w:type="gramEnd"/>
            <w:r>
              <w:rPr>
                <w:rFonts w:ascii="Arial" w:eastAsia="Times New Roman" w:hAnsi="Arial" w:cs="Arial"/>
                <w:color w:val="000000"/>
                <w:kern w:val="0"/>
                <w:sz w:val="20"/>
                <w:szCs w:val="20"/>
                <w14:ligatures w14:val="none"/>
              </w:rPr>
              <w:t xml:space="preserve"> communicate and to get involved in conversations with stakeholders that are or could be open to the </w:t>
            </w:r>
            <w:proofErr w:type="gramStart"/>
            <w:r>
              <w:rPr>
                <w:rFonts w:ascii="Arial" w:eastAsia="Times New Roman" w:hAnsi="Arial" w:cs="Arial"/>
                <w:color w:val="000000"/>
                <w:kern w:val="0"/>
                <w:sz w:val="20"/>
                <w:szCs w:val="20"/>
                <w14:ligatures w14:val="none"/>
              </w:rPr>
              <w:t>general public</w:t>
            </w:r>
            <w:proofErr w:type="gramEnd"/>
            <w:r>
              <w:rPr>
                <w:rFonts w:ascii="Arial" w:eastAsia="Times New Roman" w:hAnsi="Arial" w:cs="Arial"/>
                <w:color w:val="000000"/>
                <w:kern w:val="0"/>
                <w:sz w:val="20"/>
                <w:szCs w:val="20"/>
                <w14:ligatures w14:val="none"/>
              </w:rPr>
              <w:t>.</w:t>
            </w:r>
          </w:p>
        </w:tc>
      </w:tr>
      <w:tr w:rsidR="000A24CD" w14:paraId="7C4B7A2E" w14:textId="77777777" w:rsidTr="00FD5FFA">
        <w:trPr>
          <w:trHeight w:val="530"/>
        </w:trPr>
        <w:tc>
          <w:tcPr>
            <w:tcW w:w="0" w:type="auto"/>
          </w:tcPr>
          <w:p w14:paraId="6B5CFBFD" w14:textId="527D3F56"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9</w:t>
            </w:r>
          </w:p>
        </w:tc>
        <w:tc>
          <w:tcPr>
            <w:tcW w:w="0" w:type="auto"/>
          </w:tcPr>
          <w:p w14:paraId="3FA65BC2" w14:textId="366F6AB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CH-9</w:t>
            </w:r>
          </w:p>
        </w:tc>
        <w:tc>
          <w:tcPr>
            <w:tcW w:w="0" w:type="auto"/>
            <w:hideMark/>
          </w:tcPr>
          <w:p w14:paraId="1C572719" w14:textId="63A60AEE"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145F902E"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shd w:val="clear" w:color="000000" w:fill="FFFFFF"/>
            <w:hideMark/>
          </w:tcPr>
          <w:p w14:paraId="312B027D"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Omni Channel Management</w:t>
            </w:r>
          </w:p>
        </w:tc>
        <w:tc>
          <w:tcPr>
            <w:tcW w:w="0" w:type="auto"/>
            <w:hideMark/>
          </w:tcPr>
          <w:p w14:paraId="5A0B3DB7" w14:textId="61D4981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managing across channels so </w:t>
            </w:r>
            <w:r>
              <w:rPr>
                <w:rFonts w:ascii="Arial" w:eastAsia="Times New Roman" w:hAnsi="Arial" w:cs="Arial"/>
                <w:color w:val="000000"/>
                <w:kern w:val="0"/>
                <w:sz w:val="20"/>
                <w:szCs w:val="20"/>
                <w14:ligatures w14:val="none"/>
              </w:rPr>
              <w:t xml:space="preserve">that the constituent can develop a seamless and integrated experience no matter where the contact has been initiated or continued. </w:t>
            </w:r>
          </w:p>
        </w:tc>
      </w:tr>
      <w:tr w:rsidR="000A24CD" w14:paraId="07EB853A" w14:textId="77777777" w:rsidTr="00FD5FFA">
        <w:trPr>
          <w:trHeight w:val="520"/>
        </w:trPr>
        <w:tc>
          <w:tcPr>
            <w:tcW w:w="0" w:type="auto"/>
          </w:tcPr>
          <w:p w14:paraId="39AE1249" w14:textId="1331B38E"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10</w:t>
            </w:r>
          </w:p>
        </w:tc>
        <w:tc>
          <w:tcPr>
            <w:tcW w:w="0" w:type="auto"/>
          </w:tcPr>
          <w:p w14:paraId="21DC975B" w14:textId="0530BC2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CS-1</w:t>
            </w:r>
          </w:p>
        </w:tc>
        <w:tc>
          <w:tcPr>
            <w:tcW w:w="0" w:type="auto"/>
            <w:hideMark/>
          </w:tcPr>
          <w:p w14:paraId="769B3BB5" w14:textId="33DAF70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2970C58D"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Customer Service</w:t>
            </w:r>
          </w:p>
        </w:tc>
        <w:tc>
          <w:tcPr>
            <w:tcW w:w="0" w:type="auto"/>
            <w:shd w:val="clear" w:color="000000" w:fill="FFFFFF"/>
            <w:hideMark/>
          </w:tcPr>
          <w:p w14:paraId="665774E8"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Application Assistance</w:t>
            </w:r>
          </w:p>
        </w:tc>
        <w:tc>
          <w:tcPr>
            <w:tcW w:w="0" w:type="auto"/>
            <w:hideMark/>
          </w:tcPr>
          <w:p w14:paraId="442CDB72" w14:textId="7243B77C"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involves assisting consumers with their application (new or renewal, complete or partial) and submitting the application/renewal for further processing in the name of the consumer.  </w:t>
            </w:r>
          </w:p>
        </w:tc>
      </w:tr>
      <w:tr w:rsidR="000A24CD" w14:paraId="57950541" w14:textId="77777777" w:rsidTr="00FD5FFA">
        <w:trPr>
          <w:trHeight w:val="520"/>
        </w:trPr>
        <w:tc>
          <w:tcPr>
            <w:tcW w:w="0" w:type="auto"/>
          </w:tcPr>
          <w:p w14:paraId="1D0DCD79" w14:textId="25DB883A"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w:t>
            </w:r>
          </w:p>
        </w:tc>
        <w:tc>
          <w:tcPr>
            <w:tcW w:w="0" w:type="auto"/>
          </w:tcPr>
          <w:p w14:paraId="6385C9F3" w14:textId="18DE23B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CS-2</w:t>
            </w:r>
          </w:p>
        </w:tc>
        <w:tc>
          <w:tcPr>
            <w:tcW w:w="0" w:type="auto"/>
            <w:hideMark/>
          </w:tcPr>
          <w:p w14:paraId="7162A941" w14:textId="2AE2F820"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46B59DE0"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Customer Service</w:t>
            </w:r>
          </w:p>
        </w:tc>
        <w:tc>
          <w:tcPr>
            <w:tcW w:w="0" w:type="auto"/>
            <w:shd w:val="clear" w:color="000000" w:fill="FFFFFF"/>
            <w:hideMark/>
          </w:tcPr>
          <w:p w14:paraId="407685E6"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Manage Customer Inquiry and Response</w:t>
            </w:r>
          </w:p>
        </w:tc>
        <w:tc>
          <w:tcPr>
            <w:tcW w:w="0" w:type="auto"/>
            <w:hideMark/>
          </w:tcPr>
          <w:p w14:paraId="1DFB9522" w14:textId="6055A2A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w:t>
            </w:r>
            <w:r>
              <w:rPr>
                <w:rFonts w:ascii="Arial" w:eastAsia="Times New Roman" w:hAnsi="Arial" w:cs="Arial"/>
                <w:color w:val="000000"/>
                <w:kern w:val="0"/>
                <w:sz w:val="20"/>
                <w:szCs w:val="20"/>
                <w14:ligatures w14:val="none"/>
              </w:rPr>
              <w:t xml:space="preserve">cused on intaking, properly documenting, maintaining, organizing, responding, closing and archiving inquiries received from consumers and the general public as well as the responses offered. </w:t>
            </w:r>
          </w:p>
        </w:tc>
      </w:tr>
      <w:tr w:rsidR="000A24CD" w14:paraId="705B1B4D" w14:textId="77777777" w:rsidTr="00FD5FFA">
        <w:trPr>
          <w:trHeight w:val="530"/>
        </w:trPr>
        <w:tc>
          <w:tcPr>
            <w:tcW w:w="0" w:type="auto"/>
          </w:tcPr>
          <w:p w14:paraId="027C33DE" w14:textId="38AEFE71"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12</w:t>
            </w:r>
          </w:p>
        </w:tc>
        <w:tc>
          <w:tcPr>
            <w:tcW w:w="0" w:type="auto"/>
          </w:tcPr>
          <w:p w14:paraId="7679FE79" w14:textId="7A0A917C"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CS-3</w:t>
            </w:r>
          </w:p>
        </w:tc>
        <w:tc>
          <w:tcPr>
            <w:tcW w:w="0" w:type="auto"/>
            <w:hideMark/>
          </w:tcPr>
          <w:p w14:paraId="0AF76888" w14:textId="504D3E3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3B059DD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Customer Service</w:t>
            </w:r>
          </w:p>
        </w:tc>
        <w:tc>
          <w:tcPr>
            <w:tcW w:w="0" w:type="auto"/>
            <w:shd w:val="clear" w:color="000000" w:fill="FFFFFF"/>
            <w:hideMark/>
          </w:tcPr>
          <w:p w14:paraId="61853611"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Manage Customer Transaction Support Request</w:t>
            </w:r>
          </w:p>
        </w:tc>
        <w:tc>
          <w:tcPr>
            <w:tcW w:w="0" w:type="auto"/>
            <w:hideMark/>
          </w:tcPr>
          <w:p w14:paraId="4E7818C5" w14:textId="3E58157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intaking, properly documenting, maintaining, organizing, responding, closing and archiving transaction requests from consumers as well as the resolution. </w:t>
            </w:r>
          </w:p>
        </w:tc>
      </w:tr>
      <w:tr w:rsidR="000A24CD" w14:paraId="4189D860" w14:textId="77777777" w:rsidTr="00FD5FFA">
        <w:trPr>
          <w:trHeight w:val="520"/>
        </w:trPr>
        <w:tc>
          <w:tcPr>
            <w:tcW w:w="0" w:type="auto"/>
          </w:tcPr>
          <w:p w14:paraId="1C8E468C" w14:textId="54A432EC"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13</w:t>
            </w:r>
          </w:p>
        </w:tc>
        <w:tc>
          <w:tcPr>
            <w:tcW w:w="0" w:type="auto"/>
          </w:tcPr>
          <w:p w14:paraId="49295BCB" w14:textId="0626E0E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w:t>
            </w:r>
          </w:p>
        </w:tc>
        <w:tc>
          <w:tcPr>
            <w:tcW w:w="0" w:type="auto"/>
            <w:hideMark/>
          </w:tcPr>
          <w:p w14:paraId="72333BBA" w14:textId="4E3CB01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087BFAF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Stakehol</w:t>
            </w:r>
            <w:r>
              <w:rPr>
                <w:rFonts w:ascii="Arial" w:eastAsia="Times New Roman" w:hAnsi="Arial" w:cs="Arial"/>
                <w:color w:val="000000"/>
                <w:kern w:val="0"/>
                <w:sz w:val="20"/>
                <w:szCs w:val="20"/>
                <w14:ligatures w14:val="none"/>
              </w:rPr>
              <w:t xml:space="preserve">der Communication </w:t>
            </w:r>
          </w:p>
        </w:tc>
        <w:tc>
          <w:tcPr>
            <w:tcW w:w="0" w:type="auto"/>
            <w:shd w:val="clear" w:color="000000" w:fill="FFFFFF"/>
            <w:hideMark/>
          </w:tcPr>
          <w:p w14:paraId="1758B572"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Stakeholder Notification</w:t>
            </w:r>
          </w:p>
        </w:tc>
        <w:tc>
          <w:tcPr>
            <w:tcW w:w="0" w:type="auto"/>
            <w:hideMark/>
          </w:tcPr>
          <w:p w14:paraId="4135A1B8" w14:textId="543BBE5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managing stakeholder notifications.</w:t>
            </w:r>
          </w:p>
        </w:tc>
      </w:tr>
      <w:tr w:rsidR="000A24CD" w14:paraId="6C5AA6A7" w14:textId="77777777" w:rsidTr="00FD5FFA">
        <w:trPr>
          <w:trHeight w:val="520"/>
        </w:trPr>
        <w:tc>
          <w:tcPr>
            <w:tcW w:w="0" w:type="auto"/>
          </w:tcPr>
          <w:p w14:paraId="456318F8" w14:textId="56BD2D3A"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14</w:t>
            </w:r>
          </w:p>
        </w:tc>
        <w:tc>
          <w:tcPr>
            <w:tcW w:w="0" w:type="auto"/>
          </w:tcPr>
          <w:p w14:paraId="32625900" w14:textId="72B5D96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SC-2</w:t>
            </w:r>
          </w:p>
        </w:tc>
        <w:tc>
          <w:tcPr>
            <w:tcW w:w="0" w:type="auto"/>
            <w:hideMark/>
          </w:tcPr>
          <w:p w14:paraId="603EAE1E" w14:textId="264B82D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31D0252E"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Stakeholder Communication </w:t>
            </w:r>
          </w:p>
        </w:tc>
        <w:tc>
          <w:tcPr>
            <w:tcW w:w="0" w:type="auto"/>
            <w:shd w:val="clear" w:color="000000" w:fill="FFFFFF"/>
            <w:hideMark/>
          </w:tcPr>
          <w:p w14:paraId="192F2955"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Stakeholder Outreach Campaign</w:t>
            </w:r>
          </w:p>
        </w:tc>
        <w:tc>
          <w:tcPr>
            <w:tcW w:w="0" w:type="auto"/>
            <w:hideMark/>
          </w:tcPr>
          <w:p w14:paraId="415170A1" w14:textId="1301AFC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dealing with general and targeted outreach to stakeholders. </w:t>
            </w:r>
          </w:p>
        </w:tc>
      </w:tr>
      <w:tr w:rsidR="000A24CD" w14:paraId="41F39437" w14:textId="77777777" w:rsidTr="00FD5FFA">
        <w:trPr>
          <w:trHeight w:val="530"/>
        </w:trPr>
        <w:tc>
          <w:tcPr>
            <w:tcW w:w="0" w:type="auto"/>
          </w:tcPr>
          <w:p w14:paraId="7E66D184" w14:textId="7CB11EBD"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15</w:t>
            </w:r>
          </w:p>
        </w:tc>
        <w:tc>
          <w:tcPr>
            <w:tcW w:w="0" w:type="auto"/>
          </w:tcPr>
          <w:p w14:paraId="062C0F89" w14:textId="6AD8133C"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SC-3</w:t>
            </w:r>
          </w:p>
        </w:tc>
        <w:tc>
          <w:tcPr>
            <w:tcW w:w="0" w:type="auto"/>
            <w:hideMark/>
          </w:tcPr>
          <w:p w14:paraId="6CB85086" w14:textId="6D1348B9"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hideMark/>
          </w:tcPr>
          <w:p w14:paraId="7AA7B53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Stakeholder Communication </w:t>
            </w:r>
          </w:p>
        </w:tc>
        <w:tc>
          <w:tcPr>
            <w:tcW w:w="0" w:type="auto"/>
            <w:shd w:val="clear" w:color="000000" w:fill="FFFFFF"/>
            <w:hideMark/>
          </w:tcPr>
          <w:p w14:paraId="0EE13A09"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Public Alert</w:t>
            </w:r>
          </w:p>
        </w:tc>
        <w:tc>
          <w:tcPr>
            <w:tcW w:w="0" w:type="auto"/>
            <w:hideMark/>
          </w:tcPr>
          <w:p w14:paraId="717C2064" w14:textId="42C02FA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alerting the public to emergencies, relevant news, etc. </w:t>
            </w:r>
          </w:p>
        </w:tc>
      </w:tr>
      <w:tr w:rsidR="000A24CD" w14:paraId="60748061" w14:textId="77777777" w:rsidTr="00FD5FFA">
        <w:trPr>
          <w:trHeight w:val="520"/>
        </w:trPr>
        <w:tc>
          <w:tcPr>
            <w:tcW w:w="0" w:type="auto"/>
          </w:tcPr>
          <w:p w14:paraId="0EB041DB" w14:textId="021DCEED"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16</w:t>
            </w:r>
          </w:p>
        </w:tc>
        <w:tc>
          <w:tcPr>
            <w:tcW w:w="0" w:type="auto"/>
          </w:tcPr>
          <w:p w14:paraId="52F41479" w14:textId="04DF89A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CM-1</w:t>
            </w:r>
          </w:p>
        </w:tc>
        <w:tc>
          <w:tcPr>
            <w:tcW w:w="0" w:type="auto"/>
            <w:hideMark/>
          </w:tcPr>
          <w:p w14:paraId="3889CD6F" w14:textId="7711863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hideMark/>
          </w:tcPr>
          <w:p w14:paraId="683AC3B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31746FC6"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Eligibility and Enrollm</w:t>
            </w:r>
            <w:r>
              <w:rPr>
                <w:rFonts w:ascii="Arial" w:eastAsia="Times New Roman" w:hAnsi="Arial" w:cs="Arial"/>
                <w:b/>
                <w:bCs/>
                <w:kern w:val="0"/>
                <w:sz w:val="20"/>
                <w:szCs w:val="20"/>
                <w14:ligatures w14:val="none"/>
              </w:rPr>
              <w:t xml:space="preserve">ent Management </w:t>
            </w:r>
          </w:p>
        </w:tc>
        <w:tc>
          <w:tcPr>
            <w:tcW w:w="0" w:type="auto"/>
            <w:hideMark/>
          </w:tcPr>
          <w:p w14:paraId="5AF0BC4B" w14:textId="61F1819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determining consumer eligibility and on managing the enrollment process.</w:t>
            </w:r>
          </w:p>
        </w:tc>
      </w:tr>
      <w:tr w:rsidR="000A24CD" w14:paraId="26D211CA" w14:textId="77777777" w:rsidTr="00FD5FFA">
        <w:trPr>
          <w:trHeight w:val="520"/>
        </w:trPr>
        <w:tc>
          <w:tcPr>
            <w:tcW w:w="0" w:type="auto"/>
          </w:tcPr>
          <w:p w14:paraId="62C3D311" w14:textId="15A8AE46"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17</w:t>
            </w:r>
          </w:p>
        </w:tc>
        <w:tc>
          <w:tcPr>
            <w:tcW w:w="0" w:type="auto"/>
          </w:tcPr>
          <w:p w14:paraId="52487DB8" w14:textId="009B59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CM-2</w:t>
            </w:r>
          </w:p>
        </w:tc>
        <w:tc>
          <w:tcPr>
            <w:tcW w:w="0" w:type="auto"/>
            <w:hideMark/>
          </w:tcPr>
          <w:p w14:paraId="706E0218" w14:textId="475F729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hideMark/>
          </w:tcPr>
          <w:p w14:paraId="628CDA4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509FFEEF" w14:textId="15EFFFE9"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Appeal</w:t>
            </w:r>
            <w:r w:rsidR="00A8309B">
              <w:rPr>
                <w:rFonts w:ascii="Arial" w:eastAsia="Times New Roman" w:hAnsi="Arial" w:cs="Arial"/>
                <w:b/>
                <w:bCs/>
                <w:kern w:val="0"/>
                <w:sz w:val="20"/>
                <w:szCs w:val="20"/>
                <w14:ligatures w14:val="none"/>
              </w:rPr>
              <w:t>s</w:t>
            </w:r>
            <w:r>
              <w:rPr>
                <w:rFonts w:ascii="Arial" w:eastAsia="Times New Roman" w:hAnsi="Arial" w:cs="Arial"/>
                <w:b/>
                <w:bCs/>
                <w:kern w:val="0"/>
                <w:sz w:val="20"/>
                <w:szCs w:val="20"/>
                <w14:ligatures w14:val="none"/>
              </w:rPr>
              <w:t xml:space="preserve"> Management</w:t>
            </w:r>
          </w:p>
        </w:tc>
        <w:tc>
          <w:tcPr>
            <w:tcW w:w="0" w:type="auto"/>
            <w:hideMark/>
          </w:tcPr>
          <w:p w14:paraId="250408CB" w14:textId="2EA245B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creating new cases for appeals and processing them through to resolution. This capability is designed to intake, record, manage, process, document, and facilitate a resolution. </w:t>
            </w:r>
          </w:p>
        </w:tc>
      </w:tr>
      <w:tr w:rsidR="000A24CD" w14:paraId="133EE298" w14:textId="77777777" w:rsidTr="00FD5FFA">
        <w:trPr>
          <w:trHeight w:val="520"/>
        </w:trPr>
        <w:tc>
          <w:tcPr>
            <w:tcW w:w="0" w:type="auto"/>
          </w:tcPr>
          <w:p w14:paraId="546DF557" w14:textId="7D540B35"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w:t>
            </w:r>
          </w:p>
        </w:tc>
        <w:tc>
          <w:tcPr>
            <w:tcW w:w="0" w:type="auto"/>
          </w:tcPr>
          <w:p w14:paraId="68C6CBBD" w14:textId="2EC8478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CM-3</w:t>
            </w:r>
          </w:p>
        </w:tc>
        <w:tc>
          <w:tcPr>
            <w:tcW w:w="0" w:type="auto"/>
            <w:hideMark/>
          </w:tcPr>
          <w:p w14:paraId="64013524" w14:textId="0CFB17E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hideMark/>
          </w:tcPr>
          <w:p w14:paraId="1EEF144E"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54EAC243"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Consumer Information Management</w:t>
            </w:r>
          </w:p>
        </w:tc>
        <w:tc>
          <w:tcPr>
            <w:tcW w:w="0" w:type="auto"/>
            <w:hideMark/>
          </w:tcPr>
          <w:p w14:paraId="4D2B5A95" w14:textId="1148F8A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grouping deals with client information man</w:t>
            </w:r>
            <w:r>
              <w:rPr>
                <w:rFonts w:ascii="Arial" w:eastAsia="Times New Roman" w:hAnsi="Arial" w:cs="Arial"/>
                <w:color w:val="000000"/>
                <w:kern w:val="0"/>
                <w:sz w:val="20"/>
                <w:szCs w:val="20"/>
                <w14:ligatures w14:val="none"/>
              </w:rPr>
              <w:t>agement, including gathering, sharing, and finding information.</w:t>
            </w:r>
          </w:p>
        </w:tc>
      </w:tr>
      <w:tr w:rsidR="000A24CD" w14:paraId="729EC3DF" w14:textId="77777777" w:rsidTr="00FD5FFA">
        <w:trPr>
          <w:trHeight w:val="520"/>
        </w:trPr>
        <w:tc>
          <w:tcPr>
            <w:tcW w:w="0" w:type="auto"/>
          </w:tcPr>
          <w:p w14:paraId="59164B98" w14:textId="7C8D52B3"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w:t>
            </w:r>
          </w:p>
        </w:tc>
        <w:tc>
          <w:tcPr>
            <w:tcW w:w="0" w:type="auto"/>
          </w:tcPr>
          <w:p w14:paraId="783A2973" w14:textId="5F5849D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CM-4</w:t>
            </w:r>
          </w:p>
        </w:tc>
        <w:tc>
          <w:tcPr>
            <w:tcW w:w="0" w:type="auto"/>
            <w:hideMark/>
          </w:tcPr>
          <w:p w14:paraId="6E879A3D" w14:textId="79BBAC2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hideMark/>
          </w:tcPr>
          <w:p w14:paraId="0238528B"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45C36215"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Case Information Management</w:t>
            </w:r>
          </w:p>
        </w:tc>
        <w:tc>
          <w:tcPr>
            <w:tcW w:w="0" w:type="auto"/>
            <w:shd w:val="clear" w:color="000000" w:fill="FFFFFF"/>
            <w:hideMark/>
          </w:tcPr>
          <w:p w14:paraId="73969353" w14:textId="37778D9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This capability is focused on managing information associated with cases inclusive of creation, updating, closing cases. </w:t>
            </w:r>
          </w:p>
        </w:tc>
      </w:tr>
      <w:tr w:rsidR="000A24CD" w14:paraId="49811C2F" w14:textId="77777777" w:rsidTr="00FD5FFA">
        <w:trPr>
          <w:trHeight w:val="530"/>
        </w:trPr>
        <w:tc>
          <w:tcPr>
            <w:tcW w:w="0" w:type="auto"/>
          </w:tcPr>
          <w:p w14:paraId="554B8713" w14:textId="7C590137"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20</w:t>
            </w:r>
          </w:p>
        </w:tc>
        <w:tc>
          <w:tcPr>
            <w:tcW w:w="0" w:type="auto"/>
          </w:tcPr>
          <w:p w14:paraId="3E4D20DC" w14:textId="79EEB2BA"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CM-6</w:t>
            </w:r>
          </w:p>
        </w:tc>
        <w:tc>
          <w:tcPr>
            <w:tcW w:w="0" w:type="auto"/>
            <w:hideMark/>
          </w:tcPr>
          <w:p w14:paraId="0D7C4FEE" w14:textId="3F38AB3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hideMark/>
          </w:tcPr>
          <w:p w14:paraId="75E56B3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7D4F4CD5"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Referrals Management</w:t>
            </w:r>
          </w:p>
        </w:tc>
        <w:tc>
          <w:tcPr>
            <w:tcW w:w="0" w:type="auto"/>
            <w:hideMark/>
          </w:tcPr>
          <w:p w14:paraId="66439391" w14:textId="6FF7C8F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supporting referrals (internal, to other agencies and to other partners and business partners as needed).</w:t>
            </w:r>
          </w:p>
        </w:tc>
      </w:tr>
      <w:tr w:rsidR="000A24CD" w14:paraId="23FE6BAF" w14:textId="77777777" w:rsidTr="00FD5FFA">
        <w:trPr>
          <w:trHeight w:val="520"/>
        </w:trPr>
        <w:tc>
          <w:tcPr>
            <w:tcW w:w="0" w:type="auto"/>
          </w:tcPr>
          <w:p w14:paraId="67DC7A43" w14:textId="56667267"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21</w:t>
            </w:r>
          </w:p>
        </w:tc>
        <w:tc>
          <w:tcPr>
            <w:tcW w:w="0" w:type="auto"/>
          </w:tcPr>
          <w:p w14:paraId="377DEE71" w14:textId="5206BF0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ST-1</w:t>
            </w:r>
          </w:p>
        </w:tc>
        <w:tc>
          <w:tcPr>
            <w:tcW w:w="0" w:type="auto"/>
            <w:hideMark/>
          </w:tcPr>
          <w:p w14:paraId="7923103C" w14:textId="57086C1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hideMark/>
          </w:tcPr>
          <w:p w14:paraId="25F5DDA9"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Service Transaction Processing  </w:t>
            </w:r>
          </w:p>
        </w:tc>
        <w:tc>
          <w:tcPr>
            <w:tcW w:w="0" w:type="auto"/>
            <w:shd w:val="clear" w:color="000000" w:fill="FFFFFF"/>
            <w:hideMark/>
          </w:tcPr>
          <w:p w14:paraId="64456E37"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Premium Proces</w:t>
            </w:r>
            <w:r>
              <w:rPr>
                <w:rFonts w:ascii="Arial" w:eastAsia="Times New Roman" w:hAnsi="Arial" w:cs="Arial"/>
                <w:b/>
                <w:bCs/>
                <w:kern w:val="0"/>
                <w:sz w:val="20"/>
                <w:szCs w:val="20"/>
                <w14:ligatures w14:val="none"/>
              </w:rPr>
              <w:t>sing</w:t>
            </w:r>
          </w:p>
        </w:tc>
        <w:tc>
          <w:tcPr>
            <w:tcW w:w="0" w:type="auto"/>
            <w:hideMark/>
          </w:tcPr>
          <w:p w14:paraId="56A21B4E" w14:textId="0FE6DA4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processing premiums.</w:t>
            </w:r>
          </w:p>
        </w:tc>
      </w:tr>
      <w:tr w:rsidR="000A24CD" w14:paraId="49F39179" w14:textId="77777777" w:rsidTr="00FD5FFA">
        <w:trPr>
          <w:trHeight w:val="520"/>
        </w:trPr>
        <w:tc>
          <w:tcPr>
            <w:tcW w:w="0" w:type="auto"/>
          </w:tcPr>
          <w:p w14:paraId="0CA0D627" w14:textId="4745B18E" w:rsidR="000A24CD" w:rsidRDefault="00120DC3">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22</w:t>
            </w:r>
          </w:p>
        </w:tc>
        <w:tc>
          <w:tcPr>
            <w:tcW w:w="0" w:type="auto"/>
          </w:tcPr>
          <w:p w14:paraId="1CDBEF2A" w14:textId="265057D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kern w:val="0"/>
                <w:sz w:val="20"/>
                <w:szCs w:val="20"/>
                <w14:ligatures w14:val="none"/>
              </w:rPr>
              <w:t>ST-2</w:t>
            </w:r>
          </w:p>
        </w:tc>
        <w:tc>
          <w:tcPr>
            <w:tcW w:w="0" w:type="auto"/>
          </w:tcPr>
          <w:p w14:paraId="2D7EC25F" w14:textId="7F185B9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tcPr>
          <w:p w14:paraId="012FC9D3" w14:textId="7B0CD10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Service Transaction Processing  </w:t>
            </w:r>
          </w:p>
        </w:tc>
        <w:tc>
          <w:tcPr>
            <w:tcW w:w="0" w:type="auto"/>
            <w:shd w:val="clear" w:color="000000" w:fill="FFFFFF"/>
          </w:tcPr>
          <w:p w14:paraId="215E5A6D" w14:textId="35BC2D26"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Rebates, Recovery &amp; Settlement</w:t>
            </w:r>
          </w:p>
        </w:tc>
        <w:tc>
          <w:tcPr>
            <w:tcW w:w="0" w:type="auto"/>
          </w:tcPr>
          <w:p w14:paraId="3BBFD8F9" w14:textId="0F1CCD6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is focused on Rebates, Recovery &amp; Settlement.</w:t>
            </w:r>
          </w:p>
        </w:tc>
      </w:tr>
      <w:tr w:rsidR="000A24CD" w14:paraId="4984B3CA" w14:textId="77777777" w:rsidTr="00FD5FFA">
        <w:trPr>
          <w:trHeight w:val="520"/>
        </w:trPr>
        <w:tc>
          <w:tcPr>
            <w:tcW w:w="0" w:type="auto"/>
          </w:tcPr>
          <w:p w14:paraId="6281226C" w14:textId="6B159542" w:rsidR="000A24CD" w:rsidRDefault="00120DC3">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23</w:t>
            </w:r>
          </w:p>
        </w:tc>
        <w:tc>
          <w:tcPr>
            <w:tcW w:w="0" w:type="auto"/>
          </w:tcPr>
          <w:p w14:paraId="06951E65" w14:textId="7345C31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kern w:val="0"/>
                <w:sz w:val="20"/>
                <w:szCs w:val="20"/>
                <w14:ligatures w14:val="none"/>
              </w:rPr>
              <w:t>ST-4</w:t>
            </w:r>
          </w:p>
        </w:tc>
        <w:tc>
          <w:tcPr>
            <w:tcW w:w="0" w:type="auto"/>
            <w:hideMark/>
          </w:tcPr>
          <w:p w14:paraId="7275E513" w14:textId="51DD553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Delivery</w:t>
            </w:r>
          </w:p>
        </w:tc>
        <w:tc>
          <w:tcPr>
            <w:tcW w:w="0" w:type="auto"/>
            <w:hideMark/>
          </w:tcPr>
          <w:p w14:paraId="0A88839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Service Transaction Processing  </w:t>
            </w:r>
          </w:p>
        </w:tc>
        <w:tc>
          <w:tcPr>
            <w:tcW w:w="0" w:type="auto"/>
            <w:shd w:val="clear" w:color="000000" w:fill="FFFFFF"/>
            <w:hideMark/>
          </w:tcPr>
          <w:p w14:paraId="322C0394"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Payment Processing</w:t>
            </w:r>
          </w:p>
        </w:tc>
        <w:tc>
          <w:tcPr>
            <w:tcW w:w="0" w:type="auto"/>
            <w:hideMark/>
          </w:tcPr>
          <w:p w14:paraId="5D921D8E" w14:textId="565A453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is focused on processing payments.</w:t>
            </w:r>
          </w:p>
        </w:tc>
      </w:tr>
      <w:tr w:rsidR="000A24CD" w14:paraId="243B24C9" w14:textId="77777777" w:rsidTr="00FD5FFA">
        <w:trPr>
          <w:trHeight w:val="780"/>
        </w:trPr>
        <w:tc>
          <w:tcPr>
            <w:tcW w:w="0" w:type="auto"/>
          </w:tcPr>
          <w:p w14:paraId="332CC568" w14:textId="4FD2C157"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24</w:t>
            </w:r>
          </w:p>
        </w:tc>
        <w:tc>
          <w:tcPr>
            <w:tcW w:w="0" w:type="auto"/>
          </w:tcPr>
          <w:p w14:paraId="374DCF0F" w14:textId="601E0C3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PO-1</w:t>
            </w:r>
          </w:p>
        </w:tc>
        <w:tc>
          <w:tcPr>
            <w:tcW w:w="0" w:type="auto"/>
            <w:hideMark/>
          </w:tcPr>
          <w:p w14:paraId="191B28BA" w14:textId="2811C39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hideMark/>
          </w:tcPr>
          <w:p w14:paraId="1E12F803"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Management and Operations</w:t>
            </w:r>
          </w:p>
        </w:tc>
        <w:tc>
          <w:tcPr>
            <w:tcW w:w="0" w:type="auto"/>
            <w:shd w:val="clear" w:color="000000" w:fill="FFFFFF"/>
            <w:hideMark/>
          </w:tcPr>
          <w:p w14:paraId="58C13C77"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Program Policy and Planning</w:t>
            </w:r>
          </w:p>
        </w:tc>
        <w:tc>
          <w:tcPr>
            <w:tcW w:w="0" w:type="auto"/>
            <w:hideMark/>
          </w:tcPr>
          <w:p w14:paraId="083995F9" w14:textId="7BC6C35C"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governance and management support as pertaining to the deve</w:t>
            </w:r>
            <w:r>
              <w:rPr>
                <w:rFonts w:ascii="Arial" w:eastAsia="Times New Roman" w:hAnsi="Arial" w:cs="Arial"/>
                <w:color w:val="000000"/>
                <w:kern w:val="0"/>
                <w:sz w:val="20"/>
                <w:szCs w:val="20"/>
                <w14:ligatures w14:val="none"/>
              </w:rPr>
              <w:t>lopment of program and service delivery policies, privacy and security, reporting requirements from partners and providers, as well as monitoring through key performance indicators.</w:t>
            </w:r>
          </w:p>
        </w:tc>
      </w:tr>
      <w:tr w:rsidR="000A24CD" w14:paraId="745AD92C" w14:textId="77777777" w:rsidTr="00FD5FFA">
        <w:trPr>
          <w:trHeight w:val="780"/>
        </w:trPr>
        <w:tc>
          <w:tcPr>
            <w:tcW w:w="0" w:type="auto"/>
          </w:tcPr>
          <w:p w14:paraId="5C41460A" w14:textId="2E6DD78F"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25</w:t>
            </w:r>
          </w:p>
        </w:tc>
        <w:tc>
          <w:tcPr>
            <w:tcW w:w="0" w:type="auto"/>
          </w:tcPr>
          <w:p w14:paraId="4C26E152" w14:textId="57DE6A5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PO-3</w:t>
            </w:r>
          </w:p>
        </w:tc>
        <w:tc>
          <w:tcPr>
            <w:tcW w:w="0" w:type="auto"/>
          </w:tcPr>
          <w:p w14:paraId="1E93F3E0" w14:textId="0BE628E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tcPr>
          <w:p w14:paraId="65373E40" w14:textId="3A196800"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Management and Operations</w:t>
            </w:r>
          </w:p>
        </w:tc>
        <w:tc>
          <w:tcPr>
            <w:tcW w:w="0" w:type="auto"/>
            <w:shd w:val="clear" w:color="000000" w:fill="FFFFFF"/>
          </w:tcPr>
          <w:p w14:paraId="135C0601" w14:textId="7BB7AA4D"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Service Operations Management</w:t>
            </w:r>
          </w:p>
        </w:tc>
        <w:tc>
          <w:tcPr>
            <w:tcW w:w="0" w:type="auto"/>
          </w:tcPr>
          <w:p w14:paraId="4C5F054B" w14:textId="75AC8B0C"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managing the agency's own operations and ensuring quality standards are known and met. </w:t>
            </w:r>
          </w:p>
        </w:tc>
      </w:tr>
      <w:tr w:rsidR="000A24CD" w14:paraId="5A1F66E9" w14:textId="77777777" w:rsidTr="00FD5FFA">
        <w:trPr>
          <w:trHeight w:val="780"/>
        </w:trPr>
        <w:tc>
          <w:tcPr>
            <w:tcW w:w="0" w:type="auto"/>
          </w:tcPr>
          <w:p w14:paraId="33E52DFB" w14:textId="20D2FFBD"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26</w:t>
            </w:r>
          </w:p>
        </w:tc>
        <w:tc>
          <w:tcPr>
            <w:tcW w:w="0" w:type="auto"/>
          </w:tcPr>
          <w:p w14:paraId="51683D79" w14:textId="1B3F236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PO-4</w:t>
            </w:r>
          </w:p>
        </w:tc>
        <w:tc>
          <w:tcPr>
            <w:tcW w:w="0" w:type="auto"/>
          </w:tcPr>
          <w:p w14:paraId="76D96B74" w14:textId="6BAB3E9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tcPr>
          <w:p w14:paraId="21B13B4D" w14:textId="4D1B9ACE"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Management and Operations</w:t>
            </w:r>
          </w:p>
        </w:tc>
        <w:tc>
          <w:tcPr>
            <w:tcW w:w="0" w:type="auto"/>
            <w:shd w:val="clear" w:color="000000" w:fill="FFFFFF"/>
          </w:tcPr>
          <w:p w14:paraId="273CBDC2" w14:textId="370EB82A"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Performance Management and Reporti</w:t>
            </w:r>
            <w:r>
              <w:rPr>
                <w:rFonts w:ascii="Arial" w:eastAsia="Times New Roman" w:hAnsi="Arial" w:cs="Arial"/>
                <w:b/>
                <w:bCs/>
                <w:kern w:val="0"/>
                <w:sz w:val="20"/>
                <w:szCs w:val="20"/>
                <w14:ligatures w14:val="none"/>
              </w:rPr>
              <w:t>ng</w:t>
            </w:r>
          </w:p>
        </w:tc>
        <w:tc>
          <w:tcPr>
            <w:tcW w:w="0" w:type="auto"/>
          </w:tcPr>
          <w:p w14:paraId="60488B93" w14:textId="603CFCB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tracking performance against key performance indicators as well as performance reporting.</w:t>
            </w:r>
          </w:p>
        </w:tc>
      </w:tr>
      <w:tr w:rsidR="000A24CD" w14:paraId="185ED8EE" w14:textId="77777777" w:rsidTr="00FD5FFA">
        <w:trPr>
          <w:trHeight w:val="780"/>
        </w:trPr>
        <w:tc>
          <w:tcPr>
            <w:tcW w:w="0" w:type="auto"/>
          </w:tcPr>
          <w:p w14:paraId="42CC4280" w14:textId="7D255D6A"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27</w:t>
            </w:r>
          </w:p>
        </w:tc>
        <w:tc>
          <w:tcPr>
            <w:tcW w:w="0" w:type="auto"/>
          </w:tcPr>
          <w:p w14:paraId="5DC89E34" w14:textId="7F28A56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PO-5</w:t>
            </w:r>
          </w:p>
        </w:tc>
        <w:tc>
          <w:tcPr>
            <w:tcW w:w="0" w:type="auto"/>
          </w:tcPr>
          <w:p w14:paraId="7484E422" w14:textId="5A08E67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tcPr>
          <w:p w14:paraId="555D106B" w14:textId="46E12CF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Management and Operations</w:t>
            </w:r>
          </w:p>
        </w:tc>
        <w:tc>
          <w:tcPr>
            <w:tcW w:w="0" w:type="auto"/>
            <w:shd w:val="clear" w:color="000000" w:fill="FFFFFF"/>
          </w:tcPr>
          <w:p w14:paraId="6E4BB614" w14:textId="4786D1C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 xml:space="preserve">Compliance and Risk Management </w:t>
            </w:r>
          </w:p>
        </w:tc>
        <w:tc>
          <w:tcPr>
            <w:tcW w:w="0" w:type="auto"/>
          </w:tcPr>
          <w:p w14:paraId="69951BF8" w14:textId="555F8E8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compliance and risk management. This might include comprehensive reviews that the agency, provider/contractors, and/or related third party adhere to regulatory guidelines.</w:t>
            </w:r>
          </w:p>
        </w:tc>
      </w:tr>
      <w:tr w:rsidR="000A24CD" w14:paraId="719D5346" w14:textId="77777777" w:rsidTr="00FD5FFA">
        <w:trPr>
          <w:trHeight w:val="780"/>
        </w:trPr>
        <w:tc>
          <w:tcPr>
            <w:tcW w:w="0" w:type="auto"/>
          </w:tcPr>
          <w:p w14:paraId="108112C9" w14:textId="21811234"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28</w:t>
            </w:r>
          </w:p>
        </w:tc>
        <w:tc>
          <w:tcPr>
            <w:tcW w:w="0" w:type="auto"/>
          </w:tcPr>
          <w:p w14:paraId="5607FD61" w14:textId="4615563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PO-6</w:t>
            </w:r>
          </w:p>
        </w:tc>
        <w:tc>
          <w:tcPr>
            <w:tcW w:w="0" w:type="auto"/>
            <w:hideMark/>
          </w:tcPr>
          <w:p w14:paraId="0BFEF6C2" w14:textId="316C73FA"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hideMark/>
          </w:tcPr>
          <w:p w14:paraId="5E940BD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Management and Operations</w:t>
            </w:r>
          </w:p>
        </w:tc>
        <w:tc>
          <w:tcPr>
            <w:tcW w:w="0" w:type="auto"/>
            <w:shd w:val="clear" w:color="000000" w:fill="FFFFFF"/>
            <w:hideMark/>
          </w:tcPr>
          <w:p w14:paraId="7097F014"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 xml:space="preserve">Health </w:t>
            </w:r>
            <w:r>
              <w:rPr>
                <w:rFonts w:ascii="Arial" w:eastAsia="Times New Roman" w:hAnsi="Arial" w:cs="Arial"/>
                <w:b/>
                <w:bCs/>
                <w:kern w:val="0"/>
                <w:sz w:val="20"/>
                <w:szCs w:val="20"/>
                <w14:ligatures w14:val="none"/>
              </w:rPr>
              <w:t>Services Design</w:t>
            </w:r>
          </w:p>
        </w:tc>
        <w:tc>
          <w:tcPr>
            <w:tcW w:w="0" w:type="auto"/>
            <w:hideMark/>
          </w:tcPr>
          <w:p w14:paraId="0FE22475" w14:textId="3B9897A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the design effort of the Health services. </w:t>
            </w:r>
          </w:p>
        </w:tc>
      </w:tr>
      <w:tr w:rsidR="000A24CD" w14:paraId="3A6827EE" w14:textId="77777777" w:rsidTr="00FD5FFA">
        <w:trPr>
          <w:trHeight w:val="780"/>
        </w:trPr>
        <w:tc>
          <w:tcPr>
            <w:tcW w:w="0" w:type="auto"/>
          </w:tcPr>
          <w:p w14:paraId="2C806D16" w14:textId="62AEBCDD"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29</w:t>
            </w:r>
          </w:p>
        </w:tc>
        <w:tc>
          <w:tcPr>
            <w:tcW w:w="0" w:type="auto"/>
          </w:tcPr>
          <w:p w14:paraId="61223609" w14:textId="67FEB330"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PO-7</w:t>
            </w:r>
          </w:p>
        </w:tc>
        <w:tc>
          <w:tcPr>
            <w:tcW w:w="0" w:type="auto"/>
          </w:tcPr>
          <w:p w14:paraId="679EB686" w14:textId="2D3B3EB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tcPr>
          <w:p w14:paraId="2EDB7428" w14:textId="25561D8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Management and Operations</w:t>
            </w:r>
          </w:p>
        </w:tc>
        <w:tc>
          <w:tcPr>
            <w:tcW w:w="0" w:type="auto"/>
            <w:shd w:val="clear" w:color="000000" w:fill="FFFFFF"/>
          </w:tcPr>
          <w:p w14:paraId="3403F8A0" w14:textId="73B860C5"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Communication Management</w:t>
            </w:r>
          </w:p>
        </w:tc>
        <w:tc>
          <w:tcPr>
            <w:tcW w:w="0" w:type="auto"/>
          </w:tcPr>
          <w:p w14:paraId="1765E0A7" w14:textId="312D2A4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is focused on how the organization approaches its communications within and outside of the organization and how it coordinates communications across all channels.</w:t>
            </w:r>
          </w:p>
        </w:tc>
      </w:tr>
      <w:tr w:rsidR="000A24CD" w14:paraId="5B657D4A" w14:textId="77777777" w:rsidTr="00FD5FFA">
        <w:trPr>
          <w:trHeight w:val="780"/>
        </w:trPr>
        <w:tc>
          <w:tcPr>
            <w:tcW w:w="0" w:type="auto"/>
          </w:tcPr>
          <w:p w14:paraId="3F168572" w14:textId="74F0D9B2"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30</w:t>
            </w:r>
          </w:p>
        </w:tc>
        <w:tc>
          <w:tcPr>
            <w:tcW w:w="0" w:type="auto"/>
          </w:tcPr>
          <w:p w14:paraId="4AFD4984" w14:textId="16B3AEA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PO-8</w:t>
            </w:r>
          </w:p>
        </w:tc>
        <w:tc>
          <w:tcPr>
            <w:tcW w:w="0" w:type="auto"/>
            <w:hideMark/>
          </w:tcPr>
          <w:p w14:paraId="3B909C2A" w14:textId="3341042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hideMark/>
          </w:tcPr>
          <w:p w14:paraId="35C06C2B"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Management and Operations</w:t>
            </w:r>
          </w:p>
        </w:tc>
        <w:tc>
          <w:tcPr>
            <w:tcW w:w="0" w:type="auto"/>
            <w:shd w:val="clear" w:color="000000" w:fill="FFFFFF"/>
            <w:hideMark/>
          </w:tcPr>
          <w:p w14:paraId="32026FA2"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Health Plan Management</w:t>
            </w:r>
          </w:p>
        </w:tc>
        <w:tc>
          <w:tcPr>
            <w:tcW w:w="0" w:type="auto"/>
            <w:hideMark/>
          </w:tcPr>
          <w:p w14:paraId="228174AB" w14:textId="063F4FE0"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This capability is focused on the design effort </w:t>
            </w:r>
            <w:r>
              <w:rPr>
                <w:rFonts w:ascii="Arial" w:eastAsia="Times New Roman" w:hAnsi="Arial" w:cs="Arial"/>
                <w:color w:val="000000"/>
                <w:kern w:val="0"/>
                <w:sz w:val="20"/>
                <w:szCs w:val="20"/>
                <w14:ligatures w14:val="none"/>
              </w:rPr>
              <w:t xml:space="preserve">to administer, oversee, and evaluate health plans that provide services to beneficiaries. </w:t>
            </w:r>
          </w:p>
        </w:tc>
      </w:tr>
      <w:tr w:rsidR="000A24CD" w14:paraId="3A6F8C61" w14:textId="77777777" w:rsidTr="00FD5FFA">
        <w:trPr>
          <w:trHeight w:val="780"/>
        </w:trPr>
        <w:tc>
          <w:tcPr>
            <w:tcW w:w="0" w:type="auto"/>
          </w:tcPr>
          <w:p w14:paraId="4DA9DE08" w14:textId="6A6CB6AA"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31</w:t>
            </w:r>
          </w:p>
        </w:tc>
        <w:tc>
          <w:tcPr>
            <w:tcW w:w="0" w:type="auto"/>
          </w:tcPr>
          <w:p w14:paraId="3AF9C153" w14:textId="64A5F4B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BP-1</w:t>
            </w:r>
          </w:p>
        </w:tc>
        <w:tc>
          <w:tcPr>
            <w:tcW w:w="0" w:type="auto"/>
            <w:hideMark/>
          </w:tcPr>
          <w:p w14:paraId="0DDF0611" w14:textId="584E38D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hideMark/>
          </w:tcPr>
          <w:p w14:paraId="3C258837"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Business Partner Management</w:t>
            </w:r>
          </w:p>
        </w:tc>
        <w:tc>
          <w:tcPr>
            <w:tcW w:w="0" w:type="auto"/>
            <w:shd w:val="clear" w:color="000000" w:fill="FFFFFF"/>
            <w:hideMark/>
          </w:tcPr>
          <w:p w14:paraId="06E7793B" w14:textId="77777777"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Business Partner Relationship Management</w:t>
            </w:r>
          </w:p>
        </w:tc>
        <w:tc>
          <w:tcPr>
            <w:tcW w:w="0" w:type="auto"/>
            <w:hideMark/>
          </w:tcPr>
          <w:p w14:paraId="79227857" w14:textId="7097A6C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deals with managing the relationship with the business partners.</w:t>
            </w:r>
          </w:p>
        </w:tc>
      </w:tr>
      <w:tr w:rsidR="000A24CD" w14:paraId="5FF4A7A8" w14:textId="77777777" w:rsidTr="00FD5FFA">
        <w:trPr>
          <w:trHeight w:val="790"/>
        </w:trPr>
        <w:tc>
          <w:tcPr>
            <w:tcW w:w="0" w:type="auto"/>
          </w:tcPr>
          <w:p w14:paraId="4989A121" w14:textId="019BC6AE" w:rsidR="000A24CD" w:rsidRDefault="00120DC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32</w:t>
            </w:r>
          </w:p>
        </w:tc>
        <w:tc>
          <w:tcPr>
            <w:tcW w:w="0" w:type="auto"/>
          </w:tcPr>
          <w:p w14:paraId="4F7B2E99" w14:textId="76417DF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BP-2</w:t>
            </w:r>
          </w:p>
        </w:tc>
        <w:tc>
          <w:tcPr>
            <w:tcW w:w="0" w:type="auto"/>
            <w:hideMark/>
          </w:tcPr>
          <w:p w14:paraId="646938EE" w14:textId="59D9EAF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Program and Service Management</w:t>
            </w:r>
          </w:p>
        </w:tc>
        <w:tc>
          <w:tcPr>
            <w:tcW w:w="0" w:type="auto"/>
            <w:hideMark/>
          </w:tcPr>
          <w:p w14:paraId="0166EC8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Business Partner Management</w:t>
            </w:r>
          </w:p>
        </w:tc>
        <w:tc>
          <w:tcPr>
            <w:tcW w:w="0" w:type="auto"/>
            <w:shd w:val="clear" w:color="000000" w:fill="FFFFFF"/>
            <w:hideMark/>
          </w:tcPr>
          <w:p w14:paraId="648D665D" w14:textId="04E6B29C" w:rsidR="000A24CD" w:rsidRDefault="00120DC3">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Business Partner Information Sharing</w:t>
            </w:r>
          </w:p>
        </w:tc>
        <w:tc>
          <w:tcPr>
            <w:tcW w:w="0" w:type="auto"/>
            <w:hideMark/>
          </w:tcPr>
          <w:p w14:paraId="1F9CDDC6" w14:textId="4AA04A4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This capability allows for information sharing with business partners.</w:t>
            </w:r>
          </w:p>
        </w:tc>
      </w:tr>
    </w:tbl>
    <w:p w14:paraId="7D0FBDC6" w14:textId="77777777" w:rsidR="000A24CD" w:rsidRDefault="000A24CD">
      <w:pPr>
        <w:rPr>
          <w:rFonts w:ascii="Arial" w:hAnsi="Arial" w:cs="Arial"/>
        </w:rPr>
      </w:pPr>
    </w:p>
    <w:p w14:paraId="4B3A3785" w14:textId="7F253E04" w:rsidR="000A24CD" w:rsidRDefault="00120DC3">
      <w:pPr>
        <w:pStyle w:val="Heading2"/>
      </w:pPr>
      <w:r>
        <w:t>Level 2 Capability Definitions</w:t>
      </w:r>
    </w:p>
    <w:p w14:paraId="0AB04C42" w14:textId="77777777" w:rsidR="000A24CD" w:rsidRDefault="000A24C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983"/>
        <w:gridCol w:w="1466"/>
        <w:gridCol w:w="1787"/>
        <w:gridCol w:w="1815"/>
        <w:gridCol w:w="2489"/>
        <w:gridCol w:w="3860"/>
      </w:tblGrid>
      <w:tr w:rsidR="000A24CD" w14:paraId="36F8D152" w14:textId="77777777" w:rsidTr="00CA318C">
        <w:trPr>
          <w:trHeight w:val="575"/>
          <w:tblHeader/>
        </w:trPr>
        <w:tc>
          <w:tcPr>
            <w:tcW w:w="0" w:type="auto"/>
            <w:shd w:val="clear" w:color="000000" w:fill="43285D"/>
            <w:hideMark/>
          </w:tcPr>
          <w:p w14:paraId="6D6D4D39" w14:textId="77777777" w:rsidR="000A24CD" w:rsidRDefault="00120DC3">
            <w:pPr>
              <w:spacing w:after="0" w:line="240" w:lineRule="auto"/>
              <w:jc w:val="center"/>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w:t>
            </w:r>
          </w:p>
        </w:tc>
        <w:tc>
          <w:tcPr>
            <w:tcW w:w="0" w:type="auto"/>
            <w:shd w:val="clear" w:color="000000" w:fill="43285D"/>
            <w:hideMark/>
          </w:tcPr>
          <w:p w14:paraId="15386D5C"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ID</w:t>
            </w:r>
          </w:p>
        </w:tc>
        <w:tc>
          <w:tcPr>
            <w:tcW w:w="0" w:type="auto"/>
            <w:shd w:val="clear" w:color="000000" w:fill="43285D"/>
            <w:hideMark/>
          </w:tcPr>
          <w:p w14:paraId="30C81A65" w14:textId="329522E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Class</w:t>
            </w:r>
          </w:p>
        </w:tc>
        <w:tc>
          <w:tcPr>
            <w:tcW w:w="0" w:type="auto"/>
            <w:shd w:val="clear" w:color="000000" w:fill="43285D"/>
            <w:hideMark/>
          </w:tcPr>
          <w:p w14:paraId="07A96279" w14:textId="5D6CFC4C"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L0 Capabil</w:t>
            </w:r>
            <w:r>
              <w:rPr>
                <w:rFonts w:ascii="Arial" w:eastAsia="Times New Roman" w:hAnsi="Arial" w:cs="Arial"/>
                <w:b/>
                <w:bCs/>
                <w:color w:val="FFFFFF"/>
                <w:kern w:val="0"/>
                <w:sz w:val="20"/>
                <w:szCs w:val="20"/>
                <w14:ligatures w14:val="none"/>
              </w:rPr>
              <w:t>ity Name</w:t>
            </w:r>
          </w:p>
        </w:tc>
        <w:tc>
          <w:tcPr>
            <w:tcW w:w="0" w:type="auto"/>
            <w:shd w:val="clear" w:color="000000" w:fill="43285D"/>
            <w:hideMark/>
          </w:tcPr>
          <w:p w14:paraId="08335DE7" w14:textId="0DF45CF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Level 1 Capability Name</w:t>
            </w:r>
          </w:p>
        </w:tc>
        <w:tc>
          <w:tcPr>
            <w:tcW w:w="0" w:type="auto"/>
            <w:shd w:val="clear" w:color="000000" w:fill="43285D"/>
            <w:hideMark/>
          </w:tcPr>
          <w:p w14:paraId="5CF72B45"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 xml:space="preserve">Level 2 Capability </w:t>
            </w:r>
          </w:p>
          <w:p w14:paraId="35A62542" w14:textId="0D7858E6"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Name</w:t>
            </w:r>
          </w:p>
        </w:tc>
        <w:tc>
          <w:tcPr>
            <w:tcW w:w="0" w:type="auto"/>
            <w:shd w:val="clear" w:color="000000" w:fill="43285D"/>
            <w:hideMark/>
          </w:tcPr>
          <w:p w14:paraId="41F0339C" w14:textId="1773125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 xml:space="preserve">L2 Capability Definition </w:t>
            </w:r>
          </w:p>
        </w:tc>
      </w:tr>
      <w:tr w:rsidR="000A24CD" w14:paraId="0EC1AD70" w14:textId="77777777" w:rsidTr="00CA318C">
        <w:trPr>
          <w:trHeight w:val="520"/>
        </w:trPr>
        <w:tc>
          <w:tcPr>
            <w:tcW w:w="0" w:type="auto"/>
            <w:noWrap/>
            <w:hideMark/>
          </w:tcPr>
          <w:p w14:paraId="028314FA"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w:t>
            </w:r>
          </w:p>
        </w:tc>
        <w:tc>
          <w:tcPr>
            <w:tcW w:w="0" w:type="auto"/>
            <w:noWrap/>
            <w:hideMark/>
          </w:tcPr>
          <w:p w14:paraId="79C87AA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CH-1.1</w:t>
            </w:r>
          </w:p>
        </w:tc>
        <w:tc>
          <w:tcPr>
            <w:tcW w:w="0" w:type="auto"/>
            <w:shd w:val="clear" w:color="000000" w:fill="FFFFFF"/>
            <w:hideMark/>
          </w:tcPr>
          <w:p w14:paraId="1B1675F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7B7998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hideMark/>
          </w:tcPr>
          <w:p w14:paraId="6988ECD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In Person/Office Management</w:t>
            </w:r>
          </w:p>
        </w:tc>
        <w:tc>
          <w:tcPr>
            <w:tcW w:w="0" w:type="auto"/>
            <w:shd w:val="clear" w:color="000000" w:fill="4D93D9"/>
            <w:hideMark/>
          </w:tcPr>
          <w:p w14:paraId="44F2BB10"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Walk-In Triage Management</w:t>
            </w:r>
          </w:p>
        </w:tc>
        <w:tc>
          <w:tcPr>
            <w:tcW w:w="0" w:type="auto"/>
            <w:shd w:val="clear" w:color="000000" w:fill="FFFFFF"/>
            <w:hideMark/>
          </w:tcPr>
          <w:p w14:paraId="2EFF2F2D"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is focused on efficiently managing visitor queues within physical centers, including prioritizing individuals and resolving operational bottlenecks to ensure smooth service flow.</w:t>
            </w:r>
          </w:p>
        </w:tc>
      </w:tr>
      <w:tr w:rsidR="000A24CD" w14:paraId="5A1C8A49" w14:textId="77777777" w:rsidTr="00CA318C">
        <w:trPr>
          <w:trHeight w:val="530"/>
        </w:trPr>
        <w:tc>
          <w:tcPr>
            <w:tcW w:w="0" w:type="auto"/>
            <w:noWrap/>
            <w:hideMark/>
          </w:tcPr>
          <w:p w14:paraId="37275E3B"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w:t>
            </w:r>
          </w:p>
        </w:tc>
        <w:tc>
          <w:tcPr>
            <w:tcW w:w="0" w:type="auto"/>
            <w:noWrap/>
            <w:hideMark/>
          </w:tcPr>
          <w:p w14:paraId="7C56CE47"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CH-1.2</w:t>
            </w:r>
          </w:p>
        </w:tc>
        <w:tc>
          <w:tcPr>
            <w:tcW w:w="0" w:type="auto"/>
            <w:shd w:val="clear" w:color="000000" w:fill="FFFFFF"/>
            <w:hideMark/>
          </w:tcPr>
          <w:p w14:paraId="2934799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5D2A9E1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hideMark/>
          </w:tcPr>
          <w:p w14:paraId="4700476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In Person/Office Management</w:t>
            </w:r>
          </w:p>
        </w:tc>
        <w:tc>
          <w:tcPr>
            <w:tcW w:w="0" w:type="auto"/>
            <w:shd w:val="clear" w:color="000000" w:fill="4D93D9"/>
            <w:hideMark/>
          </w:tcPr>
          <w:p w14:paraId="70BF1858"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Walk-In Center Management</w:t>
            </w:r>
          </w:p>
        </w:tc>
        <w:tc>
          <w:tcPr>
            <w:tcW w:w="0" w:type="auto"/>
            <w:shd w:val="clear" w:color="000000" w:fill="FFFFFF"/>
            <w:hideMark/>
          </w:tcPr>
          <w:p w14:paraId="6E15EC7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w:t>
            </w:r>
            <w:r>
              <w:rPr>
                <w:rFonts w:ascii="Arial" w:eastAsia="Times New Roman" w:hAnsi="Arial" w:cs="Arial"/>
                <w:color w:val="131314"/>
                <w:kern w:val="0"/>
                <w:sz w:val="20"/>
                <w:szCs w:val="20"/>
                <w14:ligatures w14:val="none"/>
              </w:rPr>
              <w:t xml:space="preserve">olves the operational management and direct customer service provision within physical walk-in center locations, encompassing daily activities, resource allocation within the center. </w:t>
            </w:r>
          </w:p>
        </w:tc>
      </w:tr>
      <w:tr w:rsidR="000A24CD" w14:paraId="0CD57013" w14:textId="77777777" w:rsidTr="00CA318C">
        <w:trPr>
          <w:trHeight w:val="520"/>
        </w:trPr>
        <w:tc>
          <w:tcPr>
            <w:tcW w:w="0" w:type="auto"/>
            <w:noWrap/>
            <w:hideMark/>
          </w:tcPr>
          <w:p w14:paraId="13F1E744"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w:t>
            </w:r>
          </w:p>
        </w:tc>
        <w:tc>
          <w:tcPr>
            <w:tcW w:w="0" w:type="auto"/>
            <w:noWrap/>
            <w:hideMark/>
          </w:tcPr>
          <w:p w14:paraId="4241DFE3" w14:textId="024D6B5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CH-2.1</w:t>
            </w:r>
          </w:p>
        </w:tc>
        <w:tc>
          <w:tcPr>
            <w:tcW w:w="0" w:type="auto"/>
            <w:shd w:val="clear" w:color="000000" w:fill="FFFFFF"/>
            <w:hideMark/>
          </w:tcPr>
          <w:p w14:paraId="7436EC8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A1D6B9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hideMark/>
          </w:tcPr>
          <w:p w14:paraId="55B614B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Chat Management</w:t>
            </w:r>
          </w:p>
        </w:tc>
        <w:tc>
          <w:tcPr>
            <w:tcW w:w="0" w:type="auto"/>
            <w:shd w:val="clear" w:color="000000" w:fill="4D93D9"/>
            <w:hideMark/>
          </w:tcPr>
          <w:p w14:paraId="4545909D"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Live Agent Chat Management</w:t>
            </w:r>
          </w:p>
        </w:tc>
        <w:tc>
          <w:tcPr>
            <w:tcW w:w="0" w:type="auto"/>
            <w:shd w:val="clear" w:color="000000" w:fill="FFFFFF"/>
            <w:hideMark/>
          </w:tcPr>
          <w:p w14:paraId="18C9B29A" w14:textId="3D29C983"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service delivery of real-time, human-operated chat channels to provide direct support and issue resolution for consumers.</w:t>
            </w:r>
          </w:p>
        </w:tc>
      </w:tr>
      <w:tr w:rsidR="000A24CD" w14:paraId="33052B43" w14:textId="77777777" w:rsidTr="00CA318C">
        <w:trPr>
          <w:trHeight w:val="530"/>
        </w:trPr>
        <w:tc>
          <w:tcPr>
            <w:tcW w:w="0" w:type="auto"/>
            <w:noWrap/>
            <w:hideMark/>
          </w:tcPr>
          <w:p w14:paraId="7339503B"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w:t>
            </w:r>
          </w:p>
        </w:tc>
        <w:tc>
          <w:tcPr>
            <w:tcW w:w="0" w:type="auto"/>
            <w:noWrap/>
            <w:hideMark/>
          </w:tcPr>
          <w:p w14:paraId="78C7E4A3" w14:textId="07246BC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CH-2.2</w:t>
            </w:r>
          </w:p>
        </w:tc>
        <w:tc>
          <w:tcPr>
            <w:tcW w:w="0" w:type="auto"/>
            <w:shd w:val="clear" w:color="000000" w:fill="FFFFFF"/>
            <w:hideMark/>
          </w:tcPr>
          <w:p w14:paraId="279B2F2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076C172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hideMark/>
          </w:tcPr>
          <w:p w14:paraId="58C1DB6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Chat Management</w:t>
            </w:r>
          </w:p>
        </w:tc>
        <w:tc>
          <w:tcPr>
            <w:tcW w:w="0" w:type="auto"/>
            <w:shd w:val="clear" w:color="000000" w:fill="002060"/>
            <w:hideMark/>
          </w:tcPr>
          <w:p w14:paraId="200C131C"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Chat Bot Mana</w:t>
            </w:r>
            <w:r>
              <w:rPr>
                <w:rFonts w:ascii="Arial" w:eastAsia="Times New Roman" w:hAnsi="Arial" w:cs="Arial"/>
                <w:b/>
                <w:bCs/>
                <w:color w:val="FFFFFF"/>
                <w:kern w:val="0"/>
                <w:sz w:val="20"/>
                <w:szCs w:val="20"/>
                <w14:ligatures w14:val="none"/>
              </w:rPr>
              <w:t>gement</w:t>
            </w:r>
          </w:p>
        </w:tc>
        <w:tc>
          <w:tcPr>
            <w:tcW w:w="0" w:type="auto"/>
            <w:shd w:val="clear" w:color="000000" w:fill="FFFFFF"/>
            <w:hideMark/>
          </w:tcPr>
          <w:p w14:paraId="0A45CE3A" w14:textId="78766F6A"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governs the lifecycle of automated chatbot systems, including configuration, maintenance, and performance optimization, to provide automated support for inquiries and transactions.</w:t>
            </w:r>
          </w:p>
        </w:tc>
      </w:tr>
      <w:tr w:rsidR="000A24CD" w14:paraId="525F97B7" w14:textId="77777777" w:rsidTr="00CA318C">
        <w:trPr>
          <w:trHeight w:val="520"/>
        </w:trPr>
        <w:tc>
          <w:tcPr>
            <w:tcW w:w="0" w:type="auto"/>
            <w:noWrap/>
            <w:hideMark/>
          </w:tcPr>
          <w:p w14:paraId="685978E9"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w:t>
            </w:r>
          </w:p>
        </w:tc>
        <w:tc>
          <w:tcPr>
            <w:tcW w:w="0" w:type="auto"/>
            <w:noWrap/>
            <w:hideMark/>
          </w:tcPr>
          <w:p w14:paraId="4B807F1A" w14:textId="729D35C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CH-3.1</w:t>
            </w:r>
          </w:p>
        </w:tc>
        <w:tc>
          <w:tcPr>
            <w:tcW w:w="0" w:type="auto"/>
            <w:shd w:val="clear" w:color="000000" w:fill="FFFFFF"/>
            <w:hideMark/>
          </w:tcPr>
          <w:p w14:paraId="1B98D6F9"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shd w:val="clear" w:color="000000" w:fill="FFFFFF"/>
            <w:hideMark/>
          </w:tcPr>
          <w:p w14:paraId="517BCFB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Channel Management</w:t>
            </w:r>
          </w:p>
        </w:tc>
        <w:tc>
          <w:tcPr>
            <w:tcW w:w="0" w:type="auto"/>
            <w:hideMark/>
          </w:tcPr>
          <w:p w14:paraId="15DCA7B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Portal Management</w:t>
            </w:r>
          </w:p>
        </w:tc>
        <w:tc>
          <w:tcPr>
            <w:tcW w:w="0" w:type="auto"/>
            <w:shd w:val="clear" w:color="000000" w:fill="002060"/>
            <w:hideMark/>
          </w:tcPr>
          <w:p w14:paraId="4D1A6068"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Online Channel Management</w:t>
            </w:r>
          </w:p>
        </w:tc>
        <w:tc>
          <w:tcPr>
            <w:tcW w:w="0" w:type="auto"/>
            <w:hideMark/>
          </w:tcPr>
          <w:p w14:paraId="07F16295" w14:textId="5F60B915" w:rsidR="000A24CD" w:rsidRDefault="00120DC3">
            <w:pPr>
              <w:spacing w:after="0" w:line="240" w:lineRule="auto"/>
              <w:rPr>
                <w:rFonts w:ascii="Arial" w:eastAsia="Times New Roman" w:hAnsi="Arial" w:cs="Arial"/>
                <w:color w:val="FF0000"/>
                <w:kern w:val="0"/>
                <w:sz w:val="20"/>
                <w:szCs w:val="20"/>
                <w14:ligatures w14:val="none"/>
              </w:rPr>
            </w:pPr>
            <w:r>
              <w:rPr>
                <w:rFonts w:ascii="Arial" w:eastAsia="Times New Roman" w:hAnsi="Arial" w:cs="Arial"/>
                <w:kern w:val="0"/>
                <w:sz w:val="20"/>
                <w:szCs w:val="20"/>
                <w14:ligatures w14:val="none"/>
              </w:rPr>
              <w:t> This capability manages the overall online channel, including content integration, performance monitoring, and security oversight, to ensure a secure and effective digital presence.</w:t>
            </w:r>
          </w:p>
        </w:tc>
      </w:tr>
      <w:tr w:rsidR="000A24CD" w14:paraId="42196BD6" w14:textId="77777777" w:rsidTr="00CA318C">
        <w:trPr>
          <w:trHeight w:val="780"/>
        </w:trPr>
        <w:tc>
          <w:tcPr>
            <w:tcW w:w="0" w:type="auto"/>
            <w:noWrap/>
            <w:hideMark/>
          </w:tcPr>
          <w:p w14:paraId="384C1A0D"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w:t>
            </w:r>
          </w:p>
        </w:tc>
        <w:tc>
          <w:tcPr>
            <w:tcW w:w="0" w:type="auto"/>
            <w:noWrap/>
            <w:hideMark/>
          </w:tcPr>
          <w:p w14:paraId="5A904501" w14:textId="142538AA"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CH-3.2</w:t>
            </w:r>
          </w:p>
        </w:tc>
        <w:tc>
          <w:tcPr>
            <w:tcW w:w="0" w:type="auto"/>
            <w:shd w:val="clear" w:color="000000" w:fill="FFFFFF"/>
            <w:hideMark/>
          </w:tcPr>
          <w:p w14:paraId="6BB420D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w:t>
            </w:r>
            <w:r>
              <w:rPr>
                <w:rFonts w:ascii="Arial" w:eastAsia="Times New Roman" w:hAnsi="Arial" w:cs="Arial"/>
                <w:kern w:val="0"/>
                <w:sz w:val="20"/>
                <w:szCs w:val="20"/>
                <w14:ligatures w14:val="none"/>
              </w:rPr>
              <w:t>hip Management</w:t>
            </w:r>
          </w:p>
        </w:tc>
        <w:tc>
          <w:tcPr>
            <w:tcW w:w="0" w:type="auto"/>
            <w:shd w:val="clear" w:color="000000" w:fill="FFFFFF"/>
            <w:hideMark/>
          </w:tcPr>
          <w:p w14:paraId="785D8E8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3831E5E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Portal Management</w:t>
            </w:r>
          </w:p>
        </w:tc>
        <w:tc>
          <w:tcPr>
            <w:tcW w:w="0" w:type="auto"/>
            <w:shd w:val="clear" w:color="000000" w:fill="002060"/>
            <w:hideMark/>
          </w:tcPr>
          <w:p w14:paraId="6D4E8BF0"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Portal Management</w:t>
            </w:r>
          </w:p>
        </w:tc>
        <w:tc>
          <w:tcPr>
            <w:tcW w:w="0" w:type="auto"/>
            <w:shd w:val="clear" w:color="000000" w:fill="FFFFFF"/>
            <w:hideMark/>
          </w:tcPr>
          <w:p w14:paraId="795B6407"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focuses on the administration and user experience management of a dedicated online portal for consumers (individuals, guardians, or legal representatives), supporting account registration, application submission and tracking, documentation submission, profile management, renewal processes, and secure communication for Medicaid, QHP, and SHOP.</w:t>
            </w:r>
          </w:p>
        </w:tc>
      </w:tr>
      <w:tr w:rsidR="000A24CD" w14:paraId="0DCD4B8D" w14:textId="77777777" w:rsidTr="00CA318C">
        <w:trPr>
          <w:trHeight w:val="780"/>
        </w:trPr>
        <w:tc>
          <w:tcPr>
            <w:tcW w:w="0" w:type="auto"/>
            <w:noWrap/>
            <w:hideMark/>
          </w:tcPr>
          <w:p w14:paraId="644ABDFE"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w:t>
            </w:r>
          </w:p>
        </w:tc>
        <w:tc>
          <w:tcPr>
            <w:tcW w:w="0" w:type="auto"/>
            <w:noWrap/>
            <w:hideMark/>
          </w:tcPr>
          <w:p w14:paraId="22679D88" w14:textId="72FB80BC"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CH-3.3</w:t>
            </w:r>
          </w:p>
        </w:tc>
        <w:tc>
          <w:tcPr>
            <w:tcW w:w="0" w:type="auto"/>
            <w:shd w:val="clear" w:color="000000" w:fill="FFFFFF"/>
            <w:hideMark/>
          </w:tcPr>
          <w:p w14:paraId="7C131F3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04A1F67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54784F5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w:t>
            </w:r>
            <w:r>
              <w:rPr>
                <w:rFonts w:ascii="Arial" w:eastAsia="Times New Roman" w:hAnsi="Arial" w:cs="Arial"/>
                <w:kern w:val="0"/>
                <w:sz w:val="20"/>
                <w:szCs w:val="20"/>
                <w14:ligatures w14:val="none"/>
              </w:rPr>
              <w:t>ortal Management</w:t>
            </w:r>
          </w:p>
        </w:tc>
        <w:tc>
          <w:tcPr>
            <w:tcW w:w="0" w:type="auto"/>
            <w:shd w:val="clear" w:color="000000" w:fill="002060"/>
            <w:hideMark/>
          </w:tcPr>
          <w:p w14:paraId="268904AA"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Assistor Portal Management</w:t>
            </w:r>
          </w:p>
        </w:tc>
        <w:tc>
          <w:tcPr>
            <w:tcW w:w="0" w:type="auto"/>
            <w:shd w:val="clear" w:color="000000" w:fill="FFFFFF"/>
            <w:hideMark/>
          </w:tcPr>
          <w:p w14:paraId="7184C6D8"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the comprehensive management and maintenance of a dedicated online portal for Assistors, enabling them to submit and follow up on applications, manage accounts and profiles, submit documentation, and access customer support functions on behalf of consumers for Medicaid, QHP, or SHOP.</w:t>
            </w:r>
          </w:p>
        </w:tc>
      </w:tr>
      <w:tr w:rsidR="000A24CD" w14:paraId="6339655F" w14:textId="77777777" w:rsidTr="00CA318C">
        <w:trPr>
          <w:trHeight w:val="780"/>
        </w:trPr>
        <w:tc>
          <w:tcPr>
            <w:tcW w:w="0" w:type="auto"/>
            <w:noWrap/>
            <w:hideMark/>
          </w:tcPr>
          <w:p w14:paraId="17D81619"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w:t>
            </w:r>
          </w:p>
        </w:tc>
        <w:tc>
          <w:tcPr>
            <w:tcW w:w="0" w:type="auto"/>
            <w:noWrap/>
            <w:hideMark/>
          </w:tcPr>
          <w:p w14:paraId="57D4878F" w14:textId="3586A83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CH-3.4</w:t>
            </w:r>
          </w:p>
        </w:tc>
        <w:tc>
          <w:tcPr>
            <w:tcW w:w="0" w:type="auto"/>
            <w:shd w:val="clear" w:color="000000" w:fill="FFFFFF"/>
            <w:hideMark/>
          </w:tcPr>
          <w:p w14:paraId="0F6167E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6DC7C9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73A454A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Portal Management</w:t>
            </w:r>
          </w:p>
        </w:tc>
        <w:tc>
          <w:tcPr>
            <w:tcW w:w="0" w:type="auto"/>
            <w:shd w:val="clear" w:color="000000" w:fill="002060"/>
            <w:hideMark/>
          </w:tcPr>
          <w:p w14:paraId="025002BB"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Worker Portal Management</w:t>
            </w:r>
          </w:p>
        </w:tc>
        <w:tc>
          <w:tcPr>
            <w:tcW w:w="0" w:type="auto"/>
            <w:shd w:val="clear" w:color="000000" w:fill="FFFFFF"/>
            <w:hideMark/>
          </w:tcPr>
          <w:p w14:paraId="528569D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provides for the management of a secu</w:t>
            </w:r>
            <w:r>
              <w:rPr>
                <w:rFonts w:ascii="Arial" w:eastAsia="Times New Roman" w:hAnsi="Arial" w:cs="Arial"/>
                <w:color w:val="131314"/>
                <w:kern w:val="0"/>
                <w:sz w:val="20"/>
                <w:szCs w:val="20"/>
                <w14:ligatures w14:val="none"/>
              </w:rPr>
              <w:t>re web portal for various levels of agency workers, enabling them to manage cases, review and process applications, determine eligibility, manage member information, handle documents and verifications, assign and complete tasks, and communicate with applicants/members, supported by integrated reporting and analytics.</w:t>
            </w:r>
          </w:p>
        </w:tc>
      </w:tr>
      <w:tr w:rsidR="000A24CD" w14:paraId="30F7297D" w14:textId="77777777" w:rsidTr="00CA318C">
        <w:trPr>
          <w:trHeight w:val="780"/>
        </w:trPr>
        <w:tc>
          <w:tcPr>
            <w:tcW w:w="0" w:type="auto"/>
            <w:noWrap/>
            <w:hideMark/>
          </w:tcPr>
          <w:p w14:paraId="2BF2D451"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w:t>
            </w:r>
          </w:p>
        </w:tc>
        <w:tc>
          <w:tcPr>
            <w:tcW w:w="0" w:type="auto"/>
            <w:noWrap/>
            <w:hideMark/>
          </w:tcPr>
          <w:p w14:paraId="1DC7E2FF" w14:textId="09F0A3B2"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CH-3.5</w:t>
            </w:r>
          </w:p>
        </w:tc>
        <w:tc>
          <w:tcPr>
            <w:tcW w:w="0" w:type="auto"/>
            <w:shd w:val="clear" w:color="000000" w:fill="FFFFFF"/>
            <w:hideMark/>
          </w:tcPr>
          <w:p w14:paraId="185C13A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1F69A37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32AFD00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Portal Management</w:t>
            </w:r>
          </w:p>
        </w:tc>
        <w:tc>
          <w:tcPr>
            <w:tcW w:w="0" w:type="auto"/>
            <w:shd w:val="clear" w:color="000000" w:fill="002060"/>
            <w:hideMark/>
          </w:tcPr>
          <w:p w14:paraId="1DCBD224"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Issuer Portal Management</w:t>
            </w:r>
          </w:p>
        </w:tc>
        <w:tc>
          <w:tcPr>
            <w:tcW w:w="0" w:type="auto"/>
            <w:shd w:val="clear" w:color="000000" w:fill="FFFFFF"/>
            <w:hideMark/>
          </w:tcPr>
          <w:p w14:paraId="2F497AC2"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the management of an online portal specifically for Issuers, fa</w:t>
            </w:r>
            <w:r>
              <w:rPr>
                <w:rFonts w:ascii="Arial" w:eastAsia="Times New Roman" w:hAnsi="Arial" w:cs="Arial"/>
                <w:color w:val="131314"/>
                <w:kern w:val="0"/>
                <w:sz w:val="20"/>
                <w:szCs w:val="20"/>
                <w14:ligatures w14:val="none"/>
              </w:rPr>
              <w:t xml:space="preserve">cilitating account creation, profile management, support for QHP binder submissions (e.g., via </w:t>
            </w:r>
            <w:proofErr w:type="spellStart"/>
            <w:r>
              <w:rPr>
                <w:rFonts w:ascii="Arial" w:eastAsia="Times New Roman" w:hAnsi="Arial" w:cs="Arial"/>
                <w:color w:val="131314"/>
                <w:kern w:val="0"/>
                <w:sz w:val="20"/>
                <w:szCs w:val="20"/>
                <w14:ligatures w14:val="none"/>
              </w:rPr>
              <w:t>SerFF</w:t>
            </w:r>
            <w:proofErr w:type="spellEnd"/>
            <w:r>
              <w:rPr>
                <w:rFonts w:ascii="Arial" w:eastAsia="Times New Roman" w:hAnsi="Arial" w:cs="Arial"/>
                <w:color w:val="131314"/>
                <w:kern w:val="0"/>
                <w:sz w:val="20"/>
                <w:szCs w:val="20"/>
                <w14:ligatures w14:val="none"/>
              </w:rPr>
              <w:t>), and ensuring compliance and certification processes are met through online application submission.</w:t>
            </w:r>
          </w:p>
        </w:tc>
      </w:tr>
      <w:tr w:rsidR="000A24CD" w14:paraId="51B48BF7" w14:textId="77777777" w:rsidTr="00CA318C">
        <w:trPr>
          <w:trHeight w:val="780"/>
        </w:trPr>
        <w:tc>
          <w:tcPr>
            <w:tcW w:w="0" w:type="auto"/>
            <w:noWrap/>
          </w:tcPr>
          <w:p w14:paraId="3F95BAAD" w14:textId="5624F722"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w:t>
            </w:r>
          </w:p>
        </w:tc>
        <w:tc>
          <w:tcPr>
            <w:tcW w:w="0" w:type="auto"/>
            <w:noWrap/>
          </w:tcPr>
          <w:p w14:paraId="6E276592" w14:textId="1D1C543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CH-3.6</w:t>
            </w:r>
          </w:p>
        </w:tc>
        <w:tc>
          <w:tcPr>
            <w:tcW w:w="0" w:type="auto"/>
            <w:shd w:val="clear" w:color="000000" w:fill="FFFFFF"/>
          </w:tcPr>
          <w:p w14:paraId="7870935D" w14:textId="7CF61CE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tcPr>
          <w:p w14:paraId="11D24469" w14:textId="10C24AC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tcPr>
          <w:p w14:paraId="4A9719BB" w14:textId="7E63F51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Portal Management</w:t>
            </w:r>
          </w:p>
        </w:tc>
        <w:tc>
          <w:tcPr>
            <w:tcW w:w="0" w:type="auto"/>
            <w:shd w:val="clear" w:color="auto" w:fill="002060"/>
          </w:tcPr>
          <w:p w14:paraId="21C2ED82" w14:textId="4973509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Partner Portal Management</w:t>
            </w:r>
          </w:p>
        </w:tc>
        <w:tc>
          <w:tcPr>
            <w:tcW w:w="0" w:type="auto"/>
            <w:shd w:val="clear" w:color="000000" w:fill="FFFFFF"/>
          </w:tcPr>
          <w:p w14:paraId="4E1E4E25" w14:textId="2C21AF3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focuses on the administration and user experience management of a dedicated online portal for partners (nursing homes, psychiatric centers, etc.), supporting creation and management of th</w:t>
            </w:r>
            <w:r>
              <w:rPr>
                <w:rFonts w:ascii="Arial" w:eastAsia="Times New Roman" w:hAnsi="Arial" w:cs="Arial"/>
                <w:kern w:val="0"/>
                <w:sz w:val="20"/>
                <w:szCs w:val="20"/>
                <w14:ligatures w14:val="none"/>
              </w:rPr>
              <w:t>eir partner profile and supporting roster management for Medicaid members in programs such as Medicaid Long Term Care and Advanced Long Term Care associated with their facility.</w:t>
            </w:r>
          </w:p>
        </w:tc>
      </w:tr>
      <w:tr w:rsidR="000A24CD" w14:paraId="5A64C191" w14:textId="77777777" w:rsidTr="00CA318C">
        <w:trPr>
          <w:trHeight w:val="780"/>
        </w:trPr>
        <w:tc>
          <w:tcPr>
            <w:tcW w:w="0" w:type="auto"/>
            <w:noWrap/>
            <w:hideMark/>
          </w:tcPr>
          <w:p w14:paraId="14FF5F0E" w14:textId="6FC4A95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w:t>
            </w:r>
          </w:p>
        </w:tc>
        <w:tc>
          <w:tcPr>
            <w:tcW w:w="0" w:type="auto"/>
            <w:noWrap/>
            <w:hideMark/>
          </w:tcPr>
          <w:p w14:paraId="23EE49DF" w14:textId="5F774FA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CH-3.7</w:t>
            </w:r>
          </w:p>
        </w:tc>
        <w:tc>
          <w:tcPr>
            <w:tcW w:w="0" w:type="auto"/>
            <w:shd w:val="clear" w:color="000000" w:fill="FFFFFF"/>
            <w:hideMark/>
          </w:tcPr>
          <w:p w14:paraId="0794A2D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C36E53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11057A0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Portal Management</w:t>
            </w:r>
          </w:p>
        </w:tc>
        <w:tc>
          <w:tcPr>
            <w:tcW w:w="0" w:type="auto"/>
            <w:shd w:val="clear" w:color="000000" w:fill="4D93D9"/>
            <w:hideMark/>
          </w:tcPr>
          <w:p w14:paraId="1A264338"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Provider Portal Management</w:t>
            </w:r>
          </w:p>
        </w:tc>
        <w:tc>
          <w:tcPr>
            <w:tcW w:w="0" w:type="auto"/>
            <w:shd w:val="clear" w:color="000000" w:fill="FFFFFF"/>
            <w:hideMark/>
          </w:tcPr>
          <w:p w14:paraId="48ED806D" w14:textId="081607A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Provider online portal's functionality and user experience, enabling self-service for account management, application processing, and secure communications.</w:t>
            </w:r>
          </w:p>
        </w:tc>
      </w:tr>
      <w:tr w:rsidR="000A24CD" w14:paraId="5E6683AC" w14:textId="77777777" w:rsidTr="00CA318C">
        <w:trPr>
          <w:trHeight w:val="530"/>
        </w:trPr>
        <w:tc>
          <w:tcPr>
            <w:tcW w:w="0" w:type="auto"/>
            <w:noWrap/>
            <w:hideMark/>
          </w:tcPr>
          <w:p w14:paraId="6662CE0F" w14:textId="503023E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w:t>
            </w:r>
          </w:p>
        </w:tc>
        <w:tc>
          <w:tcPr>
            <w:tcW w:w="0" w:type="auto"/>
            <w:noWrap/>
            <w:hideMark/>
          </w:tcPr>
          <w:p w14:paraId="77881559" w14:textId="7C42807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CH-3.8</w:t>
            </w:r>
          </w:p>
        </w:tc>
        <w:tc>
          <w:tcPr>
            <w:tcW w:w="0" w:type="auto"/>
            <w:shd w:val="clear" w:color="000000" w:fill="FFFFFF"/>
            <w:hideMark/>
          </w:tcPr>
          <w:p w14:paraId="3AA7F9D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Relationship Management</w:t>
            </w:r>
          </w:p>
        </w:tc>
        <w:tc>
          <w:tcPr>
            <w:tcW w:w="0" w:type="auto"/>
            <w:shd w:val="clear" w:color="000000" w:fill="FFFFFF"/>
            <w:hideMark/>
          </w:tcPr>
          <w:p w14:paraId="59293095"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Channe</w:t>
            </w:r>
            <w:r>
              <w:rPr>
                <w:rFonts w:ascii="Arial" w:eastAsia="Times New Roman" w:hAnsi="Arial" w:cs="Arial"/>
                <w:color w:val="000000"/>
                <w:kern w:val="0"/>
                <w:sz w:val="20"/>
                <w:szCs w:val="20"/>
                <w14:ligatures w14:val="none"/>
              </w:rPr>
              <w:t>l Management</w:t>
            </w:r>
          </w:p>
        </w:tc>
        <w:tc>
          <w:tcPr>
            <w:tcW w:w="0" w:type="auto"/>
            <w:hideMark/>
          </w:tcPr>
          <w:p w14:paraId="1C399EC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Online / Portal Management</w:t>
            </w:r>
          </w:p>
        </w:tc>
        <w:tc>
          <w:tcPr>
            <w:tcW w:w="0" w:type="auto"/>
            <w:shd w:val="clear" w:color="000000" w:fill="002060"/>
            <w:hideMark/>
          </w:tcPr>
          <w:p w14:paraId="698DA357"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Online / Portal Content Management</w:t>
            </w:r>
          </w:p>
        </w:tc>
        <w:tc>
          <w:tcPr>
            <w:tcW w:w="0" w:type="auto"/>
            <w:shd w:val="clear" w:color="000000" w:fill="FFFFFF"/>
            <w:hideMark/>
          </w:tcPr>
          <w:p w14:paraId="79C03963" w14:textId="33B91D1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governs the content lifecycle from creation to retirement for all online channels.</w:t>
            </w:r>
          </w:p>
        </w:tc>
      </w:tr>
      <w:tr w:rsidR="000A24CD" w14:paraId="2FAD7BAF" w14:textId="77777777" w:rsidTr="00CA318C">
        <w:trPr>
          <w:trHeight w:val="530"/>
        </w:trPr>
        <w:tc>
          <w:tcPr>
            <w:tcW w:w="0" w:type="auto"/>
            <w:noWrap/>
            <w:hideMark/>
          </w:tcPr>
          <w:p w14:paraId="1DD64F4E" w14:textId="5F9D19C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w:t>
            </w:r>
          </w:p>
        </w:tc>
        <w:tc>
          <w:tcPr>
            <w:tcW w:w="0" w:type="auto"/>
            <w:noWrap/>
            <w:hideMark/>
          </w:tcPr>
          <w:p w14:paraId="41AD1371" w14:textId="28F39448"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CH-4.1</w:t>
            </w:r>
          </w:p>
        </w:tc>
        <w:tc>
          <w:tcPr>
            <w:tcW w:w="0" w:type="auto"/>
            <w:shd w:val="clear" w:color="000000" w:fill="FFFFFF"/>
            <w:hideMark/>
          </w:tcPr>
          <w:p w14:paraId="27CFA10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362691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hideMark/>
          </w:tcPr>
          <w:p w14:paraId="5167148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Kiosk Management</w:t>
            </w:r>
          </w:p>
        </w:tc>
        <w:tc>
          <w:tcPr>
            <w:tcW w:w="0" w:type="auto"/>
            <w:shd w:val="clear" w:color="000000" w:fill="4D93D9"/>
            <w:hideMark/>
          </w:tcPr>
          <w:p w14:paraId="7A8BC2E7"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Kiosk Management</w:t>
            </w:r>
          </w:p>
        </w:tc>
        <w:tc>
          <w:tcPr>
            <w:tcW w:w="0" w:type="auto"/>
            <w:shd w:val="clear" w:color="000000" w:fill="FFFFFF"/>
            <w:hideMark/>
          </w:tcPr>
          <w:p w14:paraId="5EC110C7"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deployment, content, and technical operations of public-facing kiosks, including features for transaction processing, information exchange, content updates, and user technical support.</w:t>
            </w:r>
          </w:p>
        </w:tc>
      </w:tr>
      <w:tr w:rsidR="000A24CD" w14:paraId="7E87232B" w14:textId="77777777" w:rsidTr="00CA318C">
        <w:trPr>
          <w:trHeight w:val="520"/>
        </w:trPr>
        <w:tc>
          <w:tcPr>
            <w:tcW w:w="0" w:type="auto"/>
            <w:noWrap/>
            <w:hideMark/>
          </w:tcPr>
          <w:p w14:paraId="2D6EB6CD" w14:textId="238C5A96"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w:t>
            </w:r>
          </w:p>
        </w:tc>
        <w:tc>
          <w:tcPr>
            <w:tcW w:w="0" w:type="auto"/>
            <w:noWrap/>
            <w:hideMark/>
          </w:tcPr>
          <w:p w14:paraId="0B67A23B" w14:textId="5A7BEA7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CH-5.1</w:t>
            </w:r>
          </w:p>
        </w:tc>
        <w:tc>
          <w:tcPr>
            <w:tcW w:w="0" w:type="auto"/>
            <w:shd w:val="clear" w:color="000000" w:fill="FFFFFF"/>
            <w:hideMark/>
          </w:tcPr>
          <w:p w14:paraId="21C7570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763483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w:t>
            </w:r>
            <w:r>
              <w:rPr>
                <w:rFonts w:ascii="Arial" w:eastAsia="Times New Roman" w:hAnsi="Arial" w:cs="Arial"/>
                <w:kern w:val="0"/>
                <w:sz w:val="20"/>
                <w:szCs w:val="20"/>
                <w14:ligatures w14:val="none"/>
              </w:rPr>
              <w:t>annel Management</w:t>
            </w:r>
          </w:p>
        </w:tc>
        <w:tc>
          <w:tcPr>
            <w:tcW w:w="0" w:type="auto"/>
            <w:shd w:val="clear" w:color="000000" w:fill="FFFFFF"/>
            <w:hideMark/>
          </w:tcPr>
          <w:p w14:paraId="36D7470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Phone Management</w:t>
            </w:r>
          </w:p>
        </w:tc>
        <w:tc>
          <w:tcPr>
            <w:tcW w:w="0" w:type="auto"/>
            <w:shd w:val="clear" w:color="000000" w:fill="4D93D9"/>
            <w:hideMark/>
          </w:tcPr>
          <w:p w14:paraId="7BCD46A3"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Call Center Management</w:t>
            </w:r>
          </w:p>
        </w:tc>
        <w:tc>
          <w:tcPr>
            <w:tcW w:w="0" w:type="auto"/>
            <w:shd w:val="clear" w:color="000000" w:fill="FFFFFF"/>
            <w:hideMark/>
          </w:tcPr>
          <w:p w14:paraId="0D1BCCA9" w14:textId="5EDE6CA9"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call center operations, including staffing, technology, and performance, to deliver effective and efficient phone-based stakeholder support.</w:t>
            </w:r>
          </w:p>
        </w:tc>
      </w:tr>
      <w:tr w:rsidR="000A24CD" w14:paraId="7E97F22B" w14:textId="77777777" w:rsidTr="00CA318C">
        <w:trPr>
          <w:trHeight w:val="520"/>
        </w:trPr>
        <w:tc>
          <w:tcPr>
            <w:tcW w:w="0" w:type="auto"/>
            <w:noWrap/>
            <w:hideMark/>
          </w:tcPr>
          <w:p w14:paraId="215D162B" w14:textId="15FB674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w:t>
            </w:r>
          </w:p>
        </w:tc>
        <w:tc>
          <w:tcPr>
            <w:tcW w:w="0" w:type="auto"/>
            <w:noWrap/>
            <w:hideMark/>
          </w:tcPr>
          <w:p w14:paraId="0B2838AE" w14:textId="68B637D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CH-5.2</w:t>
            </w:r>
          </w:p>
        </w:tc>
        <w:tc>
          <w:tcPr>
            <w:tcW w:w="0" w:type="auto"/>
            <w:shd w:val="clear" w:color="000000" w:fill="FFFFFF"/>
            <w:hideMark/>
          </w:tcPr>
          <w:p w14:paraId="2113228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61FB10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hideMark/>
          </w:tcPr>
          <w:p w14:paraId="38D6AD7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Phone Management</w:t>
            </w:r>
          </w:p>
        </w:tc>
        <w:tc>
          <w:tcPr>
            <w:tcW w:w="0" w:type="auto"/>
            <w:shd w:val="clear" w:color="000000" w:fill="4D93D9"/>
            <w:hideMark/>
          </w:tcPr>
          <w:p w14:paraId="1ECA4F62"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IVR Management</w:t>
            </w:r>
          </w:p>
        </w:tc>
        <w:tc>
          <w:tcPr>
            <w:tcW w:w="0" w:type="auto"/>
            <w:shd w:val="clear" w:color="000000" w:fill="FFFFFF"/>
            <w:hideMark/>
          </w:tcPr>
          <w:p w14:paraId="52541434" w14:textId="3188B7D4"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lifecycle of the Interactive Voice Response (IVR) system, including its configuration, maintenance, and optimization, to enable effective self-service and call routing.</w:t>
            </w:r>
          </w:p>
        </w:tc>
      </w:tr>
      <w:tr w:rsidR="000A24CD" w14:paraId="50F2932A" w14:textId="77777777" w:rsidTr="00CA318C">
        <w:trPr>
          <w:trHeight w:val="790"/>
        </w:trPr>
        <w:tc>
          <w:tcPr>
            <w:tcW w:w="0" w:type="auto"/>
            <w:noWrap/>
            <w:hideMark/>
          </w:tcPr>
          <w:p w14:paraId="26324F50" w14:textId="6501048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16</w:t>
            </w:r>
          </w:p>
        </w:tc>
        <w:tc>
          <w:tcPr>
            <w:tcW w:w="0" w:type="auto"/>
            <w:noWrap/>
            <w:hideMark/>
          </w:tcPr>
          <w:p w14:paraId="731974EB" w14:textId="73167D1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w:t>
            </w:r>
            <w:r>
              <w:rPr>
                <w:rFonts w:ascii="Arial" w:eastAsia="Times New Roman" w:hAnsi="Arial" w:cs="Arial"/>
                <w:color w:val="000000"/>
                <w:kern w:val="0"/>
                <w:sz w:val="20"/>
                <w:szCs w:val="20"/>
                <w14:ligatures w14:val="none"/>
              </w:rPr>
              <w:t>5.3</w:t>
            </w:r>
          </w:p>
        </w:tc>
        <w:tc>
          <w:tcPr>
            <w:tcW w:w="0" w:type="auto"/>
            <w:shd w:val="clear" w:color="000000" w:fill="FFFFFF"/>
            <w:hideMark/>
          </w:tcPr>
          <w:p w14:paraId="32A758C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59068D0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hideMark/>
          </w:tcPr>
          <w:p w14:paraId="6B5C6C1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Phone Management</w:t>
            </w:r>
          </w:p>
        </w:tc>
        <w:tc>
          <w:tcPr>
            <w:tcW w:w="0" w:type="auto"/>
            <w:shd w:val="clear" w:color="000000" w:fill="4D93D9"/>
            <w:hideMark/>
          </w:tcPr>
          <w:p w14:paraId="53AB19C0"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Robo Calls Management</w:t>
            </w:r>
          </w:p>
        </w:tc>
        <w:tc>
          <w:tcPr>
            <w:tcW w:w="0" w:type="auto"/>
            <w:shd w:val="clear" w:color="000000" w:fill="FFFFFF"/>
            <w:hideMark/>
          </w:tcPr>
          <w:p w14:paraId="6607B689" w14:textId="12F18B18"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creation and execution of automated outbound calling campaigns to deliver targeted, pre-recorded messages to consumers with or without an option for a two way communication in an immediate response to the campaign.</w:t>
            </w:r>
          </w:p>
        </w:tc>
      </w:tr>
      <w:tr w:rsidR="000A24CD" w14:paraId="787158A8" w14:textId="77777777" w:rsidTr="00CA318C">
        <w:trPr>
          <w:trHeight w:val="780"/>
        </w:trPr>
        <w:tc>
          <w:tcPr>
            <w:tcW w:w="0" w:type="auto"/>
            <w:noWrap/>
            <w:hideMark/>
          </w:tcPr>
          <w:p w14:paraId="05049398" w14:textId="5771C35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17</w:t>
            </w:r>
          </w:p>
        </w:tc>
        <w:tc>
          <w:tcPr>
            <w:tcW w:w="0" w:type="auto"/>
            <w:noWrap/>
            <w:hideMark/>
          </w:tcPr>
          <w:p w14:paraId="1B9EDFD3" w14:textId="425F3C6A"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CH-6.1</w:t>
            </w:r>
          </w:p>
        </w:tc>
        <w:tc>
          <w:tcPr>
            <w:tcW w:w="0" w:type="auto"/>
            <w:shd w:val="clear" w:color="000000" w:fill="FFFFFF"/>
            <w:hideMark/>
          </w:tcPr>
          <w:p w14:paraId="38FD5E9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B21D45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0BDCDF0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Mobile Management</w:t>
            </w:r>
          </w:p>
        </w:tc>
        <w:tc>
          <w:tcPr>
            <w:tcW w:w="0" w:type="auto"/>
            <w:shd w:val="clear" w:color="000000" w:fill="002060"/>
            <w:hideMark/>
          </w:tcPr>
          <w:p w14:paraId="336426DF"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Responsive Web Design Management</w:t>
            </w:r>
          </w:p>
        </w:tc>
        <w:tc>
          <w:tcPr>
            <w:tcW w:w="0" w:type="auto"/>
            <w:shd w:val="clear" w:color="000000" w:fill="FFFFFF"/>
            <w:hideMark/>
          </w:tcPr>
          <w:p w14:paraId="2433F601" w14:textId="6A0E5E49"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enforces responsive web design standards to ensure a consisten</w:t>
            </w:r>
            <w:r>
              <w:rPr>
                <w:rFonts w:ascii="Arial" w:eastAsia="Times New Roman" w:hAnsi="Arial" w:cs="Arial"/>
                <w:color w:val="131314"/>
                <w:kern w:val="0"/>
                <w:sz w:val="20"/>
                <w:szCs w:val="20"/>
                <w14:ligatures w14:val="none"/>
              </w:rPr>
              <w:t xml:space="preserve">t and optimal user experience across all digital devices. </w:t>
            </w:r>
          </w:p>
        </w:tc>
      </w:tr>
      <w:tr w:rsidR="000A24CD" w14:paraId="560F55F5" w14:textId="77777777" w:rsidTr="00CA318C">
        <w:trPr>
          <w:trHeight w:val="790"/>
        </w:trPr>
        <w:tc>
          <w:tcPr>
            <w:tcW w:w="0" w:type="auto"/>
            <w:noWrap/>
            <w:hideMark/>
          </w:tcPr>
          <w:p w14:paraId="2F630C22" w14:textId="4443FAC6"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18</w:t>
            </w:r>
          </w:p>
        </w:tc>
        <w:tc>
          <w:tcPr>
            <w:tcW w:w="0" w:type="auto"/>
            <w:noWrap/>
            <w:hideMark/>
          </w:tcPr>
          <w:p w14:paraId="05D54BCC" w14:textId="7EF8591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CH-6.2</w:t>
            </w:r>
          </w:p>
        </w:tc>
        <w:tc>
          <w:tcPr>
            <w:tcW w:w="0" w:type="auto"/>
            <w:shd w:val="clear" w:color="000000" w:fill="FFFFFF"/>
            <w:hideMark/>
          </w:tcPr>
          <w:p w14:paraId="62C9839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7CAE1D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6D47041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Mobile Management</w:t>
            </w:r>
          </w:p>
        </w:tc>
        <w:tc>
          <w:tcPr>
            <w:tcW w:w="0" w:type="auto"/>
            <w:shd w:val="clear" w:color="000000" w:fill="002060"/>
            <w:hideMark/>
          </w:tcPr>
          <w:p w14:paraId="5873EFE5"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Mobile App Content Management</w:t>
            </w:r>
          </w:p>
        </w:tc>
        <w:tc>
          <w:tcPr>
            <w:tcW w:w="0" w:type="auto"/>
            <w:shd w:val="clear" w:color="000000" w:fill="FFFFFF"/>
            <w:hideMark/>
          </w:tcPr>
          <w:p w14:paraId="72C6F76F"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full lifecycle of mobile applications, including their creation, content management, maintenance, and technical support, enabling users to manage profiles, process transactions, receive information, submit applications/renewals, and communicate changes of circumstances.</w:t>
            </w:r>
          </w:p>
        </w:tc>
      </w:tr>
      <w:tr w:rsidR="000A24CD" w14:paraId="3A0E28D4" w14:textId="77777777" w:rsidTr="00CA318C">
        <w:trPr>
          <w:trHeight w:val="520"/>
        </w:trPr>
        <w:tc>
          <w:tcPr>
            <w:tcW w:w="0" w:type="auto"/>
            <w:noWrap/>
            <w:hideMark/>
          </w:tcPr>
          <w:p w14:paraId="1736472D"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19</w:t>
            </w:r>
          </w:p>
        </w:tc>
        <w:tc>
          <w:tcPr>
            <w:tcW w:w="0" w:type="auto"/>
            <w:noWrap/>
            <w:hideMark/>
          </w:tcPr>
          <w:p w14:paraId="1855478A" w14:textId="24557E1A"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CH-7.1</w:t>
            </w:r>
          </w:p>
        </w:tc>
        <w:tc>
          <w:tcPr>
            <w:tcW w:w="0" w:type="auto"/>
            <w:shd w:val="clear" w:color="000000" w:fill="FFFFFF"/>
            <w:hideMark/>
          </w:tcPr>
          <w:p w14:paraId="1AA649D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86B3BE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w:t>
            </w:r>
            <w:r>
              <w:rPr>
                <w:rFonts w:ascii="Arial" w:eastAsia="Times New Roman" w:hAnsi="Arial" w:cs="Arial"/>
                <w:kern w:val="0"/>
                <w:sz w:val="20"/>
                <w:szCs w:val="20"/>
                <w14:ligatures w14:val="none"/>
              </w:rPr>
              <w:t>t</w:t>
            </w:r>
          </w:p>
        </w:tc>
        <w:tc>
          <w:tcPr>
            <w:tcW w:w="0" w:type="auto"/>
            <w:hideMark/>
          </w:tcPr>
          <w:p w14:paraId="44E610B8" w14:textId="72BF013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Mail / Electronic Correspondence Management</w:t>
            </w:r>
          </w:p>
        </w:tc>
        <w:tc>
          <w:tcPr>
            <w:tcW w:w="0" w:type="auto"/>
            <w:shd w:val="clear" w:color="000000" w:fill="002060"/>
            <w:hideMark/>
          </w:tcPr>
          <w:p w14:paraId="491C29CD" w14:textId="249DB45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Incoming Correspondence Management</w:t>
            </w:r>
          </w:p>
        </w:tc>
        <w:tc>
          <w:tcPr>
            <w:tcW w:w="0" w:type="auto"/>
            <w:shd w:val="clear" w:color="000000" w:fill="FFFFFF"/>
            <w:hideMark/>
          </w:tcPr>
          <w:p w14:paraId="587C77D6" w14:textId="34946E63"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end-to-end process for all incoming physical and electronic correspondence, from intake and digitization to routing and tracking for resolution.  This includes, but is not limited to, correspondence such as mail, email, SMS, and fax.</w:t>
            </w:r>
          </w:p>
        </w:tc>
      </w:tr>
      <w:tr w:rsidR="000A24CD" w14:paraId="4CF029A3" w14:textId="77777777" w:rsidTr="00CA318C">
        <w:trPr>
          <w:trHeight w:val="520"/>
        </w:trPr>
        <w:tc>
          <w:tcPr>
            <w:tcW w:w="0" w:type="auto"/>
            <w:noWrap/>
            <w:hideMark/>
          </w:tcPr>
          <w:p w14:paraId="77A51F94" w14:textId="1CA9AA1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20</w:t>
            </w:r>
          </w:p>
        </w:tc>
        <w:tc>
          <w:tcPr>
            <w:tcW w:w="0" w:type="auto"/>
            <w:noWrap/>
            <w:hideMark/>
          </w:tcPr>
          <w:p w14:paraId="14B95B51" w14:textId="07EE6ECE"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CH-7.2</w:t>
            </w:r>
          </w:p>
        </w:tc>
        <w:tc>
          <w:tcPr>
            <w:tcW w:w="0" w:type="auto"/>
            <w:shd w:val="clear" w:color="000000" w:fill="FFFFFF"/>
            <w:hideMark/>
          </w:tcPr>
          <w:p w14:paraId="25F0F14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7658CE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7DDC799F" w14:textId="611D94F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Mail / Electronic Correspondence Management</w:t>
            </w:r>
          </w:p>
        </w:tc>
        <w:tc>
          <w:tcPr>
            <w:tcW w:w="0" w:type="auto"/>
            <w:shd w:val="clear" w:color="000000" w:fill="002060"/>
            <w:hideMark/>
          </w:tcPr>
          <w:p w14:paraId="0E32CFF0" w14:textId="46E900E1"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Outgoing Correspondence Management</w:t>
            </w:r>
          </w:p>
        </w:tc>
        <w:tc>
          <w:tcPr>
            <w:tcW w:w="0" w:type="auto"/>
            <w:shd w:val="clear" w:color="000000" w:fill="FFFFFF"/>
            <w:hideMark/>
          </w:tcPr>
          <w:p w14:paraId="4E5FD160" w14:textId="1590576F"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producti</w:t>
            </w:r>
            <w:r>
              <w:rPr>
                <w:rFonts w:ascii="Arial" w:eastAsia="Times New Roman" w:hAnsi="Arial" w:cs="Arial"/>
                <w:color w:val="131314"/>
                <w:kern w:val="0"/>
                <w:sz w:val="20"/>
                <w:szCs w:val="20"/>
                <w14:ligatures w14:val="none"/>
              </w:rPr>
              <w:t>on and distribution of official outgoing physical and electronic correspondence to consumers. This includes, but is not limited to, correspondence such as mail, email, SMS, and fax.</w:t>
            </w:r>
          </w:p>
        </w:tc>
      </w:tr>
      <w:tr w:rsidR="000A24CD" w14:paraId="3F06D02E" w14:textId="77777777" w:rsidTr="00CA318C">
        <w:trPr>
          <w:trHeight w:val="780"/>
        </w:trPr>
        <w:tc>
          <w:tcPr>
            <w:tcW w:w="0" w:type="auto"/>
            <w:noWrap/>
          </w:tcPr>
          <w:p w14:paraId="6D817612" w14:textId="2FD5670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21</w:t>
            </w:r>
          </w:p>
        </w:tc>
        <w:tc>
          <w:tcPr>
            <w:tcW w:w="0" w:type="auto"/>
            <w:noWrap/>
          </w:tcPr>
          <w:p w14:paraId="1A9B91F1" w14:textId="5EFF7EF3"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CH-8.1</w:t>
            </w:r>
          </w:p>
        </w:tc>
        <w:tc>
          <w:tcPr>
            <w:tcW w:w="0" w:type="auto"/>
            <w:shd w:val="clear" w:color="000000" w:fill="FFFFFF"/>
          </w:tcPr>
          <w:p w14:paraId="5D3A98B3" w14:textId="030E9C6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tcPr>
          <w:p w14:paraId="2C00F62D" w14:textId="6293C24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shd w:val="clear" w:color="000000" w:fill="FFFFFF"/>
          </w:tcPr>
          <w:p w14:paraId="3BF0EC72" w14:textId="599054D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Social Media Management</w:t>
            </w:r>
          </w:p>
        </w:tc>
        <w:tc>
          <w:tcPr>
            <w:tcW w:w="0" w:type="auto"/>
            <w:shd w:val="clear" w:color="000000" w:fill="4D93D9"/>
          </w:tcPr>
          <w:p w14:paraId="24ABB1EC" w14:textId="5A2BBB0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Social Media Management</w:t>
            </w:r>
          </w:p>
        </w:tc>
        <w:tc>
          <w:tcPr>
            <w:tcW w:w="0" w:type="auto"/>
            <w:shd w:val="clear" w:color="000000" w:fill="FFFFFF"/>
          </w:tcPr>
          <w:p w14:paraId="69D582C6" w14:textId="5AB232F0"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and coordinates the organization's presence and activities across social media platforms, including content strategy, posting, audience engagement, comment monitoring, and response management.</w:t>
            </w:r>
          </w:p>
        </w:tc>
      </w:tr>
      <w:tr w:rsidR="000A24CD" w14:paraId="3C56F9EE" w14:textId="77777777" w:rsidTr="00CA318C">
        <w:trPr>
          <w:trHeight w:val="780"/>
        </w:trPr>
        <w:tc>
          <w:tcPr>
            <w:tcW w:w="0" w:type="auto"/>
            <w:noWrap/>
            <w:hideMark/>
          </w:tcPr>
          <w:p w14:paraId="07688E8F" w14:textId="0AB6064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22</w:t>
            </w:r>
          </w:p>
        </w:tc>
        <w:tc>
          <w:tcPr>
            <w:tcW w:w="0" w:type="auto"/>
            <w:noWrap/>
            <w:hideMark/>
          </w:tcPr>
          <w:p w14:paraId="5131C2E3" w14:textId="041C592B"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CH-9.1</w:t>
            </w:r>
          </w:p>
        </w:tc>
        <w:tc>
          <w:tcPr>
            <w:tcW w:w="0" w:type="auto"/>
            <w:shd w:val="clear" w:color="000000" w:fill="FFFFFF"/>
            <w:hideMark/>
          </w:tcPr>
          <w:p w14:paraId="7D0E6E7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DB153B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06E5E7E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Omni Channel Management</w:t>
            </w:r>
          </w:p>
        </w:tc>
        <w:tc>
          <w:tcPr>
            <w:tcW w:w="0" w:type="auto"/>
            <w:shd w:val="clear" w:color="000000" w:fill="002060"/>
            <w:hideMark/>
          </w:tcPr>
          <w:p w14:paraId="3CFE60E2"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Capture Data Management</w:t>
            </w:r>
          </w:p>
        </w:tc>
        <w:tc>
          <w:tcPr>
            <w:tcW w:w="0" w:type="auto"/>
            <w:shd w:val="clear" w:color="000000" w:fill="FFFFFF"/>
            <w:hideMark/>
          </w:tcPr>
          <w:p w14:paraId="05D7A163" w14:textId="4E958C01"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captures, validates, and unifies stakeholder data from all interaction channels into a single, consistent profile to enable a seamless omnichannel experience.</w:t>
            </w:r>
          </w:p>
        </w:tc>
      </w:tr>
      <w:tr w:rsidR="000A24CD" w14:paraId="6D496778" w14:textId="77777777" w:rsidTr="00CA318C">
        <w:trPr>
          <w:trHeight w:val="780"/>
        </w:trPr>
        <w:tc>
          <w:tcPr>
            <w:tcW w:w="0" w:type="auto"/>
            <w:noWrap/>
            <w:hideMark/>
          </w:tcPr>
          <w:p w14:paraId="6FBEE451" w14:textId="5A28E3D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23</w:t>
            </w:r>
          </w:p>
        </w:tc>
        <w:tc>
          <w:tcPr>
            <w:tcW w:w="0" w:type="auto"/>
            <w:noWrap/>
            <w:hideMark/>
          </w:tcPr>
          <w:p w14:paraId="0949F4DC" w14:textId="6DB9BB5E"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CH-9.2</w:t>
            </w:r>
          </w:p>
        </w:tc>
        <w:tc>
          <w:tcPr>
            <w:tcW w:w="0" w:type="auto"/>
            <w:shd w:val="clear" w:color="000000" w:fill="FFFFFF"/>
            <w:hideMark/>
          </w:tcPr>
          <w:p w14:paraId="7543521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32B1491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564D162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Omni Channel Management</w:t>
            </w:r>
          </w:p>
        </w:tc>
        <w:tc>
          <w:tcPr>
            <w:tcW w:w="0" w:type="auto"/>
            <w:shd w:val="clear" w:color="000000" w:fill="002060"/>
            <w:hideMark/>
          </w:tcPr>
          <w:p w14:paraId="66587FA2"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Capture Changes / Updates Management</w:t>
            </w:r>
          </w:p>
        </w:tc>
        <w:tc>
          <w:tcPr>
            <w:tcW w:w="0" w:type="auto"/>
            <w:shd w:val="clear" w:color="000000" w:fill="FFFFFF"/>
            <w:hideMark/>
          </w:tcPr>
          <w:p w14:paraId="6C254809" w14:textId="44461D5F"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consumers to interact with the agency through any channel, ensuring real-time synchronization and data cons</w:t>
            </w:r>
            <w:r>
              <w:rPr>
                <w:rFonts w:ascii="Arial" w:eastAsia="Times New Roman" w:hAnsi="Arial" w:cs="Arial"/>
                <w:color w:val="131314"/>
                <w:kern w:val="0"/>
                <w:sz w:val="20"/>
                <w:szCs w:val="20"/>
                <w14:ligatures w14:val="none"/>
              </w:rPr>
              <w:t>istency across all systems.</w:t>
            </w:r>
          </w:p>
        </w:tc>
      </w:tr>
      <w:tr w:rsidR="000A24CD" w14:paraId="4DBD8DFB" w14:textId="77777777" w:rsidTr="00CA318C">
        <w:trPr>
          <w:trHeight w:val="530"/>
        </w:trPr>
        <w:tc>
          <w:tcPr>
            <w:tcW w:w="0" w:type="auto"/>
            <w:noWrap/>
            <w:hideMark/>
          </w:tcPr>
          <w:p w14:paraId="34135D82" w14:textId="50E1B0A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24</w:t>
            </w:r>
          </w:p>
        </w:tc>
        <w:tc>
          <w:tcPr>
            <w:tcW w:w="0" w:type="auto"/>
            <w:noWrap/>
            <w:hideMark/>
          </w:tcPr>
          <w:p w14:paraId="65F701E4" w14:textId="7D43137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CH-9.3</w:t>
            </w:r>
          </w:p>
        </w:tc>
        <w:tc>
          <w:tcPr>
            <w:tcW w:w="0" w:type="auto"/>
            <w:shd w:val="clear" w:color="000000" w:fill="FFFFFF"/>
            <w:hideMark/>
          </w:tcPr>
          <w:p w14:paraId="5010747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2512E5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Channel Management</w:t>
            </w:r>
          </w:p>
        </w:tc>
        <w:tc>
          <w:tcPr>
            <w:tcW w:w="0" w:type="auto"/>
            <w:hideMark/>
          </w:tcPr>
          <w:p w14:paraId="1F6B4DB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Omni Channel Management</w:t>
            </w:r>
          </w:p>
        </w:tc>
        <w:tc>
          <w:tcPr>
            <w:tcW w:w="0" w:type="auto"/>
            <w:shd w:val="clear" w:color="000000" w:fill="002060"/>
            <w:hideMark/>
          </w:tcPr>
          <w:p w14:paraId="72905ED5"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Channel Integration Management</w:t>
            </w:r>
          </w:p>
        </w:tc>
        <w:tc>
          <w:tcPr>
            <w:tcW w:w="0" w:type="auto"/>
            <w:shd w:val="clear" w:color="000000" w:fill="FFFFFF"/>
            <w:hideMark/>
          </w:tcPr>
          <w:p w14:paraId="279301EC" w14:textId="381E0733"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technical and operational integration of all communication channels to ensure seamless data sharing and a consistent, uninterrupted user journey.</w:t>
            </w:r>
          </w:p>
        </w:tc>
      </w:tr>
      <w:tr w:rsidR="000A24CD" w14:paraId="24338193" w14:textId="77777777" w:rsidTr="00CA318C">
        <w:trPr>
          <w:trHeight w:val="520"/>
        </w:trPr>
        <w:tc>
          <w:tcPr>
            <w:tcW w:w="0" w:type="auto"/>
            <w:noWrap/>
            <w:hideMark/>
          </w:tcPr>
          <w:p w14:paraId="7BFCA874" w14:textId="7306F36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25</w:t>
            </w:r>
          </w:p>
        </w:tc>
        <w:tc>
          <w:tcPr>
            <w:tcW w:w="0" w:type="auto"/>
            <w:noWrap/>
            <w:hideMark/>
          </w:tcPr>
          <w:p w14:paraId="26D754E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CS-1.1</w:t>
            </w:r>
          </w:p>
        </w:tc>
        <w:tc>
          <w:tcPr>
            <w:tcW w:w="0" w:type="auto"/>
            <w:shd w:val="clear" w:color="000000" w:fill="FFFFFF"/>
            <w:hideMark/>
          </w:tcPr>
          <w:p w14:paraId="2DE168B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3B7A971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6903DF3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Application Assistance</w:t>
            </w:r>
          </w:p>
        </w:tc>
        <w:tc>
          <w:tcPr>
            <w:tcW w:w="0" w:type="auto"/>
            <w:shd w:val="clear" w:color="000000" w:fill="002060"/>
            <w:hideMark/>
          </w:tcPr>
          <w:p w14:paraId="54973D36" w14:textId="6CB4F2B6"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Application Data Collection</w:t>
            </w:r>
          </w:p>
        </w:tc>
        <w:tc>
          <w:tcPr>
            <w:tcW w:w="0" w:type="auto"/>
            <w:shd w:val="clear" w:color="000000" w:fill="FFFFFF"/>
            <w:hideMark/>
          </w:tcPr>
          <w:p w14:paraId="4914209A"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collection of all necessary application information for Medicaid, QHP,</w:t>
            </w:r>
            <w:r>
              <w:rPr>
                <w:rFonts w:ascii="Arial" w:eastAsia="Times New Roman" w:hAnsi="Arial" w:cs="Arial"/>
                <w:color w:val="131314"/>
                <w:kern w:val="0"/>
                <w:sz w:val="20"/>
                <w:szCs w:val="20"/>
                <w14:ligatures w14:val="none"/>
              </w:rPr>
              <w:t xml:space="preserve"> and SHOP via customer service or assistors. </w:t>
            </w:r>
          </w:p>
        </w:tc>
      </w:tr>
      <w:tr w:rsidR="000A24CD" w14:paraId="700BB501" w14:textId="77777777" w:rsidTr="00CA318C">
        <w:trPr>
          <w:trHeight w:val="780"/>
        </w:trPr>
        <w:tc>
          <w:tcPr>
            <w:tcW w:w="0" w:type="auto"/>
            <w:noWrap/>
            <w:hideMark/>
          </w:tcPr>
          <w:p w14:paraId="66FE9EC5" w14:textId="74D01BC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26</w:t>
            </w:r>
          </w:p>
        </w:tc>
        <w:tc>
          <w:tcPr>
            <w:tcW w:w="0" w:type="auto"/>
            <w:noWrap/>
            <w:hideMark/>
          </w:tcPr>
          <w:p w14:paraId="511DD88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CS-1.2</w:t>
            </w:r>
          </w:p>
        </w:tc>
        <w:tc>
          <w:tcPr>
            <w:tcW w:w="0" w:type="auto"/>
            <w:shd w:val="clear" w:color="000000" w:fill="FFFFFF"/>
            <w:hideMark/>
          </w:tcPr>
          <w:p w14:paraId="0107F77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9ADCDA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0BB73A5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Application Assistance</w:t>
            </w:r>
          </w:p>
        </w:tc>
        <w:tc>
          <w:tcPr>
            <w:tcW w:w="0" w:type="auto"/>
            <w:shd w:val="clear" w:color="000000" w:fill="002060"/>
            <w:hideMark/>
          </w:tcPr>
          <w:p w14:paraId="0F45E334" w14:textId="6EC6EEF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Authorized Relationship Establishment</w:t>
            </w:r>
          </w:p>
        </w:tc>
        <w:tc>
          <w:tcPr>
            <w:tcW w:w="0" w:type="auto"/>
            <w:shd w:val="clear" w:color="000000" w:fill="FFFFFF"/>
            <w:hideMark/>
          </w:tcPr>
          <w:p w14:paraId="0729F795"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secure establishment and verification of authorized relationships between applicants (for Medicaid, QHP, or SHOP) and their representatives (E.g., assistors) or agency entities (E.g., customer service agents), ensuring appropriate permissions for acting on the applicant's behalf during the application process.</w:t>
            </w:r>
          </w:p>
        </w:tc>
      </w:tr>
      <w:tr w:rsidR="000A24CD" w14:paraId="0DD4F79E" w14:textId="77777777" w:rsidTr="00CA318C">
        <w:trPr>
          <w:trHeight w:val="780"/>
        </w:trPr>
        <w:tc>
          <w:tcPr>
            <w:tcW w:w="0" w:type="auto"/>
            <w:noWrap/>
            <w:hideMark/>
          </w:tcPr>
          <w:p w14:paraId="0C2BCD75" w14:textId="60CA912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27</w:t>
            </w:r>
          </w:p>
        </w:tc>
        <w:tc>
          <w:tcPr>
            <w:tcW w:w="0" w:type="auto"/>
            <w:noWrap/>
            <w:hideMark/>
          </w:tcPr>
          <w:p w14:paraId="0775B48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CS-1.3</w:t>
            </w:r>
          </w:p>
        </w:tc>
        <w:tc>
          <w:tcPr>
            <w:tcW w:w="0" w:type="auto"/>
            <w:shd w:val="clear" w:color="000000" w:fill="FFFFFF"/>
            <w:hideMark/>
          </w:tcPr>
          <w:p w14:paraId="499B93A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w:t>
            </w:r>
            <w:r>
              <w:rPr>
                <w:rFonts w:ascii="Arial" w:eastAsia="Times New Roman" w:hAnsi="Arial" w:cs="Arial"/>
                <w:kern w:val="0"/>
                <w:sz w:val="20"/>
                <w:szCs w:val="20"/>
                <w14:ligatures w14:val="none"/>
              </w:rPr>
              <w:t>lationship Management</w:t>
            </w:r>
          </w:p>
        </w:tc>
        <w:tc>
          <w:tcPr>
            <w:tcW w:w="0" w:type="auto"/>
            <w:shd w:val="clear" w:color="000000" w:fill="FFFFFF"/>
            <w:hideMark/>
          </w:tcPr>
          <w:p w14:paraId="707B799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4BF4FB4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Application Assistance</w:t>
            </w:r>
          </w:p>
        </w:tc>
        <w:tc>
          <w:tcPr>
            <w:tcW w:w="0" w:type="auto"/>
            <w:shd w:val="clear" w:color="000000" w:fill="002060"/>
            <w:hideMark/>
          </w:tcPr>
          <w:p w14:paraId="1059008E" w14:textId="7E6BD68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 xml:space="preserve">Application &amp; Exemption Information Verification </w:t>
            </w:r>
          </w:p>
        </w:tc>
        <w:tc>
          <w:tcPr>
            <w:tcW w:w="0" w:type="auto"/>
            <w:shd w:val="clear" w:color="000000" w:fill="FFFFFF"/>
            <w:hideMark/>
          </w:tcPr>
          <w:p w14:paraId="417703AE"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ensures the completeness of Medicaid, QHP, and SHOP applications by verifying provided information, including citizenship, immigration, incarceration status, and exemption details, against trusted data sources to prepare for eligibility determination.</w:t>
            </w:r>
          </w:p>
        </w:tc>
      </w:tr>
      <w:tr w:rsidR="000A24CD" w14:paraId="0BB5462A" w14:textId="77777777" w:rsidTr="00CA318C">
        <w:trPr>
          <w:trHeight w:val="520"/>
        </w:trPr>
        <w:tc>
          <w:tcPr>
            <w:tcW w:w="0" w:type="auto"/>
            <w:noWrap/>
            <w:hideMark/>
          </w:tcPr>
          <w:p w14:paraId="3E2C0DDD" w14:textId="0A10DE05"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28</w:t>
            </w:r>
          </w:p>
        </w:tc>
        <w:tc>
          <w:tcPr>
            <w:tcW w:w="0" w:type="auto"/>
            <w:noWrap/>
            <w:hideMark/>
          </w:tcPr>
          <w:p w14:paraId="3B1CAA3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CS-1.4</w:t>
            </w:r>
          </w:p>
        </w:tc>
        <w:tc>
          <w:tcPr>
            <w:tcW w:w="0" w:type="auto"/>
            <w:shd w:val="clear" w:color="000000" w:fill="FFFFFF"/>
            <w:hideMark/>
          </w:tcPr>
          <w:p w14:paraId="55BB763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13B2311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3610DE9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Application Assistance</w:t>
            </w:r>
          </w:p>
        </w:tc>
        <w:tc>
          <w:tcPr>
            <w:tcW w:w="0" w:type="auto"/>
            <w:shd w:val="clear" w:color="000000" w:fill="002060"/>
            <w:hideMark/>
          </w:tcPr>
          <w:p w14:paraId="403763E0" w14:textId="6C45178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In-Progress Application Submission</w:t>
            </w:r>
          </w:p>
        </w:tc>
        <w:tc>
          <w:tcPr>
            <w:tcW w:w="0" w:type="auto"/>
            <w:shd w:val="clear" w:color="000000" w:fill="FFFFFF"/>
            <w:hideMark/>
          </w:tcPr>
          <w:p w14:paraId="27FF643D"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allows</w:t>
            </w:r>
            <w:r>
              <w:rPr>
                <w:rFonts w:ascii="Arial" w:eastAsia="Times New Roman" w:hAnsi="Arial" w:cs="Arial"/>
                <w:color w:val="131314"/>
                <w:kern w:val="0"/>
                <w:sz w:val="20"/>
                <w:szCs w:val="20"/>
                <w14:ligatures w14:val="none"/>
              </w:rPr>
              <w:t xml:space="preserve"> applicants, authorized representatives, or Assistors to save in-progress Medicaid, QHP, or SHOP applications, and later retrieve, review, update, validate, and submit them on behalf of the consumer.</w:t>
            </w:r>
          </w:p>
        </w:tc>
      </w:tr>
      <w:tr w:rsidR="000A24CD" w14:paraId="3571B09E" w14:textId="77777777" w:rsidTr="00CA318C">
        <w:trPr>
          <w:trHeight w:val="520"/>
        </w:trPr>
        <w:tc>
          <w:tcPr>
            <w:tcW w:w="0" w:type="auto"/>
            <w:noWrap/>
            <w:hideMark/>
          </w:tcPr>
          <w:p w14:paraId="4451701B" w14:textId="31A37D4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29</w:t>
            </w:r>
          </w:p>
        </w:tc>
        <w:tc>
          <w:tcPr>
            <w:tcW w:w="0" w:type="auto"/>
            <w:noWrap/>
            <w:hideMark/>
          </w:tcPr>
          <w:p w14:paraId="0346942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CS-1.5</w:t>
            </w:r>
          </w:p>
        </w:tc>
        <w:tc>
          <w:tcPr>
            <w:tcW w:w="0" w:type="auto"/>
            <w:shd w:val="clear" w:color="000000" w:fill="FFFFFF"/>
            <w:hideMark/>
          </w:tcPr>
          <w:p w14:paraId="45AE559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C15546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6953AAC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Application Assistance</w:t>
            </w:r>
          </w:p>
        </w:tc>
        <w:tc>
          <w:tcPr>
            <w:tcW w:w="0" w:type="auto"/>
            <w:shd w:val="clear" w:color="000000" w:fill="002060"/>
            <w:hideMark/>
          </w:tcPr>
          <w:p w14:paraId="49CBEA23" w14:textId="4C19F45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Application Changes Submission</w:t>
            </w:r>
          </w:p>
        </w:tc>
        <w:tc>
          <w:tcPr>
            <w:tcW w:w="0" w:type="auto"/>
            <w:shd w:val="clear" w:color="000000" w:fill="FFFFFF"/>
            <w:hideMark/>
          </w:tcPr>
          <w:p w14:paraId="2EE229FE"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Medicaid, QHP, or SHOP customer service / assistors to access, modify, verify, and submit updates or changes to specific sections or fields within existing applications or to consume</w:t>
            </w:r>
            <w:r>
              <w:rPr>
                <w:rFonts w:ascii="Arial" w:eastAsia="Times New Roman" w:hAnsi="Arial" w:cs="Arial"/>
                <w:color w:val="131314"/>
                <w:kern w:val="0"/>
                <w:sz w:val="20"/>
                <w:szCs w:val="20"/>
                <w14:ligatures w14:val="none"/>
              </w:rPr>
              <w:t>r profile for further processing.</w:t>
            </w:r>
          </w:p>
        </w:tc>
      </w:tr>
      <w:tr w:rsidR="000A24CD" w14:paraId="59C7E5B0" w14:textId="77777777" w:rsidTr="00CA318C">
        <w:trPr>
          <w:trHeight w:val="520"/>
        </w:trPr>
        <w:tc>
          <w:tcPr>
            <w:tcW w:w="0" w:type="auto"/>
            <w:noWrap/>
            <w:hideMark/>
          </w:tcPr>
          <w:p w14:paraId="659171D7" w14:textId="1ABFCF9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30</w:t>
            </w:r>
          </w:p>
        </w:tc>
        <w:tc>
          <w:tcPr>
            <w:tcW w:w="0" w:type="auto"/>
            <w:noWrap/>
            <w:hideMark/>
          </w:tcPr>
          <w:p w14:paraId="17C93A2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CS-1.6</w:t>
            </w:r>
          </w:p>
        </w:tc>
        <w:tc>
          <w:tcPr>
            <w:tcW w:w="0" w:type="auto"/>
            <w:shd w:val="clear" w:color="000000" w:fill="FFFFFF"/>
            <w:hideMark/>
          </w:tcPr>
          <w:p w14:paraId="1DC86CA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CFCA93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73F39FE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Application Assistance</w:t>
            </w:r>
          </w:p>
        </w:tc>
        <w:tc>
          <w:tcPr>
            <w:tcW w:w="0" w:type="auto"/>
            <w:shd w:val="clear" w:color="000000" w:fill="002060"/>
            <w:hideMark/>
          </w:tcPr>
          <w:p w14:paraId="644B5336" w14:textId="5823641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New Application Submission</w:t>
            </w:r>
          </w:p>
        </w:tc>
        <w:tc>
          <w:tcPr>
            <w:tcW w:w="0" w:type="auto"/>
            <w:shd w:val="clear" w:color="000000" w:fill="FFFFFF"/>
            <w:hideMark/>
          </w:tcPr>
          <w:p w14:paraId="38C4323B"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customer service and assistors entities to initiate, enter data, verify information, and formally submit new applications for Medicaid, QHP, or SHOP programs on behalf of themselves or the represented applicant.</w:t>
            </w:r>
          </w:p>
        </w:tc>
      </w:tr>
      <w:tr w:rsidR="000A24CD" w14:paraId="75858158" w14:textId="77777777" w:rsidTr="00CA318C">
        <w:trPr>
          <w:trHeight w:val="530"/>
        </w:trPr>
        <w:tc>
          <w:tcPr>
            <w:tcW w:w="0" w:type="auto"/>
            <w:noWrap/>
            <w:hideMark/>
          </w:tcPr>
          <w:p w14:paraId="64C36C20" w14:textId="60C3A41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31</w:t>
            </w:r>
          </w:p>
        </w:tc>
        <w:tc>
          <w:tcPr>
            <w:tcW w:w="0" w:type="auto"/>
            <w:noWrap/>
            <w:hideMark/>
          </w:tcPr>
          <w:p w14:paraId="3817E3A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CS-1.7</w:t>
            </w:r>
          </w:p>
        </w:tc>
        <w:tc>
          <w:tcPr>
            <w:tcW w:w="0" w:type="auto"/>
            <w:shd w:val="clear" w:color="000000" w:fill="FFFFFF"/>
            <w:hideMark/>
          </w:tcPr>
          <w:p w14:paraId="0784C02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0ACC6D2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5F83B0C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Application Assistance</w:t>
            </w:r>
          </w:p>
        </w:tc>
        <w:tc>
          <w:tcPr>
            <w:tcW w:w="0" w:type="auto"/>
            <w:shd w:val="clear" w:color="000000" w:fill="002060"/>
            <w:hideMark/>
          </w:tcPr>
          <w:p w14:paraId="5A22A78D" w14:textId="224DC07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Renewal Application Submission</w:t>
            </w:r>
          </w:p>
        </w:tc>
        <w:tc>
          <w:tcPr>
            <w:tcW w:w="0" w:type="auto"/>
            <w:shd w:val="clear" w:color="000000" w:fill="FFFFFF"/>
            <w:hideMark/>
          </w:tcPr>
          <w:p w14:paraId="7E82A87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enables customer s</w:t>
            </w:r>
            <w:r>
              <w:rPr>
                <w:rFonts w:ascii="Arial" w:eastAsia="Times New Roman" w:hAnsi="Arial" w:cs="Arial"/>
                <w:kern w:val="0"/>
                <w:sz w:val="20"/>
                <w:szCs w:val="20"/>
                <w14:ligatures w14:val="none"/>
              </w:rPr>
              <w:t>ervice and assistors entities to initiate, enter data, verify information, and formally submit renewal applications for Medicaid, QHP, or SHOP programs on behalf of themselves or the represented applicant.</w:t>
            </w:r>
          </w:p>
        </w:tc>
      </w:tr>
      <w:tr w:rsidR="000A24CD" w14:paraId="552CE3E7" w14:textId="77777777" w:rsidTr="00CA318C">
        <w:trPr>
          <w:trHeight w:val="520"/>
        </w:trPr>
        <w:tc>
          <w:tcPr>
            <w:tcW w:w="0" w:type="auto"/>
            <w:noWrap/>
            <w:hideMark/>
          </w:tcPr>
          <w:p w14:paraId="1DBFFC17" w14:textId="1BDCB72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32</w:t>
            </w:r>
          </w:p>
        </w:tc>
        <w:tc>
          <w:tcPr>
            <w:tcW w:w="0" w:type="auto"/>
            <w:noWrap/>
            <w:hideMark/>
          </w:tcPr>
          <w:p w14:paraId="6936C03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CS-2.1</w:t>
            </w:r>
          </w:p>
        </w:tc>
        <w:tc>
          <w:tcPr>
            <w:tcW w:w="0" w:type="auto"/>
            <w:shd w:val="clear" w:color="000000" w:fill="FFFFFF"/>
            <w:hideMark/>
          </w:tcPr>
          <w:p w14:paraId="7478F13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5ECAD91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26F843C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1D4C9750" w14:textId="7D69F4B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Request Intake</w:t>
            </w:r>
          </w:p>
        </w:tc>
        <w:tc>
          <w:tcPr>
            <w:tcW w:w="0" w:type="auto"/>
            <w:shd w:val="clear" w:color="000000" w:fill="FFFFFF"/>
            <w:hideMark/>
          </w:tcPr>
          <w:p w14:paraId="1E559B20"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focuses on accurately documenting, initiating tracking, and managing the initial intake of various customer inquiry requests received through different channels.</w:t>
            </w:r>
          </w:p>
        </w:tc>
      </w:tr>
      <w:tr w:rsidR="000A24CD" w14:paraId="2EEF3518" w14:textId="77777777" w:rsidTr="00CA318C">
        <w:trPr>
          <w:trHeight w:val="520"/>
        </w:trPr>
        <w:tc>
          <w:tcPr>
            <w:tcW w:w="0" w:type="auto"/>
            <w:noWrap/>
            <w:hideMark/>
          </w:tcPr>
          <w:p w14:paraId="3630077C" w14:textId="64DD926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33</w:t>
            </w:r>
          </w:p>
        </w:tc>
        <w:tc>
          <w:tcPr>
            <w:tcW w:w="0" w:type="auto"/>
            <w:noWrap/>
            <w:hideMark/>
          </w:tcPr>
          <w:p w14:paraId="6B9BEF7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CS-2.2</w:t>
            </w:r>
          </w:p>
        </w:tc>
        <w:tc>
          <w:tcPr>
            <w:tcW w:w="0" w:type="auto"/>
            <w:shd w:val="clear" w:color="000000" w:fill="FFFFFF"/>
            <w:hideMark/>
          </w:tcPr>
          <w:p w14:paraId="583EBD1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w:t>
            </w:r>
            <w:r>
              <w:rPr>
                <w:rFonts w:ascii="Arial" w:eastAsia="Times New Roman" w:hAnsi="Arial" w:cs="Arial"/>
                <w:kern w:val="0"/>
                <w:sz w:val="20"/>
                <w:szCs w:val="20"/>
                <w14:ligatures w14:val="none"/>
              </w:rPr>
              <w:t>ionship Management</w:t>
            </w:r>
          </w:p>
        </w:tc>
        <w:tc>
          <w:tcPr>
            <w:tcW w:w="0" w:type="auto"/>
            <w:shd w:val="clear" w:color="000000" w:fill="FFFFFF"/>
            <w:hideMark/>
          </w:tcPr>
          <w:p w14:paraId="79E9D86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1B1EC8B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07071FC7" w14:textId="2347555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Request Assessment</w:t>
            </w:r>
          </w:p>
        </w:tc>
        <w:tc>
          <w:tcPr>
            <w:tcW w:w="0" w:type="auto"/>
            <w:shd w:val="clear" w:color="000000" w:fill="FFFFFF"/>
            <w:hideMark/>
          </w:tcPr>
          <w:p w14:paraId="375ABC1B"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evaluating incoming inquiry requests to determine their nature, complexity, and appropriate course of action, often assigning priority and routing.</w:t>
            </w:r>
          </w:p>
        </w:tc>
      </w:tr>
      <w:tr w:rsidR="000A24CD" w14:paraId="7357129D" w14:textId="77777777" w:rsidTr="00CA318C">
        <w:trPr>
          <w:trHeight w:val="520"/>
        </w:trPr>
        <w:tc>
          <w:tcPr>
            <w:tcW w:w="0" w:type="auto"/>
            <w:noWrap/>
            <w:hideMark/>
          </w:tcPr>
          <w:p w14:paraId="29D4B907" w14:textId="02A09F4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34</w:t>
            </w:r>
          </w:p>
        </w:tc>
        <w:tc>
          <w:tcPr>
            <w:tcW w:w="0" w:type="auto"/>
            <w:noWrap/>
            <w:hideMark/>
          </w:tcPr>
          <w:p w14:paraId="60CB1D2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CS-2.3</w:t>
            </w:r>
          </w:p>
        </w:tc>
        <w:tc>
          <w:tcPr>
            <w:tcW w:w="0" w:type="auto"/>
            <w:shd w:val="clear" w:color="000000" w:fill="FFFFFF"/>
            <w:hideMark/>
          </w:tcPr>
          <w:p w14:paraId="6B2B4D2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73C543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6076D97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4A812882" w14:textId="670A352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Request Status Tracking</w:t>
            </w:r>
          </w:p>
        </w:tc>
        <w:tc>
          <w:tcPr>
            <w:tcW w:w="0" w:type="auto"/>
            <w:shd w:val="clear" w:color="000000" w:fill="FFFFFF"/>
            <w:hideMark/>
          </w:tcPr>
          <w:p w14:paraId="57FBD63F"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provides the functionality to monitor and report on the real-time status and progression of customer i</w:t>
            </w:r>
            <w:r>
              <w:rPr>
                <w:rFonts w:ascii="Arial" w:eastAsia="Times New Roman" w:hAnsi="Arial" w:cs="Arial"/>
                <w:color w:val="131314"/>
                <w:kern w:val="0"/>
                <w:sz w:val="20"/>
                <w:szCs w:val="20"/>
                <w14:ligatures w14:val="none"/>
              </w:rPr>
              <w:t>nquiry requests from submission to resolution, ensuring transparency and accountability.</w:t>
            </w:r>
          </w:p>
        </w:tc>
      </w:tr>
      <w:tr w:rsidR="000A24CD" w14:paraId="328AE75C" w14:textId="77777777" w:rsidTr="00CA318C">
        <w:trPr>
          <w:trHeight w:val="520"/>
        </w:trPr>
        <w:tc>
          <w:tcPr>
            <w:tcW w:w="0" w:type="auto"/>
            <w:noWrap/>
            <w:hideMark/>
          </w:tcPr>
          <w:p w14:paraId="6E72082B" w14:textId="0DA5663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35</w:t>
            </w:r>
          </w:p>
        </w:tc>
        <w:tc>
          <w:tcPr>
            <w:tcW w:w="0" w:type="auto"/>
            <w:noWrap/>
            <w:hideMark/>
          </w:tcPr>
          <w:p w14:paraId="27B052A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CS-2.4</w:t>
            </w:r>
          </w:p>
        </w:tc>
        <w:tc>
          <w:tcPr>
            <w:tcW w:w="0" w:type="auto"/>
            <w:shd w:val="clear" w:color="000000" w:fill="FFFFFF"/>
            <w:hideMark/>
          </w:tcPr>
          <w:p w14:paraId="325ED1D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AA404E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015D2B2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6E4D15D0" w14:textId="1D4F4F6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Request Status Communication</w:t>
            </w:r>
          </w:p>
        </w:tc>
        <w:tc>
          <w:tcPr>
            <w:tcW w:w="0" w:type="auto"/>
            <w:shd w:val="clear" w:color="000000" w:fill="FFFFFF"/>
            <w:hideMark/>
          </w:tcPr>
          <w:p w14:paraId="1E4AB192"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locating and communicating the current status of inquiry requests to relevant stakeholders through various methods, adapting to the request type and recipient.</w:t>
            </w:r>
          </w:p>
        </w:tc>
      </w:tr>
      <w:tr w:rsidR="000A24CD" w14:paraId="421DB6E9" w14:textId="77777777" w:rsidTr="00CA318C">
        <w:trPr>
          <w:trHeight w:val="520"/>
        </w:trPr>
        <w:tc>
          <w:tcPr>
            <w:tcW w:w="0" w:type="auto"/>
            <w:noWrap/>
            <w:hideMark/>
          </w:tcPr>
          <w:p w14:paraId="15DA8C8A" w14:textId="06A6133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36</w:t>
            </w:r>
          </w:p>
        </w:tc>
        <w:tc>
          <w:tcPr>
            <w:tcW w:w="0" w:type="auto"/>
            <w:noWrap/>
            <w:hideMark/>
          </w:tcPr>
          <w:p w14:paraId="7C4E54F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CS-2.5</w:t>
            </w:r>
          </w:p>
        </w:tc>
        <w:tc>
          <w:tcPr>
            <w:tcW w:w="0" w:type="auto"/>
            <w:shd w:val="clear" w:color="000000" w:fill="FFFFFF"/>
            <w:hideMark/>
          </w:tcPr>
          <w:p w14:paraId="641F32F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1BF4266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0071CEA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2911ADF8" w14:textId="2C3ADA1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Response Communi</w:t>
            </w:r>
            <w:r>
              <w:rPr>
                <w:rFonts w:ascii="Arial" w:eastAsia="Times New Roman" w:hAnsi="Arial" w:cs="Arial"/>
                <w:b/>
                <w:bCs/>
                <w:color w:val="FFFFFF"/>
                <w:kern w:val="0"/>
                <w:sz w:val="20"/>
                <w:szCs w:val="20"/>
                <w14:ligatures w14:val="none"/>
              </w:rPr>
              <w:t>cation</w:t>
            </w:r>
          </w:p>
        </w:tc>
        <w:tc>
          <w:tcPr>
            <w:tcW w:w="0" w:type="auto"/>
            <w:shd w:val="clear" w:color="000000" w:fill="FFFFFF"/>
            <w:hideMark/>
          </w:tcPr>
          <w:p w14:paraId="264BB9A5"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encompasses the formulation and delivery of comprehensive responses, including resolutions or answers, to inquiries and requests submitted by various stakeholders.</w:t>
            </w:r>
          </w:p>
        </w:tc>
      </w:tr>
      <w:tr w:rsidR="000A24CD" w14:paraId="27E99D1C" w14:textId="77777777" w:rsidTr="00CA318C">
        <w:trPr>
          <w:trHeight w:val="520"/>
        </w:trPr>
        <w:tc>
          <w:tcPr>
            <w:tcW w:w="0" w:type="auto"/>
            <w:noWrap/>
            <w:hideMark/>
          </w:tcPr>
          <w:p w14:paraId="08FEE12D" w14:textId="68CCE93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37</w:t>
            </w:r>
          </w:p>
        </w:tc>
        <w:tc>
          <w:tcPr>
            <w:tcW w:w="0" w:type="auto"/>
            <w:noWrap/>
            <w:hideMark/>
          </w:tcPr>
          <w:p w14:paraId="351132F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CS-2.6</w:t>
            </w:r>
          </w:p>
        </w:tc>
        <w:tc>
          <w:tcPr>
            <w:tcW w:w="0" w:type="auto"/>
            <w:shd w:val="clear" w:color="000000" w:fill="FFFFFF"/>
            <w:hideMark/>
          </w:tcPr>
          <w:p w14:paraId="6FDC3F3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F71D78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7D6638D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55A0B354" w14:textId="1BD73D7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Escalation Request</w:t>
            </w:r>
          </w:p>
        </w:tc>
        <w:tc>
          <w:tcPr>
            <w:tcW w:w="0" w:type="auto"/>
            <w:shd w:val="clear" w:color="000000" w:fill="FFFFFF"/>
            <w:hideMark/>
          </w:tcPr>
          <w:p w14:paraId="110C8226"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facilitates the appropriate routing of complex inquiry requests to subject matter experts (SMEs) or designated teams for specialized input and action.</w:t>
            </w:r>
          </w:p>
        </w:tc>
      </w:tr>
      <w:tr w:rsidR="000A24CD" w14:paraId="027748FA" w14:textId="77777777" w:rsidTr="00CA318C">
        <w:trPr>
          <w:trHeight w:val="520"/>
        </w:trPr>
        <w:tc>
          <w:tcPr>
            <w:tcW w:w="0" w:type="auto"/>
            <w:noWrap/>
            <w:hideMark/>
          </w:tcPr>
          <w:p w14:paraId="483D0294" w14:textId="2B5EEF7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38</w:t>
            </w:r>
          </w:p>
        </w:tc>
        <w:tc>
          <w:tcPr>
            <w:tcW w:w="0" w:type="auto"/>
            <w:noWrap/>
            <w:hideMark/>
          </w:tcPr>
          <w:p w14:paraId="6798C59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CS-2.7</w:t>
            </w:r>
          </w:p>
        </w:tc>
        <w:tc>
          <w:tcPr>
            <w:tcW w:w="0" w:type="auto"/>
            <w:shd w:val="clear" w:color="000000" w:fill="FFFFFF"/>
            <w:hideMark/>
          </w:tcPr>
          <w:p w14:paraId="6AE0822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1ECEAC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w:t>
            </w:r>
            <w:r>
              <w:rPr>
                <w:rFonts w:ascii="Arial" w:eastAsia="Times New Roman" w:hAnsi="Arial" w:cs="Arial"/>
                <w:kern w:val="0"/>
                <w:sz w:val="20"/>
                <w:szCs w:val="20"/>
                <w14:ligatures w14:val="none"/>
              </w:rPr>
              <w:t>r Service</w:t>
            </w:r>
          </w:p>
        </w:tc>
        <w:tc>
          <w:tcPr>
            <w:tcW w:w="0" w:type="auto"/>
            <w:shd w:val="clear" w:color="000000" w:fill="FFFFFF"/>
            <w:hideMark/>
          </w:tcPr>
          <w:p w14:paraId="38F7B68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1222118B" w14:textId="0A22EF4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Request Closure</w:t>
            </w:r>
          </w:p>
        </w:tc>
        <w:tc>
          <w:tcPr>
            <w:tcW w:w="0" w:type="auto"/>
            <w:shd w:val="clear" w:color="000000" w:fill="FFFFFF"/>
            <w:hideMark/>
          </w:tcPr>
          <w:p w14:paraId="4007B353"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ensures the formal closure of inquiry or request cases upon resolution, including proper documentation and archival for record-keeping and future reference.</w:t>
            </w:r>
          </w:p>
        </w:tc>
      </w:tr>
      <w:tr w:rsidR="000A24CD" w14:paraId="35873414" w14:textId="77777777" w:rsidTr="00CA318C">
        <w:trPr>
          <w:trHeight w:val="530"/>
        </w:trPr>
        <w:tc>
          <w:tcPr>
            <w:tcW w:w="0" w:type="auto"/>
            <w:noWrap/>
            <w:hideMark/>
          </w:tcPr>
          <w:p w14:paraId="35375FC9" w14:textId="7942C83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39</w:t>
            </w:r>
          </w:p>
        </w:tc>
        <w:tc>
          <w:tcPr>
            <w:tcW w:w="0" w:type="auto"/>
            <w:noWrap/>
            <w:hideMark/>
          </w:tcPr>
          <w:p w14:paraId="2862680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CS-2.8</w:t>
            </w:r>
          </w:p>
        </w:tc>
        <w:tc>
          <w:tcPr>
            <w:tcW w:w="0" w:type="auto"/>
            <w:shd w:val="clear" w:color="000000" w:fill="FFFFFF"/>
            <w:hideMark/>
          </w:tcPr>
          <w:p w14:paraId="623CD1D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524C13E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4BA37D9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Inquiry and Response</w:t>
            </w:r>
          </w:p>
        </w:tc>
        <w:tc>
          <w:tcPr>
            <w:tcW w:w="0" w:type="auto"/>
            <w:shd w:val="clear" w:color="000000" w:fill="002060"/>
            <w:hideMark/>
          </w:tcPr>
          <w:p w14:paraId="5A162EC5" w14:textId="52479FB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Inquiry Knowledge Base Update</w:t>
            </w:r>
          </w:p>
        </w:tc>
        <w:tc>
          <w:tcPr>
            <w:tcW w:w="0" w:type="auto"/>
            <w:shd w:val="clear" w:color="000000" w:fill="FFFFFF"/>
            <w:hideMark/>
          </w:tcPr>
          <w:p w14:paraId="200D33C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involves systematically documenting insights, solutions, and resolutions derived from inquiry requests to build a knowledge base for </w:t>
            </w:r>
            <w:r>
              <w:rPr>
                <w:rFonts w:ascii="Arial" w:eastAsia="Times New Roman" w:hAnsi="Arial" w:cs="Arial"/>
                <w:color w:val="131314"/>
                <w:kern w:val="0"/>
                <w:sz w:val="20"/>
                <w:szCs w:val="20"/>
                <w14:ligatures w14:val="none"/>
              </w:rPr>
              <w:t>future reference and continuous improvement.</w:t>
            </w:r>
          </w:p>
        </w:tc>
      </w:tr>
      <w:tr w:rsidR="000A24CD" w14:paraId="756A04FF" w14:textId="77777777" w:rsidTr="00CA318C">
        <w:trPr>
          <w:trHeight w:val="520"/>
        </w:trPr>
        <w:tc>
          <w:tcPr>
            <w:tcW w:w="0" w:type="auto"/>
            <w:noWrap/>
            <w:hideMark/>
          </w:tcPr>
          <w:p w14:paraId="1EE5A940" w14:textId="20C7221F"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40</w:t>
            </w:r>
          </w:p>
        </w:tc>
        <w:tc>
          <w:tcPr>
            <w:tcW w:w="0" w:type="auto"/>
            <w:noWrap/>
            <w:hideMark/>
          </w:tcPr>
          <w:p w14:paraId="6B9AC8C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CS-3.1</w:t>
            </w:r>
          </w:p>
        </w:tc>
        <w:tc>
          <w:tcPr>
            <w:tcW w:w="0" w:type="auto"/>
            <w:shd w:val="clear" w:color="000000" w:fill="FFFFFF"/>
            <w:hideMark/>
          </w:tcPr>
          <w:p w14:paraId="2C14590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3A8FF6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255A9DF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206A98CC" w14:textId="1274D5A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Stakeholder Transaction Support Request Intake</w:t>
            </w:r>
          </w:p>
        </w:tc>
        <w:tc>
          <w:tcPr>
            <w:tcW w:w="0" w:type="auto"/>
            <w:shd w:val="clear" w:color="000000" w:fill="FFFFFF"/>
            <w:hideMark/>
          </w:tcPr>
          <w:p w14:paraId="347486F4"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focuses on accurately recording details of customer transaction support requests, including structured data elements, required documentation, and associated details.</w:t>
            </w:r>
          </w:p>
        </w:tc>
      </w:tr>
      <w:tr w:rsidR="000A24CD" w14:paraId="32655190" w14:textId="77777777" w:rsidTr="00CA318C">
        <w:trPr>
          <w:trHeight w:val="520"/>
        </w:trPr>
        <w:tc>
          <w:tcPr>
            <w:tcW w:w="0" w:type="auto"/>
            <w:noWrap/>
            <w:hideMark/>
          </w:tcPr>
          <w:p w14:paraId="7F4E99FA" w14:textId="2735521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41</w:t>
            </w:r>
          </w:p>
        </w:tc>
        <w:tc>
          <w:tcPr>
            <w:tcW w:w="0" w:type="auto"/>
            <w:noWrap/>
            <w:hideMark/>
          </w:tcPr>
          <w:p w14:paraId="0576090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CS-3.2</w:t>
            </w:r>
          </w:p>
        </w:tc>
        <w:tc>
          <w:tcPr>
            <w:tcW w:w="0" w:type="auto"/>
            <w:shd w:val="clear" w:color="000000" w:fill="FFFFFF"/>
            <w:hideMark/>
          </w:tcPr>
          <w:p w14:paraId="1C45191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1E0BFD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462C097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2275330B" w14:textId="439A2D51"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Case Initiation</w:t>
            </w:r>
          </w:p>
        </w:tc>
        <w:tc>
          <w:tcPr>
            <w:tcW w:w="0" w:type="auto"/>
            <w:shd w:val="clear" w:color="000000" w:fill="FFFFFF"/>
            <w:hideMark/>
          </w:tcPr>
          <w:p w14:paraId="0533E1AD"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w:t>
            </w:r>
            <w:r>
              <w:rPr>
                <w:rFonts w:ascii="Arial" w:eastAsia="Times New Roman" w:hAnsi="Arial" w:cs="Arial"/>
                <w:color w:val="131314"/>
                <w:kern w:val="0"/>
                <w:sz w:val="20"/>
                <w:szCs w:val="20"/>
                <w14:ligatures w14:val="none"/>
              </w:rPr>
              <w:t>is capability allows for the formal initiation of a transaction support request, enabling users to begin monitoring its real-time progress and status.</w:t>
            </w:r>
          </w:p>
        </w:tc>
      </w:tr>
      <w:tr w:rsidR="000A24CD" w14:paraId="346A8F5E" w14:textId="77777777" w:rsidTr="00CA318C">
        <w:trPr>
          <w:trHeight w:val="520"/>
        </w:trPr>
        <w:tc>
          <w:tcPr>
            <w:tcW w:w="0" w:type="auto"/>
            <w:noWrap/>
            <w:hideMark/>
          </w:tcPr>
          <w:p w14:paraId="73F6BF20" w14:textId="0CC95FC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42</w:t>
            </w:r>
          </w:p>
        </w:tc>
        <w:tc>
          <w:tcPr>
            <w:tcW w:w="0" w:type="auto"/>
            <w:noWrap/>
            <w:hideMark/>
          </w:tcPr>
          <w:p w14:paraId="5C0F293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CS-3.3</w:t>
            </w:r>
          </w:p>
        </w:tc>
        <w:tc>
          <w:tcPr>
            <w:tcW w:w="0" w:type="auto"/>
            <w:shd w:val="clear" w:color="000000" w:fill="FFFFFF"/>
            <w:hideMark/>
          </w:tcPr>
          <w:p w14:paraId="4CACB66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18DDCF8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106F468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17F1BD1B" w14:textId="246C4FF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Assessment</w:t>
            </w:r>
          </w:p>
        </w:tc>
        <w:tc>
          <w:tcPr>
            <w:tcW w:w="0" w:type="auto"/>
            <w:shd w:val="clear" w:color="000000" w:fill="FFFFFF"/>
            <w:hideMark/>
          </w:tcPr>
          <w:p w14:paraId="2FF0654A"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evaluating incoming customer transaction support requests to determine the required actions and appropriate processing.</w:t>
            </w:r>
          </w:p>
        </w:tc>
      </w:tr>
      <w:tr w:rsidR="000A24CD" w14:paraId="36E4CCE1" w14:textId="77777777" w:rsidTr="00CA318C">
        <w:trPr>
          <w:trHeight w:val="520"/>
        </w:trPr>
        <w:tc>
          <w:tcPr>
            <w:tcW w:w="0" w:type="auto"/>
            <w:noWrap/>
            <w:hideMark/>
          </w:tcPr>
          <w:p w14:paraId="770AC790" w14:textId="6A44046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43</w:t>
            </w:r>
          </w:p>
        </w:tc>
        <w:tc>
          <w:tcPr>
            <w:tcW w:w="0" w:type="auto"/>
            <w:noWrap/>
            <w:hideMark/>
          </w:tcPr>
          <w:p w14:paraId="7396C4E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CS-3.4</w:t>
            </w:r>
          </w:p>
        </w:tc>
        <w:tc>
          <w:tcPr>
            <w:tcW w:w="0" w:type="auto"/>
            <w:shd w:val="clear" w:color="000000" w:fill="FFFFFF"/>
            <w:hideMark/>
          </w:tcPr>
          <w:p w14:paraId="7A0D2A8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625A86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4DBA612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w:t>
            </w:r>
            <w:r>
              <w:rPr>
                <w:rFonts w:ascii="Arial" w:eastAsia="Times New Roman" w:hAnsi="Arial" w:cs="Arial"/>
                <w:kern w:val="0"/>
                <w:sz w:val="20"/>
                <w:szCs w:val="20"/>
                <w14:ligatures w14:val="none"/>
              </w:rPr>
              <w:t>upport Request</w:t>
            </w:r>
          </w:p>
        </w:tc>
        <w:tc>
          <w:tcPr>
            <w:tcW w:w="0" w:type="auto"/>
            <w:shd w:val="clear" w:color="000000" w:fill="002060"/>
            <w:hideMark/>
          </w:tcPr>
          <w:p w14:paraId="022D873C" w14:textId="4E68D4AE"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Distribution</w:t>
            </w:r>
          </w:p>
        </w:tc>
        <w:tc>
          <w:tcPr>
            <w:tcW w:w="0" w:type="auto"/>
            <w:shd w:val="clear" w:color="000000" w:fill="FFFFFF"/>
            <w:hideMark/>
          </w:tcPr>
          <w:p w14:paraId="27A9C484"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allocation and processing of complex transaction support requests across multiple internal systems, teams, or external entities.</w:t>
            </w:r>
          </w:p>
        </w:tc>
      </w:tr>
      <w:tr w:rsidR="000A24CD" w14:paraId="146B54D4" w14:textId="77777777" w:rsidTr="00CA318C">
        <w:trPr>
          <w:trHeight w:val="780"/>
        </w:trPr>
        <w:tc>
          <w:tcPr>
            <w:tcW w:w="0" w:type="auto"/>
            <w:noWrap/>
            <w:hideMark/>
          </w:tcPr>
          <w:p w14:paraId="0294A4D1" w14:textId="26B3F01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44</w:t>
            </w:r>
          </w:p>
        </w:tc>
        <w:tc>
          <w:tcPr>
            <w:tcW w:w="0" w:type="auto"/>
            <w:noWrap/>
            <w:hideMark/>
          </w:tcPr>
          <w:p w14:paraId="1B83879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CS-3.5</w:t>
            </w:r>
          </w:p>
        </w:tc>
        <w:tc>
          <w:tcPr>
            <w:tcW w:w="0" w:type="auto"/>
            <w:shd w:val="clear" w:color="000000" w:fill="FFFFFF"/>
            <w:hideMark/>
          </w:tcPr>
          <w:p w14:paraId="1FF4B4E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09CBAEC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65FC9AA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26C5BF67" w14:textId="600DF31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Tasks Definition</w:t>
            </w:r>
          </w:p>
        </w:tc>
        <w:tc>
          <w:tcPr>
            <w:tcW w:w="0" w:type="auto"/>
            <w:shd w:val="clear" w:color="000000" w:fill="FFFFFF"/>
            <w:hideMark/>
          </w:tcPr>
          <w:p w14:paraId="0B4C97E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precisely defining the required tasks for each transaction support request, including aligning these tasks with policies and procedur</w:t>
            </w:r>
            <w:r>
              <w:rPr>
                <w:rFonts w:ascii="Arial" w:eastAsia="Times New Roman" w:hAnsi="Arial" w:cs="Arial"/>
                <w:color w:val="131314"/>
                <w:kern w:val="0"/>
                <w:sz w:val="20"/>
                <w:szCs w:val="20"/>
                <w14:ligatures w14:val="none"/>
              </w:rPr>
              <w:t>es and the relevant context (program context: Medicaid, QHP, SHOP, transaction type, leading practices that might have been defined for that specific type of inquiry transaction support request).</w:t>
            </w:r>
          </w:p>
        </w:tc>
      </w:tr>
      <w:tr w:rsidR="000A24CD" w14:paraId="08D96DE0" w14:textId="77777777" w:rsidTr="00CA318C">
        <w:trPr>
          <w:trHeight w:val="780"/>
        </w:trPr>
        <w:tc>
          <w:tcPr>
            <w:tcW w:w="0" w:type="auto"/>
            <w:noWrap/>
            <w:hideMark/>
          </w:tcPr>
          <w:p w14:paraId="74A2046E" w14:textId="1233088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45</w:t>
            </w:r>
          </w:p>
        </w:tc>
        <w:tc>
          <w:tcPr>
            <w:tcW w:w="0" w:type="auto"/>
            <w:noWrap/>
            <w:hideMark/>
          </w:tcPr>
          <w:p w14:paraId="0690F1B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CS-3.6</w:t>
            </w:r>
          </w:p>
        </w:tc>
        <w:tc>
          <w:tcPr>
            <w:tcW w:w="0" w:type="auto"/>
            <w:shd w:val="clear" w:color="000000" w:fill="FFFFFF"/>
            <w:hideMark/>
          </w:tcPr>
          <w:p w14:paraId="0196AA3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0C0CCF8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628350A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62BAFD3C" w14:textId="292D658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Tasks Delegation</w:t>
            </w:r>
          </w:p>
        </w:tc>
        <w:tc>
          <w:tcPr>
            <w:tcW w:w="0" w:type="auto"/>
            <w:shd w:val="clear" w:color="000000" w:fill="FFFFFF"/>
            <w:hideMark/>
          </w:tcPr>
          <w:p w14:paraId="3A91DD09"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facilitates the routing of transaction support requests, along with their full context, to appropriate specialized parties (either internal or external: e.g., </w:t>
            </w:r>
            <w:r>
              <w:rPr>
                <w:rFonts w:ascii="Arial" w:eastAsia="Times New Roman" w:hAnsi="Arial" w:cs="Arial"/>
                <w:color w:val="131314"/>
                <w:kern w:val="0"/>
                <w:sz w:val="20"/>
                <w:szCs w:val="20"/>
                <w14:ligatures w14:val="none"/>
              </w:rPr>
              <w:t>health plan issuers, certified brokers) when actions fall outside of direct customer service scope, ensuring a seamless and accountable handoff.</w:t>
            </w:r>
          </w:p>
        </w:tc>
      </w:tr>
      <w:tr w:rsidR="000A24CD" w14:paraId="7452EFF2" w14:textId="77777777" w:rsidTr="00CA318C">
        <w:trPr>
          <w:trHeight w:val="520"/>
        </w:trPr>
        <w:tc>
          <w:tcPr>
            <w:tcW w:w="0" w:type="auto"/>
            <w:noWrap/>
            <w:hideMark/>
          </w:tcPr>
          <w:p w14:paraId="1858E86B" w14:textId="4D9C444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46</w:t>
            </w:r>
          </w:p>
        </w:tc>
        <w:tc>
          <w:tcPr>
            <w:tcW w:w="0" w:type="auto"/>
            <w:noWrap/>
            <w:hideMark/>
          </w:tcPr>
          <w:p w14:paraId="25D913A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CS-3.7</w:t>
            </w:r>
          </w:p>
        </w:tc>
        <w:tc>
          <w:tcPr>
            <w:tcW w:w="0" w:type="auto"/>
            <w:shd w:val="clear" w:color="000000" w:fill="FFFFFF"/>
            <w:hideMark/>
          </w:tcPr>
          <w:p w14:paraId="13D301A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0F20D7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00FAC2B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2F0C49A2" w14:textId="7EF36081"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Status Tracking</w:t>
            </w:r>
          </w:p>
        </w:tc>
        <w:tc>
          <w:tcPr>
            <w:tcW w:w="0" w:type="auto"/>
            <w:shd w:val="clear" w:color="000000" w:fill="FFFFFF"/>
            <w:hideMark/>
          </w:tcPr>
          <w:p w14:paraId="0571A85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the comprehensive tracking of transaction support requests and their status across various systems and platforms, ensuring transparency, accountability, and efficient delivery of services.</w:t>
            </w:r>
          </w:p>
        </w:tc>
      </w:tr>
      <w:tr w:rsidR="000A24CD" w14:paraId="6115EB15" w14:textId="77777777" w:rsidTr="00CA318C">
        <w:trPr>
          <w:trHeight w:val="520"/>
        </w:trPr>
        <w:tc>
          <w:tcPr>
            <w:tcW w:w="0" w:type="auto"/>
            <w:noWrap/>
            <w:hideMark/>
          </w:tcPr>
          <w:p w14:paraId="2CCC082B" w14:textId="59CA2E7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47</w:t>
            </w:r>
          </w:p>
        </w:tc>
        <w:tc>
          <w:tcPr>
            <w:tcW w:w="0" w:type="auto"/>
            <w:noWrap/>
            <w:hideMark/>
          </w:tcPr>
          <w:p w14:paraId="2A62356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CS-3.8</w:t>
            </w:r>
          </w:p>
        </w:tc>
        <w:tc>
          <w:tcPr>
            <w:tcW w:w="0" w:type="auto"/>
            <w:shd w:val="clear" w:color="000000" w:fill="FFFFFF"/>
            <w:hideMark/>
          </w:tcPr>
          <w:p w14:paraId="14A7C42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w:t>
            </w:r>
            <w:r>
              <w:rPr>
                <w:rFonts w:ascii="Arial" w:eastAsia="Times New Roman" w:hAnsi="Arial" w:cs="Arial"/>
                <w:kern w:val="0"/>
                <w:sz w:val="20"/>
                <w:szCs w:val="20"/>
                <w14:ligatures w14:val="none"/>
              </w:rPr>
              <w:t>ationship Management</w:t>
            </w:r>
          </w:p>
        </w:tc>
        <w:tc>
          <w:tcPr>
            <w:tcW w:w="0" w:type="auto"/>
            <w:shd w:val="clear" w:color="000000" w:fill="FFFFFF"/>
            <w:hideMark/>
          </w:tcPr>
          <w:p w14:paraId="031DD3A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2A4E922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234AABA2" w14:textId="3C65AA4E"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Status Communication</w:t>
            </w:r>
          </w:p>
        </w:tc>
        <w:tc>
          <w:tcPr>
            <w:tcW w:w="0" w:type="auto"/>
            <w:shd w:val="clear" w:color="000000" w:fill="FFFFFF"/>
            <w:hideMark/>
          </w:tcPr>
          <w:p w14:paraId="02A723D2"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communication of the current status of the transaction support requests to the requestor through various methods, tailored to the transaction type and requester's preferences.</w:t>
            </w:r>
          </w:p>
        </w:tc>
      </w:tr>
      <w:tr w:rsidR="000A24CD" w14:paraId="3071D4AB" w14:textId="77777777" w:rsidTr="00CA318C">
        <w:trPr>
          <w:trHeight w:val="520"/>
        </w:trPr>
        <w:tc>
          <w:tcPr>
            <w:tcW w:w="0" w:type="auto"/>
            <w:noWrap/>
            <w:hideMark/>
          </w:tcPr>
          <w:p w14:paraId="20E85C86" w14:textId="23433DB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48</w:t>
            </w:r>
          </w:p>
        </w:tc>
        <w:tc>
          <w:tcPr>
            <w:tcW w:w="0" w:type="auto"/>
            <w:noWrap/>
            <w:hideMark/>
          </w:tcPr>
          <w:p w14:paraId="0D324DA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CS-3.9</w:t>
            </w:r>
          </w:p>
        </w:tc>
        <w:tc>
          <w:tcPr>
            <w:tcW w:w="0" w:type="auto"/>
            <w:shd w:val="clear" w:color="000000" w:fill="FFFFFF"/>
            <w:hideMark/>
          </w:tcPr>
          <w:p w14:paraId="5DD9083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A1DAB1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0F3A055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3FEB04D0" w14:textId="4865C04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Resolution Communication</w:t>
            </w:r>
          </w:p>
        </w:tc>
        <w:tc>
          <w:tcPr>
            <w:tcW w:w="0" w:type="auto"/>
            <w:shd w:val="clear" w:color="000000" w:fill="FFFFFF"/>
            <w:hideMark/>
          </w:tcPr>
          <w:p w14:paraId="36247A3A"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ensures the effe</w:t>
            </w:r>
            <w:r>
              <w:rPr>
                <w:rFonts w:ascii="Arial" w:eastAsia="Times New Roman" w:hAnsi="Arial" w:cs="Arial"/>
                <w:color w:val="131314"/>
                <w:kern w:val="0"/>
                <w:sz w:val="20"/>
                <w:szCs w:val="20"/>
                <w14:ligatures w14:val="none"/>
              </w:rPr>
              <w:t>ctive delivery of resolution outcomes and detailed information regarding transaction support requests back to the originating individual or entity.</w:t>
            </w:r>
          </w:p>
        </w:tc>
      </w:tr>
      <w:tr w:rsidR="000A24CD" w14:paraId="11633BF0" w14:textId="77777777" w:rsidTr="00CA318C">
        <w:trPr>
          <w:trHeight w:val="530"/>
        </w:trPr>
        <w:tc>
          <w:tcPr>
            <w:tcW w:w="0" w:type="auto"/>
            <w:noWrap/>
            <w:hideMark/>
          </w:tcPr>
          <w:p w14:paraId="19F8768B" w14:textId="028F695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49</w:t>
            </w:r>
          </w:p>
        </w:tc>
        <w:tc>
          <w:tcPr>
            <w:tcW w:w="0" w:type="auto"/>
            <w:noWrap/>
            <w:hideMark/>
          </w:tcPr>
          <w:p w14:paraId="6BE884D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CS-3.10</w:t>
            </w:r>
          </w:p>
        </w:tc>
        <w:tc>
          <w:tcPr>
            <w:tcW w:w="0" w:type="auto"/>
            <w:shd w:val="clear" w:color="000000" w:fill="FFFFFF"/>
            <w:hideMark/>
          </w:tcPr>
          <w:p w14:paraId="523D1DD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0DAEDD7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Customer Service</w:t>
            </w:r>
          </w:p>
        </w:tc>
        <w:tc>
          <w:tcPr>
            <w:tcW w:w="0" w:type="auto"/>
            <w:shd w:val="clear" w:color="000000" w:fill="FFFFFF"/>
            <w:hideMark/>
          </w:tcPr>
          <w:p w14:paraId="087394C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Manage Customer Transaction Support Request</w:t>
            </w:r>
          </w:p>
        </w:tc>
        <w:tc>
          <w:tcPr>
            <w:tcW w:w="0" w:type="auto"/>
            <w:shd w:val="clear" w:color="000000" w:fill="002060"/>
            <w:hideMark/>
          </w:tcPr>
          <w:p w14:paraId="551E2DCA" w14:textId="52C93C3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Transaction Support Request Case Closure</w:t>
            </w:r>
          </w:p>
        </w:tc>
        <w:tc>
          <w:tcPr>
            <w:tcW w:w="0" w:type="auto"/>
            <w:shd w:val="clear" w:color="000000" w:fill="FFFFFF"/>
            <w:hideMark/>
          </w:tcPr>
          <w:p w14:paraId="01CF8663"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allows for the formal closure of transaction support requests once resolved, ensuring proper documentation and finalization of administrative actions.</w:t>
            </w:r>
          </w:p>
        </w:tc>
      </w:tr>
      <w:tr w:rsidR="000A24CD" w14:paraId="5FC1E62F" w14:textId="77777777" w:rsidTr="00CA318C">
        <w:trPr>
          <w:trHeight w:val="520"/>
        </w:trPr>
        <w:tc>
          <w:tcPr>
            <w:tcW w:w="0" w:type="auto"/>
            <w:noWrap/>
            <w:hideMark/>
          </w:tcPr>
          <w:p w14:paraId="26FF33F8" w14:textId="0D1815B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50</w:t>
            </w:r>
          </w:p>
        </w:tc>
        <w:tc>
          <w:tcPr>
            <w:tcW w:w="0" w:type="auto"/>
            <w:noWrap/>
            <w:hideMark/>
          </w:tcPr>
          <w:p w14:paraId="27796A0B"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SC-1.1</w:t>
            </w:r>
          </w:p>
        </w:tc>
        <w:tc>
          <w:tcPr>
            <w:tcW w:w="0" w:type="auto"/>
            <w:shd w:val="clear" w:color="000000" w:fill="FFFFFF"/>
            <w:hideMark/>
          </w:tcPr>
          <w:p w14:paraId="77E5DD4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8667F86" w14:textId="372AD20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Communicatio</w:t>
            </w:r>
            <w:r>
              <w:rPr>
                <w:rFonts w:ascii="Arial" w:eastAsia="Times New Roman" w:hAnsi="Arial" w:cs="Arial"/>
                <w:kern w:val="0"/>
                <w:sz w:val="20"/>
                <w:szCs w:val="20"/>
                <w14:ligatures w14:val="none"/>
              </w:rPr>
              <w:t xml:space="preserve">ns </w:t>
            </w:r>
          </w:p>
        </w:tc>
        <w:tc>
          <w:tcPr>
            <w:tcW w:w="0" w:type="auto"/>
            <w:shd w:val="clear" w:color="000000" w:fill="FFFFFF"/>
            <w:hideMark/>
          </w:tcPr>
          <w:p w14:paraId="1F37216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hideMark/>
          </w:tcPr>
          <w:p w14:paraId="21095193" w14:textId="700641D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Notification Request Generation</w:t>
            </w:r>
          </w:p>
        </w:tc>
        <w:tc>
          <w:tcPr>
            <w:tcW w:w="0" w:type="auto"/>
            <w:shd w:val="clear" w:color="000000" w:fill="FFFFFF"/>
            <w:hideMark/>
          </w:tcPr>
          <w:p w14:paraId="7D8B301E"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allows authorized users to formally initiate and submit requests for (or trigger) specific stakeholder notifications manually or automatically (e.g., event driven). </w:t>
            </w:r>
          </w:p>
        </w:tc>
      </w:tr>
      <w:tr w:rsidR="000A24CD" w14:paraId="25A5148F" w14:textId="77777777" w:rsidTr="00CA318C">
        <w:trPr>
          <w:trHeight w:val="520"/>
        </w:trPr>
        <w:tc>
          <w:tcPr>
            <w:tcW w:w="0" w:type="auto"/>
            <w:noWrap/>
          </w:tcPr>
          <w:p w14:paraId="2E6AE585" w14:textId="3B186A3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51</w:t>
            </w:r>
          </w:p>
        </w:tc>
        <w:tc>
          <w:tcPr>
            <w:tcW w:w="0" w:type="auto"/>
            <w:noWrap/>
          </w:tcPr>
          <w:p w14:paraId="55F3E586" w14:textId="32B0625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SC-1.2</w:t>
            </w:r>
          </w:p>
        </w:tc>
        <w:tc>
          <w:tcPr>
            <w:tcW w:w="0" w:type="auto"/>
            <w:shd w:val="clear" w:color="000000" w:fill="FFFFFF"/>
          </w:tcPr>
          <w:p w14:paraId="08B92717" w14:textId="2248DDF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tcPr>
          <w:p w14:paraId="421D55ED" w14:textId="52733F1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tcPr>
          <w:p w14:paraId="7A764441" w14:textId="7B3EAE4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tcPr>
          <w:p w14:paraId="262565AE" w14:textId="33B904E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Mode of Communication Determination</w:t>
            </w:r>
          </w:p>
        </w:tc>
        <w:tc>
          <w:tcPr>
            <w:tcW w:w="0" w:type="auto"/>
            <w:shd w:val="clear" w:color="000000" w:fill="FFFFFF"/>
          </w:tcPr>
          <w:p w14:paraId="03BA85A1" w14:textId="5EB1272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tracks the preferred modes of communication (e.g., email, SMS, mailing) reflecting the individual user’s preference for communica</w:t>
            </w:r>
            <w:r>
              <w:rPr>
                <w:rFonts w:ascii="Arial" w:eastAsia="Times New Roman" w:hAnsi="Arial" w:cs="Arial"/>
                <w:kern w:val="0"/>
                <w:sz w:val="20"/>
                <w:szCs w:val="20"/>
                <w14:ligatures w14:val="none"/>
              </w:rPr>
              <w:t>tion. </w:t>
            </w:r>
          </w:p>
        </w:tc>
      </w:tr>
      <w:tr w:rsidR="000A24CD" w14:paraId="189BFCA3" w14:textId="77777777" w:rsidTr="00CA318C">
        <w:trPr>
          <w:trHeight w:val="520"/>
        </w:trPr>
        <w:tc>
          <w:tcPr>
            <w:tcW w:w="0" w:type="auto"/>
            <w:noWrap/>
          </w:tcPr>
          <w:p w14:paraId="2D2E1A93" w14:textId="5BFD402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52</w:t>
            </w:r>
          </w:p>
        </w:tc>
        <w:tc>
          <w:tcPr>
            <w:tcW w:w="0" w:type="auto"/>
            <w:noWrap/>
          </w:tcPr>
          <w:p w14:paraId="5CBE4D19" w14:textId="3E65220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SC-1.3</w:t>
            </w:r>
          </w:p>
        </w:tc>
        <w:tc>
          <w:tcPr>
            <w:tcW w:w="0" w:type="auto"/>
            <w:shd w:val="clear" w:color="000000" w:fill="FFFFFF"/>
          </w:tcPr>
          <w:p w14:paraId="0BA08DCE" w14:textId="48D655B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tcPr>
          <w:p w14:paraId="296CC385" w14:textId="322BFA2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tcPr>
          <w:p w14:paraId="4C959B2F" w14:textId="3BCED27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tcPr>
          <w:p w14:paraId="226F3A0F" w14:textId="1D93AB4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Standard Notification Management</w:t>
            </w:r>
          </w:p>
        </w:tc>
        <w:tc>
          <w:tcPr>
            <w:tcW w:w="0" w:type="auto"/>
            <w:shd w:val="clear" w:color="000000" w:fill="FFFFFF"/>
          </w:tcPr>
          <w:p w14:paraId="20131F14" w14:textId="416BF8C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creates, updates, and deletes standard notification templates and language.​ If a repository is in use, this business capability supports the management of standard notifications that are in such a repository. </w:t>
            </w:r>
          </w:p>
        </w:tc>
      </w:tr>
      <w:tr w:rsidR="000A24CD" w14:paraId="532C605C" w14:textId="77777777" w:rsidTr="00CA318C">
        <w:trPr>
          <w:trHeight w:val="520"/>
        </w:trPr>
        <w:tc>
          <w:tcPr>
            <w:tcW w:w="0" w:type="auto"/>
            <w:noWrap/>
          </w:tcPr>
          <w:p w14:paraId="1F14587F" w14:textId="451FA89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53</w:t>
            </w:r>
          </w:p>
        </w:tc>
        <w:tc>
          <w:tcPr>
            <w:tcW w:w="0" w:type="auto"/>
            <w:noWrap/>
          </w:tcPr>
          <w:p w14:paraId="6A93D195" w14:textId="6A92F60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SC-1.4</w:t>
            </w:r>
          </w:p>
        </w:tc>
        <w:tc>
          <w:tcPr>
            <w:tcW w:w="0" w:type="auto"/>
            <w:shd w:val="clear" w:color="000000" w:fill="FFFFFF"/>
          </w:tcPr>
          <w:p w14:paraId="43DC2BFA" w14:textId="4CA4A6B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w:t>
            </w:r>
            <w:r>
              <w:rPr>
                <w:rFonts w:ascii="Arial" w:eastAsia="Times New Roman" w:hAnsi="Arial" w:cs="Arial"/>
                <w:kern w:val="0"/>
                <w:sz w:val="20"/>
                <w:szCs w:val="20"/>
                <w14:ligatures w14:val="none"/>
              </w:rPr>
              <w:t>ement</w:t>
            </w:r>
          </w:p>
        </w:tc>
        <w:tc>
          <w:tcPr>
            <w:tcW w:w="0" w:type="auto"/>
            <w:shd w:val="clear" w:color="000000" w:fill="FFFFFF"/>
          </w:tcPr>
          <w:p w14:paraId="708FF068" w14:textId="2351368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tcPr>
          <w:p w14:paraId="5D06B6C6" w14:textId="1CA4BCA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tcPr>
          <w:p w14:paraId="659EA078" w14:textId="22F64B1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Request for Notification Intake</w:t>
            </w:r>
          </w:p>
        </w:tc>
        <w:tc>
          <w:tcPr>
            <w:tcW w:w="0" w:type="auto"/>
            <w:shd w:val="clear" w:color="000000" w:fill="FFFFFF"/>
          </w:tcPr>
          <w:p w14:paraId="117F13EF" w14:textId="4C8FB4D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involves receiving requests for notification. This includes understanding what notice needs to be sent, to whom, and with what information. </w:t>
            </w:r>
          </w:p>
        </w:tc>
      </w:tr>
      <w:tr w:rsidR="000A24CD" w14:paraId="3B9B41D6" w14:textId="77777777" w:rsidTr="00CA318C">
        <w:trPr>
          <w:trHeight w:val="520"/>
        </w:trPr>
        <w:tc>
          <w:tcPr>
            <w:tcW w:w="0" w:type="auto"/>
            <w:noWrap/>
            <w:hideMark/>
          </w:tcPr>
          <w:p w14:paraId="2CA87982" w14:textId="5DAB2FD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54</w:t>
            </w:r>
          </w:p>
        </w:tc>
        <w:tc>
          <w:tcPr>
            <w:tcW w:w="0" w:type="auto"/>
            <w:noWrap/>
            <w:hideMark/>
          </w:tcPr>
          <w:p w14:paraId="564A414C" w14:textId="0B57CC7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SC-1.5</w:t>
            </w:r>
          </w:p>
        </w:tc>
        <w:tc>
          <w:tcPr>
            <w:tcW w:w="0" w:type="auto"/>
            <w:shd w:val="clear" w:color="000000" w:fill="FFFFFF"/>
            <w:hideMark/>
          </w:tcPr>
          <w:p w14:paraId="79B7EEF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057DC04" w14:textId="2A26AC5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65A04E3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hideMark/>
          </w:tcPr>
          <w:p w14:paraId="51E52F67" w14:textId="424C886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Notification Record Creation</w:t>
            </w:r>
          </w:p>
        </w:tc>
        <w:tc>
          <w:tcPr>
            <w:tcW w:w="0" w:type="auto"/>
            <w:shd w:val="clear" w:color="000000" w:fill="FFFFFF"/>
            <w:hideMark/>
          </w:tcPr>
          <w:p w14:paraId="60586EB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deals with creating the notification records to be sent out.​ </w:t>
            </w:r>
          </w:p>
        </w:tc>
      </w:tr>
      <w:tr w:rsidR="000A24CD" w14:paraId="5CCEDEFD" w14:textId="77777777" w:rsidTr="00CA318C">
        <w:trPr>
          <w:trHeight w:val="520"/>
        </w:trPr>
        <w:tc>
          <w:tcPr>
            <w:tcW w:w="0" w:type="auto"/>
            <w:noWrap/>
          </w:tcPr>
          <w:p w14:paraId="369364A4" w14:textId="0D1A1C6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55</w:t>
            </w:r>
          </w:p>
        </w:tc>
        <w:tc>
          <w:tcPr>
            <w:tcW w:w="0" w:type="auto"/>
            <w:noWrap/>
          </w:tcPr>
          <w:p w14:paraId="4F88C324" w14:textId="3DC089B6"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SC-1.6</w:t>
            </w:r>
          </w:p>
        </w:tc>
        <w:tc>
          <w:tcPr>
            <w:tcW w:w="0" w:type="auto"/>
            <w:shd w:val="clear" w:color="000000" w:fill="FFFFFF"/>
          </w:tcPr>
          <w:p w14:paraId="4CB31491" w14:textId="387734A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tcPr>
          <w:p w14:paraId="0D28EC60" w14:textId="127F0B1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tcPr>
          <w:p w14:paraId="7600CF5A" w14:textId="60238B0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tcPr>
          <w:p w14:paraId="181F9D8B" w14:textId="1E6FF35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Content Review &amp; Approval</w:t>
            </w:r>
          </w:p>
        </w:tc>
        <w:tc>
          <w:tcPr>
            <w:tcW w:w="0" w:type="auto"/>
            <w:shd w:val="clear" w:color="000000" w:fill="FFFFFF"/>
          </w:tcPr>
          <w:p w14:paraId="0FEB9C11" w14:textId="471070B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allows for the review and approval of notification content.​ </w:t>
            </w:r>
          </w:p>
        </w:tc>
      </w:tr>
      <w:tr w:rsidR="000A24CD" w14:paraId="70CCC496" w14:textId="77777777" w:rsidTr="00CA318C">
        <w:trPr>
          <w:trHeight w:val="520"/>
        </w:trPr>
        <w:tc>
          <w:tcPr>
            <w:tcW w:w="0" w:type="auto"/>
            <w:noWrap/>
            <w:hideMark/>
          </w:tcPr>
          <w:p w14:paraId="01933281" w14:textId="47D743D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56</w:t>
            </w:r>
          </w:p>
        </w:tc>
        <w:tc>
          <w:tcPr>
            <w:tcW w:w="0" w:type="auto"/>
            <w:noWrap/>
            <w:hideMark/>
          </w:tcPr>
          <w:p w14:paraId="07051E43" w14:textId="28529D3F"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SC-1.7</w:t>
            </w:r>
          </w:p>
        </w:tc>
        <w:tc>
          <w:tcPr>
            <w:tcW w:w="0" w:type="auto"/>
            <w:shd w:val="clear" w:color="000000" w:fill="FFFFFF"/>
            <w:hideMark/>
          </w:tcPr>
          <w:p w14:paraId="6A66A7F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F457EFC" w14:textId="337A2BA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2825752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hideMark/>
          </w:tcPr>
          <w:p w14:paraId="400BDFFD" w14:textId="088E5491"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Notification Schedule &amp; Event Triggers Development</w:t>
            </w:r>
          </w:p>
        </w:tc>
        <w:tc>
          <w:tcPr>
            <w:tcW w:w="0" w:type="auto"/>
            <w:shd w:val="clear" w:color="000000" w:fill="FFFFFF"/>
            <w:hideMark/>
          </w:tcPr>
          <w:p w14:paraId="229CB4B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develops notification schedules and event triggers based on statute, regulations, past</w:t>
            </w:r>
            <w:r>
              <w:rPr>
                <w:rFonts w:ascii="Arial" w:eastAsia="Times New Roman" w:hAnsi="Arial" w:cs="Arial"/>
                <w:kern w:val="0"/>
                <w:sz w:val="20"/>
                <w:szCs w:val="20"/>
                <w14:ligatures w14:val="none"/>
              </w:rPr>
              <w:t xml:space="preserve"> practice, and industry leading standards.​ </w:t>
            </w:r>
          </w:p>
        </w:tc>
      </w:tr>
      <w:tr w:rsidR="000A24CD" w14:paraId="42092352" w14:textId="77777777" w:rsidTr="00CA318C">
        <w:trPr>
          <w:trHeight w:val="520"/>
        </w:trPr>
        <w:tc>
          <w:tcPr>
            <w:tcW w:w="0" w:type="auto"/>
            <w:noWrap/>
          </w:tcPr>
          <w:p w14:paraId="4871BA7B" w14:textId="574F05D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57</w:t>
            </w:r>
          </w:p>
        </w:tc>
        <w:tc>
          <w:tcPr>
            <w:tcW w:w="0" w:type="auto"/>
            <w:noWrap/>
          </w:tcPr>
          <w:p w14:paraId="4E0BEBFB" w14:textId="0DA091D5"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SC-1.8</w:t>
            </w:r>
          </w:p>
        </w:tc>
        <w:tc>
          <w:tcPr>
            <w:tcW w:w="0" w:type="auto"/>
            <w:shd w:val="clear" w:color="000000" w:fill="FFFFFF"/>
          </w:tcPr>
          <w:p w14:paraId="3A68DA38" w14:textId="4F91B60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tcPr>
          <w:p w14:paraId="63886E9C" w14:textId="5E5C4EA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tcPr>
          <w:p w14:paraId="04082F77" w14:textId="4FDF3CA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tcPr>
          <w:p w14:paraId="4911A512" w14:textId="640741B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Notification Record Search</w:t>
            </w:r>
          </w:p>
        </w:tc>
        <w:tc>
          <w:tcPr>
            <w:tcW w:w="0" w:type="auto"/>
            <w:shd w:val="clear" w:color="000000" w:fill="FFFFFF"/>
          </w:tcPr>
          <w:p w14:paraId="44F69043" w14:textId="6DD7F19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deals with searching for notification records.​ </w:t>
            </w:r>
          </w:p>
        </w:tc>
      </w:tr>
      <w:tr w:rsidR="000A24CD" w14:paraId="54541913" w14:textId="77777777" w:rsidTr="00CA318C">
        <w:trPr>
          <w:trHeight w:val="520"/>
        </w:trPr>
        <w:tc>
          <w:tcPr>
            <w:tcW w:w="0" w:type="auto"/>
            <w:noWrap/>
          </w:tcPr>
          <w:p w14:paraId="2A4EF7CD" w14:textId="0AE5AED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58</w:t>
            </w:r>
          </w:p>
        </w:tc>
        <w:tc>
          <w:tcPr>
            <w:tcW w:w="0" w:type="auto"/>
            <w:noWrap/>
          </w:tcPr>
          <w:p w14:paraId="32854F43" w14:textId="0571D3B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SC-1.9</w:t>
            </w:r>
          </w:p>
        </w:tc>
        <w:tc>
          <w:tcPr>
            <w:tcW w:w="0" w:type="auto"/>
            <w:shd w:val="clear" w:color="000000" w:fill="FFFFFF"/>
          </w:tcPr>
          <w:p w14:paraId="3F3E845F" w14:textId="17E879E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w:t>
            </w:r>
            <w:r>
              <w:rPr>
                <w:rFonts w:ascii="Arial" w:eastAsia="Times New Roman" w:hAnsi="Arial" w:cs="Arial"/>
                <w:kern w:val="0"/>
                <w:sz w:val="20"/>
                <w:szCs w:val="20"/>
                <w14:ligatures w14:val="none"/>
              </w:rPr>
              <w:t>ent</w:t>
            </w:r>
          </w:p>
        </w:tc>
        <w:tc>
          <w:tcPr>
            <w:tcW w:w="0" w:type="auto"/>
            <w:shd w:val="clear" w:color="000000" w:fill="FFFFFF"/>
          </w:tcPr>
          <w:p w14:paraId="5C6911D8" w14:textId="6AA7547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tcPr>
          <w:p w14:paraId="45DE636F" w14:textId="0FFFE98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tcPr>
          <w:p w14:paraId="7F997C9A" w14:textId="7AD2F39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Notification Content Preparation</w:t>
            </w:r>
          </w:p>
        </w:tc>
        <w:tc>
          <w:tcPr>
            <w:tcW w:w="0" w:type="auto"/>
            <w:shd w:val="clear" w:color="000000" w:fill="FFFFFF"/>
          </w:tcPr>
          <w:p w14:paraId="3E4E13A3" w14:textId="0E97807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prepares and drafts notification content.​ </w:t>
            </w:r>
          </w:p>
        </w:tc>
      </w:tr>
      <w:tr w:rsidR="000A24CD" w14:paraId="3B871168" w14:textId="77777777" w:rsidTr="00CA318C">
        <w:trPr>
          <w:trHeight w:val="520"/>
        </w:trPr>
        <w:tc>
          <w:tcPr>
            <w:tcW w:w="0" w:type="auto"/>
            <w:noWrap/>
          </w:tcPr>
          <w:p w14:paraId="258FEAA8" w14:textId="09D78382"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59</w:t>
            </w:r>
          </w:p>
        </w:tc>
        <w:tc>
          <w:tcPr>
            <w:tcW w:w="0" w:type="auto"/>
            <w:noWrap/>
          </w:tcPr>
          <w:p w14:paraId="1D29FA09" w14:textId="2BDCC6C1"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SC-1.10</w:t>
            </w:r>
          </w:p>
        </w:tc>
        <w:tc>
          <w:tcPr>
            <w:tcW w:w="0" w:type="auto"/>
            <w:shd w:val="clear" w:color="000000" w:fill="FFFFFF"/>
          </w:tcPr>
          <w:p w14:paraId="6E69FE4A" w14:textId="4EF7055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tcPr>
          <w:p w14:paraId="734D409C" w14:textId="0200894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tcPr>
          <w:p w14:paraId="75B497E1" w14:textId="67A42B0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tcPr>
          <w:p w14:paraId="2C3392A4" w14:textId="4FC19A4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Information Valid</w:t>
            </w:r>
            <w:r>
              <w:rPr>
                <w:rFonts w:ascii="Arial" w:eastAsia="Times New Roman" w:hAnsi="Arial" w:cs="Arial"/>
                <w:b/>
                <w:bCs/>
                <w:color w:val="FFFFFF"/>
                <w:kern w:val="0"/>
                <w:sz w:val="20"/>
                <w:szCs w:val="20"/>
                <w14:ligatures w14:val="none"/>
              </w:rPr>
              <w:t>ation</w:t>
            </w:r>
          </w:p>
        </w:tc>
        <w:tc>
          <w:tcPr>
            <w:tcW w:w="0" w:type="auto"/>
            <w:shd w:val="clear" w:color="000000" w:fill="FFFFFF"/>
          </w:tcPr>
          <w:p w14:paraId="518D79D0" w14:textId="12F743D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validates information contained in the communication/notification.​ </w:t>
            </w:r>
          </w:p>
        </w:tc>
      </w:tr>
      <w:tr w:rsidR="000A24CD" w14:paraId="1200C52B" w14:textId="77777777" w:rsidTr="00CA318C">
        <w:trPr>
          <w:trHeight w:val="520"/>
        </w:trPr>
        <w:tc>
          <w:tcPr>
            <w:tcW w:w="0" w:type="auto"/>
            <w:noWrap/>
            <w:hideMark/>
          </w:tcPr>
          <w:p w14:paraId="7A9EA9F9" w14:textId="514775A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60</w:t>
            </w:r>
          </w:p>
        </w:tc>
        <w:tc>
          <w:tcPr>
            <w:tcW w:w="0" w:type="auto"/>
            <w:noWrap/>
            <w:hideMark/>
          </w:tcPr>
          <w:p w14:paraId="33EB9C7C" w14:textId="3D7A1AF4"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SC-1.11</w:t>
            </w:r>
          </w:p>
        </w:tc>
        <w:tc>
          <w:tcPr>
            <w:tcW w:w="0" w:type="auto"/>
            <w:shd w:val="clear" w:color="000000" w:fill="FFFFFF"/>
            <w:hideMark/>
          </w:tcPr>
          <w:p w14:paraId="70DF119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38B2D82D" w14:textId="04150EF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401BF5D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hideMark/>
          </w:tcPr>
          <w:p w14:paraId="0BB200A3" w14:textId="1068E9D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Notification Content Generation</w:t>
            </w:r>
          </w:p>
        </w:tc>
        <w:tc>
          <w:tcPr>
            <w:tcW w:w="0" w:type="auto"/>
            <w:shd w:val="clear" w:color="000000" w:fill="FFFFFF"/>
            <w:hideMark/>
          </w:tcPr>
          <w:p w14:paraId="46CF190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generates notification content. ​ </w:t>
            </w:r>
          </w:p>
        </w:tc>
      </w:tr>
      <w:tr w:rsidR="000A24CD" w14:paraId="4F12C1FA" w14:textId="77777777" w:rsidTr="00CA318C">
        <w:trPr>
          <w:trHeight w:val="520"/>
        </w:trPr>
        <w:tc>
          <w:tcPr>
            <w:tcW w:w="0" w:type="auto"/>
            <w:noWrap/>
            <w:hideMark/>
          </w:tcPr>
          <w:p w14:paraId="4298B400" w14:textId="23DED556"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61</w:t>
            </w:r>
          </w:p>
        </w:tc>
        <w:tc>
          <w:tcPr>
            <w:tcW w:w="0" w:type="auto"/>
            <w:noWrap/>
            <w:hideMark/>
          </w:tcPr>
          <w:p w14:paraId="773E325F" w14:textId="36AB18F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SC-1.12</w:t>
            </w:r>
          </w:p>
        </w:tc>
        <w:tc>
          <w:tcPr>
            <w:tcW w:w="0" w:type="auto"/>
            <w:shd w:val="clear" w:color="000000" w:fill="FFFFFF"/>
            <w:hideMark/>
          </w:tcPr>
          <w:p w14:paraId="281F669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57AE8C7C" w14:textId="5D2E352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5E5059A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hideMark/>
          </w:tcPr>
          <w:p w14:paraId="4B8BFEA9" w14:textId="5CEA661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Stakeholder Lists Management</w:t>
            </w:r>
          </w:p>
        </w:tc>
        <w:tc>
          <w:tcPr>
            <w:tcW w:w="0" w:type="auto"/>
            <w:shd w:val="clear" w:color="000000" w:fill="FFFFFF"/>
            <w:hideMark/>
          </w:tcPr>
          <w:p w14:paraId="54B56C9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lists of stakeholders for various communication efforts.  </w:t>
            </w:r>
          </w:p>
        </w:tc>
      </w:tr>
      <w:tr w:rsidR="000A24CD" w14:paraId="73FC27CA" w14:textId="77777777" w:rsidTr="00CA318C">
        <w:trPr>
          <w:trHeight w:val="520"/>
        </w:trPr>
        <w:tc>
          <w:tcPr>
            <w:tcW w:w="0" w:type="auto"/>
            <w:noWrap/>
            <w:hideMark/>
          </w:tcPr>
          <w:p w14:paraId="58EA8288" w14:textId="7777777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62</w:t>
            </w:r>
          </w:p>
        </w:tc>
        <w:tc>
          <w:tcPr>
            <w:tcW w:w="0" w:type="auto"/>
            <w:noWrap/>
            <w:hideMark/>
          </w:tcPr>
          <w:p w14:paraId="379E928B" w14:textId="275B8BCD"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SC-1.13</w:t>
            </w:r>
          </w:p>
        </w:tc>
        <w:tc>
          <w:tcPr>
            <w:tcW w:w="0" w:type="auto"/>
            <w:shd w:val="clear" w:color="000000" w:fill="FFFFFF"/>
            <w:hideMark/>
          </w:tcPr>
          <w:p w14:paraId="5968B0F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205AD997" w14:textId="6871FE6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w:t>
            </w:r>
            <w:r>
              <w:rPr>
                <w:rFonts w:ascii="Arial" w:eastAsia="Times New Roman" w:hAnsi="Arial" w:cs="Arial"/>
                <w:kern w:val="0"/>
                <w:sz w:val="20"/>
                <w:szCs w:val="20"/>
                <w14:ligatures w14:val="none"/>
              </w:rPr>
              <w:t xml:space="preserve">Communications </w:t>
            </w:r>
          </w:p>
        </w:tc>
        <w:tc>
          <w:tcPr>
            <w:tcW w:w="0" w:type="auto"/>
            <w:shd w:val="clear" w:color="000000" w:fill="FFFFFF"/>
            <w:hideMark/>
          </w:tcPr>
          <w:p w14:paraId="585A3D1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Notification</w:t>
            </w:r>
          </w:p>
        </w:tc>
        <w:tc>
          <w:tcPr>
            <w:tcW w:w="0" w:type="auto"/>
            <w:shd w:val="clear" w:color="000000" w:fill="002060"/>
            <w:hideMark/>
          </w:tcPr>
          <w:p w14:paraId="18E75169" w14:textId="7E0EEC3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Notification Delivery</w:t>
            </w:r>
          </w:p>
        </w:tc>
        <w:tc>
          <w:tcPr>
            <w:tcW w:w="0" w:type="auto"/>
            <w:shd w:val="clear" w:color="000000" w:fill="FFFFFF"/>
            <w:hideMark/>
          </w:tcPr>
          <w:p w14:paraId="7D2AF4B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sends the notification in the approved manner, e.g., email that includes a prompt to view an update in user’s account, mail, push notification, etc.​ </w:t>
            </w:r>
          </w:p>
        </w:tc>
      </w:tr>
      <w:tr w:rsidR="000A24CD" w14:paraId="3652DC37" w14:textId="77777777" w:rsidTr="00CA318C">
        <w:trPr>
          <w:trHeight w:val="520"/>
        </w:trPr>
        <w:tc>
          <w:tcPr>
            <w:tcW w:w="0" w:type="auto"/>
            <w:noWrap/>
            <w:hideMark/>
          </w:tcPr>
          <w:p w14:paraId="23B055F4" w14:textId="1D891BC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63</w:t>
            </w:r>
          </w:p>
        </w:tc>
        <w:tc>
          <w:tcPr>
            <w:tcW w:w="0" w:type="auto"/>
            <w:noWrap/>
            <w:hideMark/>
          </w:tcPr>
          <w:p w14:paraId="3EDE414A"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SC-2.1</w:t>
            </w:r>
          </w:p>
        </w:tc>
        <w:tc>
          <w:tcPr>
            <w:tcW w:w="0" w:type="auto"/>
            <w:shd w:val="clear" w:color="000000" w:fill="FFFFFF"/>
            <w:hideMark/>
          </w:tcPr>
          <w:p w14:paraId="6F7B90F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w:t>
            </w:r>
            <w:r>
              <w:rPr>
                <w:rFonts w:ascii="Arial" w:eastAsia="Times New Roman" w:hAnsi="Arial" w:cs="Arial"/>
                <w:kern w:val="0"/>
                <w:sz w:val="20"/>
                <w:szCs w:val="20"/>
                <w14:ligatures w14:val="none"/>
              </w:rPr>
              <w:t>nagement</w:t>
            </w:r>
          </w:p>
        </w:tc>
        <w:tc>
          <w:tcPr>
            <w:tcW w:w="0" w:type="auto"/>
            <w:shd w:val="clear" w:color="000000" w:fill="FFFFFF"/>
            <w:hideMark/>
          </w:tcPr>
          <w:p w14:paraId="72745E51" w14:textId="1B05C82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7553318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Outreach Campaign</w:t>
            </w:r>
          </w:p>
        </w:tc>
        <w:tc>
          <w:tcPr>
            <w:tcW w:w="0" w:type="auto"/>
            <w:shd w:val="clear" w:color="000000" w:fill="002060"/>
            <w:hideMark/>
          </w:tcPr>
          <w:p w14:paraId="139EE0E2" w14:textId="2FFA74E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Target Groups Identification</w:t>
            </w:r>
          </w:p>
        </w:tc>
        <w:tc>
          <w:tcPr>
            <w:tcW w:w="0" w:type="auto"/>
            <w:shd w:val="clear" w:color="000000" w:fill="FFFFFF"/>
            <w:hideMark/>
          </w:tcPr>
          <w:p w14:paraId="5125E86F"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the process of identifying and segmenting specific target groups that will be the focus of outreach campaigns.</w:t>
            </w:r>
          </w:p>
        </w:tc>
      </w:tr>
      <w:tr w:rsidR="000A24CD" w14:paraId="42B1B804" w14:textId="77777777" w:rsidTr="00CA318C">
        <w:trPr>
          <w:trHeight w:val="520"/>
        </w:trPr>
        <w:tc>
          <w:tcPr>
            <w:tcW w:w="0" w:type="auto"/>
            <w:noWrap/>
            <w:hideMark/>
          </w:tcPr>
          <w:p w14:paraId="23D7076B" w14:textId="3662DDA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64</w:t>
            </w:r>
          </w:p>
        </w:tc>
        <w:tc>
          <w:tcPr>
            <w:tcW w:w="0" w:type="auto"/>
            <w:noWrap/>
            <w:hideMark/>
          </w:tcPr>
          <w:p w14:paraId="0B445AC2"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SC-2.2</w:t>
            </w:r>
          </w:p>
        </w:tc>
        <w:tc>
          <w:tcPr>
            <w:tcW w:w="0" w:type="auto"/>
            <w:shd w:val="clear" w:color="000000" w:fill="FFFFFF"/>
            <w:hideMark/>
          </w:tcPr>
          <w:p w14:paraId="585A718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Relationship </w:t>
            </w:r>
            <w:r>
              <w:rPr>
                <w:rFonts w:ascii="Arial" w:eastAsia="Times New Roman" w:hAnsi="Arial" w:cs="Arial"/>
                <w:kern w:val="0"/>
                <w:sz w:val="20"/>
                <w:szCs w:val="20"/>
                <w14:ligatures w14:val="none"/>
              </w:rPr>
              <w:t>Management</w:t>
            </w:r>
          </w:p>
        </w:tc>
        <w:tc>
          <w:tcPr>
            <w:tcW w:w="0" w:type="auto"/>
            <w:shd w:val="clear" w:color="000000" w:fill="FFFFFF"/>
            <w:hideMark/>
          </w:tcPr>
          <w:p w14:paraId="20C16870" w14:textId="2E78C3B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36D04CD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Outreach Campaign</w:t>
            </w:r>
          </w:p>
        </w:tc>
        <w:tc>
          <w:tcPr>
            <w:tcW w:w="0" w:type="auto"/>
            <w:shd w:val="clear" w:color="000000" w:fill="002060"/>
            <w:hideMark/>
          </w:tcPr>
          <w:p w14:paraId="702141ED" w14:textId="09DE9B4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Campaign Content Creation</w:t>
            </w:r>
          </w:p>
        </w:tc>
        <w:tc>
          <w:tcPr>
            <w:tcW w:w="0" w:type="auto"/>
            <w:shd w:val="clear" w:color="000000" w:fill="FFFFFF"/>
            <w:hideMark/>
          </w:tcPr>
          <w:p w14:paraId="46EB0F2B"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focuses on the development and production of all content materials specifically designed for stakeholder outreach campaigns.</w:t>
            </w:r>
          </w:p>
        </w:tc>
      </w:tr>
      <w:tr w:rsidR="000A24CD" w14:paraId="2A57EA06" w14:textId="77777777" w:rsidTr="00CA318C">
        <w:trPr>
          <w:trHeight w:val="520"/>
        </w:trPr>
        <w:tc>
          <w:tcPr>
            <w:tcW w:w="0" w:type="auto"/>
            <w:noWrap/>
            <w:hideMark/>
          </w:tcPr>
          <w:p w14:paraId="36ED51A9" w14:textId="3BF6AD95"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65</w:t>
            </w:r>
          </w:p>
        </w:tc>
        <w:tc>
          <w:tcPr>
            <w:tcW w:w="0" w:type="auto"/>
            <w:noWrap/>
            <w:hideMark/>
          </w:tcPr>
          <w:p w14:paraId="4962A2ED"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SC-2.3</w:t>
            </w:r>
          </w:p>
        </w:tc>
        <w:tc>
          <w:tcPr>
            <w:tcW w:w="0" w:type="auto"/>
            <w:shd w:val="clear" w:color="000000" w:fill="FFFFFF"/>
            <w:hideMark/>
          </w:tcPr>
          <w:p w14:paraId="6811327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76C9ED4C" w14:textId="307632A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3BA1764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Outreach Campaign</w:t>
            </w:r>
          </w:p>
        </w:tc>
        <w:tc>
          <w:tcPr>
            <w:tcW w:w="0" w:type="auto"/>
            <w:shd w:val="clear" w:color="000000" w:fill="002060"/>
            <w:hideMark/>
          </w:tcPr>
          <w:p w14:paraId="3C43F47C" w14:textId="016E03F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Campaign Logistics Management</w:t>
            </w:r>
          </w:p>
        </w:tc>
        <w:tc>
          <w:tcPr>
            <w:tcW w:w="0" w:type="auto"/>
            <w:shd w:val="clear" w:color="000000" w:fill="FFFFFF"/>
            <w:hideMark/>
          </w:tcPr>
          <w:p w14:paraId="16071FB4"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the strategic planning, coordination, and execution of all logistical elements required for the successful implementation of cam</w:t>
            </w:r>
            <w:r>
              <w:rPr>
                <w:rFonts w:ascii="Arial" w:eastAsia="Times New Roman" w:hAnsi="Arial" w:cs="Arial"/>
                <w:color w:val="131314"/>
                <w:kern w:val="0"/>
                <w:sz w:val="20"/>
                <w:szCs w:val="20"/>
                <w14:ligatures w14:val="none"/>
              </w:rPr>
              <w:t>paigns (e.g., public awareness, open enrollment awareness).</w:t>
            </w:r>
          </w:p>
        </w:tc>
      </w:tr>
      <w:tr w:rsidR="000A24CD" w14:paraId="1EE83B04" w14:textId="77777777" w:rsidTr="00CA318C">
        <w:trPr>
          <w:trHeight w:val="520"/>
        </w:trPr>
        <w:tc>
          <w:tcPr>
            <w:tcW w:w="0" w:type="auto"/>
            <w:noWrap/>
            <w:hideMark/>
          </w:tcPr>
          <w:p w14:paraId="09B9B369" w14:textId="749B2EF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66</w:t>
            </w:r>
          </w:p>
        </w:tc>
        <w:tc>
          <w:tcPr>
            <w:tcW w:w="0" w:type="auto"/>
            <w:noWrap/>
            <w:hideMark/>
          </w:tcPr>
          <w:p w14:paraId="342484B5"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SC-2.4</w:t>
            </w:r>
          </w:p>
        </w:tc>
        <w:tc>
          <w:tcPr>
            <w:tcW w:w="0" w:type="auto"/>
            <w:shd w:val="clear" w:color="000000" w:fill="FFFFFF"/>
            <w:hideMark/>
          </w:tcPr>
          <w:p w14:paraId="7803EB1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95FD628" w14:textId="4EC3CB7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7CA7AAE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Outreach Campaign</w:t>
            </w:r>
          </w:p>
        </w:tc>
        <w:tc>
          <w:tcPr>
            <w:tcW w:w="0" w:type="auto"/>
            <w:shd w:val="clear" w:color="000000" w:fill="002060"/>
            <w:hideMark/>
          </w:tcPr>
          <w:p w14:paraId="475428C0" w14:textId="006491F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Campaigns Performance</w:t>
            </w:r>
          </w:p>
        </w:tc>
        <w:tc>
          <w:tcPr>
            <w:tcW w:w="0" w:type="auto"/>
            <w:shd w:val="clear" w:color="000000" w:fill="FFFFFF"/>
            <w:hideMark/>
          </w:tcPr>
          <w:p w14:paraId="02AC1682"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executes the planned stakeholder outreach campaign activities, directly involving the practical implementation and ongoing management of campaign logistics.</w:t>
            </w:r>
          </w:p>
        </w:tc>
      </w:tr>
      <w:tr w:rsidR="000A24CD" w14:paraId="618CA46E" w14:textId="77777777" w:rsidTr="00CA318C">
        <w:trPr>
          <w:trHeight w:val="520"/>
        </w:trPr>
        <w:tc>
          <w:tcPr>
            <w:tcW w:w="0" w:type="auto"/>
            <w:noWrap/>
            <w:hideMark/>
          </w:tcPr>
          <w:p w14:paraId="4E2CCE5D" w14:textId="2D40A1F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67</w:t>
            </w:r>
          </w:p>
        </w:tc>
        <w:tc>
          <w:tcPr>
            <w:tcW w:w="0" w:type="auto"/>
            <w:noWrap/>
            <w:hideMark/>
          </w:tcPr>
          <w:p w14:paraId="27F5A253"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SC-2.5</w:t>
            </w:r>
          </w:p>
        </w:tc>
        <w:tc>
          <w:tcPr>
            <w:tcW w:w="0" w:type="auto"/>
            <w:shd w:val="clear" w:color="000000" w:fill="FFFFFF"/>
            <w:hideMark/>
          </w:tcPr>
          <w:p w14:paraId="15610A2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6CEE590" w14:textId="2B80CF0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0A49A10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Outreach Campaign</w:t>
            </w:r>
          </w:p>
        </w:tc>
        <w:tc>
          <w:tcPr>
            <w:tcW w:w="0" w:type="auto"/>
            <w:shd w:val="clear" w:color="000000" w:fill="002060"/>
            <w:hideMark/>
          </w:tcPr>
          <w:p w14:paraId="45B3499B" w14:textId="2391AC5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Campaign Events Scheduling</w:t>
            </w:r>
          </w:p>
        </w:tc>
        <w:tc>
          <w:tcPr>
            <w:tcW w:w="0" w:type="auto"/>
            <w:shd w:val="clear" w:color="000000" w:fill="FFFFFF"/>
            <w:hideMark/>
          </w:tcPr>
          <w:p w14:paraId="0A1BA4C4"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scheduling and c</w:t>
            </w:r>
            <w:r>
              <w:rPr>
                <w:rFonts w:ascii="Arial" w:eastAsia="Times New Roman" w:hAnsi="Arial" w:cs="Arial"/>
                <w:color w:val="131314"/>
                <w:kern w:val="0"/>
                <w:sz w:val="20"/>
                <w:szCs w:val="20"/>
                <w14:ligatures w14:val="none"/>
              </w:rPr>
              <w:t>oordination of various events and activities that comprise a stakeholder outreach campaign.</w:t>
            </w:r>
          </w:p>
        </w:tc>
      </w:tr>
      <w:tr w:rsidR="000A24CD" w14:paraId="6623BCD3" w14:textId="77777777" w:rsidTr="00CA318C">
        <w:trPr>
          <w:trHeight w:val="530"/>
        </w:trPr>
        <w:tc>
          <w:tcPr>
            <w:tcW w:w="0" w:type="auto"/>
            <w:noWrap/>
            <w:hideMark/>
          </w:tcPr>
          <w:p w14:paraId="6B8CF6C3" w14:textId="268E3FC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68</w:t>
            </w:r>
          </w:p>
        </w:tc>
        <w:tc>
          <w:tcPr>
            <w:tcW w:w="0" w:type="auto"/>
            <w:noWrap/>
            <w:hideMark/>
          </w:tcPr>
          <w:p w14:paraId="19E378C6"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SC-2.6</w:t>
            </w:r>
          </w:p>
        </w:tc>
        <w:tc>
          <w:tcPr>
            <w:tcW w:w="0" w:type="auto"/>
            <w:shd w:val="clear" w:color="000000" w:fill="FFFFFF"/>
            <w:hideMark/>
          </w:tcPr>
          <w:p w14:paraId="469D06F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1122078E" w14:textId="2C0D54C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61889EC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Stakeholder Outreach Campaign</w:t>
            </w:r>
          </w:p>
        </w:tc>
        <w:tc>
          <w:tcPr>
            <w:tcW w:w="0" w:type="auto"/>
            <w:shd w:val="clear" w:color="000000" w:fill="002060"/>
            <w:hideMark/>
          </w:tcPr>
          <w:p w14:paraId="51407ACE" w14:textId="3A31A6E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Campaign Performance Assessment</w:t>
            </w:r>
          </w:p>
        </w:tc>
        <w:tc>
          <w:tcPr>
            <w:tcW w:w="0" w:type="auto"/>
            <w:shd w:val="clear" w:color="000000" w:fill="FFFFFF"/>
            <w:hideMark/>
          </w:tcPr>
          <w:p w14:paraId="31B41F5B"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the collection and analysis of data to systematically measure the effectiveness, outcomes, and overall performance of stakeholder outreach campaigns.</w:t>
            </w:r>
          </w:p>
        </w:tc>
      </w:tr>
      <w:tr w:rsidR="000A24CD" w14:paraId="05268DBC" w14:textId="77777777" w:rsidTr="00CA318C">
        <w:trPr>
          <w:trHeight w:val="520"/>
        </w:trPr>
        <w:tc>
          <w:tcPr>
            <w:tcW w:w="0" w:type="auto"/>
            <w:noWrap/>
            <w:hideMark/>
          </w:tcPr>
          <w:p w14:paraId="040FD188" w14:textId="1DDC140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69</w:t>
            </w:r>
          </w:p>
        </w:tc>
        <w:tc>
          <w:tcPr>
            <w:tcW w:w="0" w:type="auto"/>
            <w:noWrap/>
            <w:hideMark/>
          </w:tcPr>
          <w:p w14:paraId="6DE610F1"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SC-3.1</w:t>
            </w:r>
          </w:p>
        </w:tc>
        <w:tc>
          <w:tcPr>
            <w:tcW w:w="0" w:type="auto"/>
            <w:shd w:val="clear" w:color="000000" w:fill="FFFFFF"/>
            <w:hideMark/>
          </w:tcPr>
          <w:p w14:paraId="2E24D2C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55B7056B" w14:textId="10F19F9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6957ADA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Public Alert</w:t>
            </w:r>
          </w:p>
        </w:tc>
        <w:tc>
          <w:tcPr>
            <w:tcW w:w="0" w:type="auto"/>
            <w:shd w:val="clear" w:color="000000" w:fill="002060"/>
            <w:noWrap/>
            <w:hideMark/>
          </w:tcPr>
          <w:p w14:paraId="418C6628" w14:textId="1EF927E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Public Alert</w:t>
            </w:r>
          </w:p>
          <w:p w14:paraId="63AD4943" w14:textId="6D873AF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Creation</w:t>
            </w:r>
          </w:p>
        </w:tc>
        <w:tc>
          <w:tcPr>
            <w:tcW w:w="0" w:type="auto"/>
            <w:shd w:val="clear" w:color="000000" w:fill="FFFFFF"/>
            <w:hideMark/>
          </w:tcPr>
          <w:p w14:paraId="09E083A2"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w:t>
            </w:r>
            <w:r>
              <w:rPr>
                <w:rFonts w:ascii="Arial" w:eastAsia="Times New Roman" w:hAnsi="Arial" w:cs="Arial"/>
                <w:color w:val="131314"/>
                <w:kern w:val="0"/>
                <w:sz w:val="20"/>
                <w:szCs w:val="20"/>
                <w14:ligatures w14:val="none"/>
              </w:rPr>
              <w:t>es the development and drafting of public alert messages, often utilizing specialized software and adhering to standards like the Common Alerting Protocol (CAP).</w:t>
            </w:r>
          </w:p>
        </w:tc>
      </w:tr>
      <w:tr w:rsidR="000A24CD" w14:paraId="56B6D3D4" w14:textId="77777777" w:rsidTr="00CA318C">
        <w:trPr>
          <w:trHeight w:val="520"/>
        </w:trPr>
        <w:tc>
          <w:tcPr>
            <w:tcW w:w="0" w:type="auto"/>
            <w:noWrap/>
            <w:hideMark/>
          </w:tcPr>
          <w:p w14:paraId="33181B65" w14:textId="577CE78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70</w:t>
            </w:r>
          </w:p>
        </w:tc>
        <w:tc>
          <w:tcPr>
            <w:tcW w:w="0" w:type="auto"/>
            <w:noWrap/>
            <w:hideMark/>
          </w:tcPr>
          <w:p w14:paraId="3EDFD113"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SC-3.2</w:t>
            </w:r>
          </w:p>
        </w:tc>
        <w:tc>
          <w:tcPr>
            <w:tcW w:w="0" w:type="auto"/>
            <w:shd w:val="clear" w:color="000000" w:fill="FFFFFF"/>
            <w:hideMark/>
          </w:tcPr>
          <w:p w14:paraId="2B64A88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FA15E90" w14:textId="798E47B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7CB5A44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Public Alert</w:t>
            </w:r>
          </w:p>
        </w:tc>
        <w:tc>
          <w:tcPr>
            <w:tcW w:w="0" w:type="auto"/>
            <w:shd w:val="clear" w:color="000000" w:fill="002060"/>
            <w:noWrap/>
            <w:hideMark/>
          </w:tcPr>
          <w:p w14:paraId="752C70BA" w14:textId="6DCB876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Public Alert</w:t>
            </w:r>
          </w:p>
          <w:p w14:paraId="5F6B7208" w14:textId="325486DC"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Approval</w:t>
            </w:r>
          </w:p>
        </w:tc>
        <w:tc>
          <w:tcPr>
            <w:tcW w:w="0" w:type="auto"/>
            <w:shd w:val="clear" w:color="000000" w:fill="FFFFFF"/>
            <w:hideMark/>
          </w:tcPr>
          <w:p w14:paraId="38029910"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ensures the formal authorization and approval from leadership for official public alert communications regarding potential program-related issues before dissemination.</w:t>
            </w:r>
          </w:p>
        </w:tc>
      </w:tr>
      <w:tr w:rsidR="000A24CD" w14:paraId="558489C0" w14:textId="77777777" w:rsidTr="00CA318C">
        <w:trPr>
          <w:trHeight w:val="520"/>
        </w:trPr>
        <w:tc>
          <w:tcPr>
            <w:tcW w:w="0" w:type="auto"/>
            <w:noWrap/>
            <w:hideMark/>
          </w:tcPr>
          <w:p w14:paraId="3EE93DC3" w14:textId="341748D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71</w:t>
            </w:r>
          </w:p>
        </w:tc>
        <w:tc>
          <w:tcPr>
            <w:tcW w:w="0" w:type="auto"/>
            <w:noWrap/>
            <w:hideMark/>
          </w:tcPr>
          <w:p w14:paraId="14F34233"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SC-3.3</w:t>
            </w:r>
          </w:p>
        </w:tc>
        <w:tc>
          <w:tcPr>
            <w:tcW w:w="0" w:type="auto"/>
            <w:shd w:val="clear" w:color="000000" w:fill="FFFFFF"/>
            <w:hideMark/>
          </w:tcPr>
          <w:p w14:paraId="533F68A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429DDAFB" w14:textId="422F03F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3CE697A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Publi</w:t>
            </w:r>
            <w:r>
              <w:rPr>
                <w:rFonts w:ascii="Arial" w:eastAsia="Times New Roman" w:hAnsi="Arial" w:cs="Arial"/>
                <w:kern w:val="0"/>
                <w:sz w:val="20"/>
                <w:szCs w:val="20"/>
                <w14:ligatures w14:val="none"/>
              </w:rPr>
              <w:t>c Alert</w:t>
            </w:r>
          </w:p>
        </w:tc>
        <w:tc>
          <w:tcPr>
            <w:tcW w:w="0" w:type="auto"/>
            <w:shd w:val="clear" w:color="000000" w:fill="002060"/>
            <w:noWrap/>
            <w:hideMark/>
          </w:tcPr>
          <w:p w14:paraId="6A78A6D8" w14:textId="7C51939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Public Alert</w:t>
            </w:r>
          </w:p>
          <w:p w14:paraId="75543ADA" w14:textId="4561472C"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Delivery</w:t>
            </w:r>
          </w:p>
        </w:tc>
        <w:tc>
          <w:tcPr>
            <w:tcW w:w="0" w:type="auto"/>
            <w:shd w:val="clear" w:color="000000" w:fill="FFFFFF"/>
            <w:hideMark/>
          </w:tcPr>
          <w:p w14:paraId="3B62B9F4"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facilitates the dissemination of approved public alerts through integrated Public Alert &amp; Warning Systems or other designated communication channels.</w:t>
            </w:r>
          </w:p>
        </w:tc>
      </w:tr>
      <w:tr w:rsidR="000A24CD" w14:paraId="5C42C385" w14:textId="77777777" w:rsidTr="00CA318C">
        <w:trPr>
          <w:trHeight w:val="520"/>
        </w:trPr>
        <w:tc>
          <w:tcPr>
            <w:tcW w:w="0" w:type="auto"/>
            <w:noWrap/>
            <w:hideMark/>
          </w:tcPr>
          <w:p w14:paraId="58A568DC" w14:textId="609869B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72</w:t>
            </w:r>
          </w:p>
        </w:tc>
        <w:tc>
          <w:tcPr>
            <w:tcW w:w="0" w:type="auto"/>
            <w:noWrap/>
            <w:hideMark/>
          </w:tcPr>
          <w:p w14:paraId="5CB49F2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SC-3.4</w:t>
            </w:r>
          </w:p>
        </w:tc>
        <w:tc>
          <w:tcPr>
            <w:tcW w:w="0" w:type="auto"/>
            <w:shd w:val="clear" w:color="000000" w:fill="FFFFFF"/>
            <w:hideMark/>
          </w:tcPr>
          <w:p w14:paraId="184A963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0071061C" w14:textId="197E2E4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0B04230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Public Alert</w:t>
            </w:r>
          </w:p>
        </w:tc>
        <w:tc>
          <w:tcPr>
            <w:tcW w:w="0" w:type="auto"/>
            <w:shd w:val="clear" w:color="000000" w:fill="002060"/>
            <w:noWrap/>
            <w:hideMark/>
          </w:tcPr>
          <w:p w14:paraId="22E9A735" w14:textId="521B70C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Public Alert</w:t>
            </w:r>
          </w:p>
          <w:p w14:paraId="38BFDE77" w14:textId="18AC27F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Updates</w:t>
            </w:r>
          </w:p>
        </w:tc>
        <w:tc>
          <w:tcPr>
            <w:tcW w:w="0" w:type="auto"/>
            <w:shd w:val="clear" w:color="000000" w:fill="FFFFFF"/>
            <w:hideMark/>
          </w:tcPr>
          <w:p w14:paraId="33C65F4C"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the modification and revision of previously issued public alert messages with updated or evolving information.</w:t>
            </w:r>
          </w:p>
        </w:tc>
      </w:tr>
      <w:tr w:rsidR="000A24CD" w14:paraId="70890C59" w14:textId="77777777" w:rsidTr="00CA318C">
        <w:trPr>
          <w:trHeight w:val="530"/>
        </w:trPr>
        <w:tc>
          <w:tcPr>
            <w:tcW w:w="0" w:type="auto"/>
            <w:noWrap/>
            <w:hideMark/>
          </w:tcPr>
          <w:p w14:paraId="0853A827" w14:textId="01C1AAEE"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73</w:t>
            </w:r>
          </w:p>
        </w:tc>
        <w:tc>
          <w:tcPr>
            <w:tcW w:w="0" w:type="auto"/>
            <w:noWrap/>
            <w:hideMark/>
          </w:tcPr>
          <w:p w14:paraId="0C6683B0"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SC-3.5</w:t>
            </w:r>
          </w:p>
        </w:tc>
        <w:tc>
          <w:tcPr>
            <w:tcW w:w="0" w:type="auto"/>
            <w:shd w:val="clear" w:color="000000" w:fill="FFFFFF"/>
            <w:hideMark/>
          </w:tcPr>
          <w:p w14:paraId="53D6AE2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Relationship Management</w:t>
            </w:r>
          </w:p>
        </w:tc>
        <w:tc>
          <w:tcPr>
            <w:tcW w:w="0" w:type="auto"/>
            <w:shd w:val="clear" w:color="000000" w:fill="FFFFFF"/>
            <w:hideMark/>
          </w:tcPr>
          <w:p w14:paraId="6DE42FB6" w14:textId="51E2A45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Stakeholder Communications </w:t>
            </w:r>
          </w:p>
        </w:tc>
        <w:tc>
          <w:tcPr>
            <w:tcW w:w="0" w:type="auto"/>
            <w:shd w:val="clear" w:color="000000" w:fill="FFFFFF"/>
            <w:hideMark/>
          </w:tcPr>
          <w:p w14:paraId="66074AA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Public Alert</w:t>
            </w:r>
          </w:p>
        </w:tc>
        <w:tc>
          <w:tcPr>
            <w:tcW w:w="0" w:type="auto"/>
            <w:shd w:val="clear" w:color="000000" w:fill="002060"/>
            <w:noWrap/>
            <w:hideMark/>
          </w:tcPr>
          <w:p w14:paraId="39C612B7" w14:textId="7DC727E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Public A</w:t>
            </w:r>
            <w:r>
              <w:rPr>
                <w:rFonts w:ascii="Arial" w:eastAsia="Times New Roman" w:hAnsi="Arial" w:cs="Arial"/>
                <w:b/>
                <w:bCs/>
                <w:color w:val="FFFFFF"/>
                <w:kern w:val="0"/>
                <w:sz w:val="20"/>
                <w:szCs w:val="20"/>
                <w14:ligatures w14:val="none"/>
              </w:rPr>
              <w:t>lert</w:t>
            </w:r>
          </w:p>
          <w:p w14:paraId="40C709E2" w14:textId="62A4106E"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Closure</w:t>
            </w:r>
          </w:p>
        </w:tc>
        <w:tc>
          <w:tcPr>
            <w:tcW w:w="0" w:type="auto"/>
            <w:shd w:val="clear" w:color="000000" w:fill="FFFFFF"/>
            <w:hideMark/>
          </w:tcPr>
          <w:p w14:paraId="2ED3058F"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process of securing leadership approval to formally conclude or end previously issued public alert communications related to program issues.</w:t>
            </w:r>
          </w:p>
        </w:tc>
      </w:tr>
      <w:tr w:rsidR="000A24CD" w14:paraId="292DA8E5" w14:textId="77777777" w:rsidTr="00CA318C">
        <w:trPr>
          <w:trHeight w:val="560"/>
        </w:trPr>
        <w:tc>
          <w:tcPr>
            <w:tcW w:w="0" w:type="auto"/>
            <w:noWrap/>
            <w:hideMark/>
          </w:tcPr>
          <w:p w14:paraId="54ABA486" w14:textId="5C51BE2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74</w:t>
            </w:r>
          </w:p>
        </w:tc>
        <w:tc>
          <w:tcPr>
            <w:tcW w:w="0" w:type="auto"/>
            <w:noWrap/>
            <w:hideMark/>
          </w:tcPr>
          <w:p w14:paraId="57D37BA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CM-1.1</w:t>
            </w:r>
          </w:p>
        </w:tc>
        <w:tc>
          <w:tcPr>
            <w:tcW w:w="0" w:type="auto"/>
            <w:shd w:val="clear" w:color="000000" w:fill="FFFFFF"/>
            <w:hideMark/>
          </w:tcPr>
          <w:p w14:paraId="673A85E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4B2F2A5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6B78DD8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noWrap/>
            <w:hideMark/>
          </w:tcPr>
          <w:p w14:paraId="16D7FA56"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Anonymous Browsing</w:t>
            </w:r>
          </w:p>
        </w:tc>
        <w:tc>
          <w:tcPr>
            <w:tcW w:w="0" w:type="auto"/>
            <w:hideMark/>
          </w:tcPr>
          <w:p w14:paraId="76AB6AD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enables consumers to search for and compare health insurance plans without revealing personal information. This feature allows users to explore different plans and their associated costs, premiums, and coverage detai</w:t>
            </w:r>
            <w:r>
              <w:rPr>
                <w:rFonts w:ascii="Arial" w:eastAsia="Times New Roman" w:hAnsi="Arial" w:cs="Arial"/>
                <w:kern w:val="0"/>
                <w:sz w:val="20"/>
                <w:szCs w:val="20"/>
                <w14:ligatures w14:val="none"/>
              </w:rPr>
              <w:t>ls.</w:t>
            </w:r>
          </w:p>
        </w:tc>
      </w:tr>
      <w:tr w:rsidR="000A24CD" w14:paraId="5855D791" w14:textId="77777777" w:rsidTr="00CA318C">
        <w:trPr>
          <w:trHeight w:val="780"/>
        </w:trPr>
        <w:tc>
          <w:tcPr>
            <w:tcW w:w="0" w:type="auto"/>
            <w:noWrap/>
            <w:hideMark/>
          </w:tcPr>
          <w:p w14:paraId="57B5326E" w14:textId="46F8BFC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75</w:t>
            </w:r>
          </w:p>
        </w:tc>
        <w:tc>
          <w:tcPr>
            <w:tcW w:w="0" w:type="auto"/>
            <w:noWrap/>
            <w:hideMark/>
          </w:tcPr>
          <w:p w14:paraId="5D5C8C9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CM-1.2</w:t>
            </w:r>
          </w:p>
        </w:tc>
        <w:tc>
          <w:tcPr>
            <w:tcW w:w="0" w:type="auto"/>
            <w:shd w:val="clear" w:color="000000" w:fill="FFFFFF"/>
            <w:hideMark/>
          </w:tcPr>
          <w:p w14:paraId="428B370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71CAF922"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12C4754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15D3FC3D" w14:textId="4FE2E8F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Application Intake</w:t>
            </w:r>
          </w:p>
        </w:tc>
        <w:tc>
          <w:tcPr>
            <w:tcW w:w="0" w:type="auto"/>
            <w:shd w:val="clear" w:color="000000" w:fill="FFFFFF"/>
            <w:hideMark/>
          </w:tcPr>
          <w:p w14:paraId="008062AB"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initial collection and validation of consumer information through a single, streamlined application, for individuals, families, employer groups, and employees seeking coverage through Medicaid, QHP, or SHOP. This capability also supports presumptive eligibility intake.</w:t>
            </w:r>
          </w:p>
        </w:tc>
      </w:tr>
      <w:tr w:rsidR="000A24CD" w14:paraId="20BCA29C" w14:textId="77777777" w:rsidTr="00CA318C">
        <w:trPr>
          <w:trHeight w:val="643"/>
        </w:trPr>
        <w:tc>
          <w:tcPr>
            <w:tcW w:w="0" w:type="auto"/>
            <w:noWrap/>
            <w:hideMark/>
          </w:tcPr>
          <w:p w14:paraId="703BBE46" w14:textId="4F0F851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76</w:t>
            </w:r>
          </w:p>
        </w:tc>
        <w:tc>
          <w:tcPr>
            <w:tcW w:w="0" w:type="auto"/>
            <w:noWrap/>
            <w:hideMark/>
          </w:tcPr>
          <w:p w14:paraId="3EFF7E9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CM-1.3</w:t>
            </w:r>
          </w:p>
        </w:tc>
        <w:tc>
          <w:tcPr>
            <w:tcW w:w="0" w:type="auto"/>
            <w:shd w:val="clear" w:color="000000" w:fill="FFFFFF"/>
            <w:hideMark/>
          </w:tcPr>
          <w:p w14:paraId="6AA9183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7411CA64"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698E602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160C9650" w14:textId="2170F8B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Application Verification</w:t>
            </w:r>
          </w:p>
        </w:tc>
        <w:tc>
          <w:tcPr>
            <w:tcW w:w="0" w:type="auto"/>
            <w:shd w:val="clear" w:color="000000" w:fill="FFFFFF"/>
            <w:hideMark/>
          </w:tcPr>
          <w:p w14:paraId="7BEF271E"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w:t>
            </w:r>
            <w:r>
              <w:rPr>
                <w:rFonts w:ascii="Arial" w:eastAsia="Times New Roman" w:hAnsi="Arial" w:cs="Arial"/>
                <w:color w:val="131314"/>
                <w:kern w:val="0"/>
                <w:sz w:val="20"/>
                <w:szCs w:val="20"/>
                <w14:ligatures w14:val="none"/>
              </w:rPr>
              <w:t>ability systematically verifies all information provided on Medicaid, QHP, and SHOP applications (e.g., citizenship, immigration, incarceration status) against trusted and authoritative data sources to ensure accuracy for eligibility determination.</w:t>
            </w:r>
          </w:p>
        </w:tc>
      </w:tr>
      <w:tr w:rsidR="000A24CD" w14:paraId="49B3282D" w14:textId="77777777" w:rsidTr="00CA318C">
        <w:trPr>
          <w:trHeight w:val="780"/>
        </w:trPr>
        <w:tc>
          <w:tcPr>
            <w:tcW w:w="0" w:type="auto"/>
            <w:noWrap/>
            <w:hideMark/>
          </w:tcPr>
          <w:p w14:paraId="7FB7061F" w14:textId="0602D4B6"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77</w:t>
            </w:r>
          </w:p>
        </w:tc>
        <w:tc>
          <w:tcPr>
            <w:tcW w:w="0" w:type="auto"/>
            <w:noWrap/>
            <w:hideMark/>
          </w:tcPr>
          <w:p w14:paraId="2B72D01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CM-1.4</w:t>
            </w:r>
          </w:p>
        </w:tc>
        <w:tc>
          <w:tcPr>
            <w:tcW w:w="0" w:type="auto"/>
            <w:shd w:val="clear" w:color="000000" w:fill="FFFFFF"/>
            <w:hideMark/>
          </w:tcPr>
          <w:p w14:paraId="6EA5F3D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6F8992F7"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0BD80FB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7AE05877" w14:textId="35A6F521"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Documents Verification</w:t>
            </w:r>
          </w:p>
        </w:tc>
        <w:tc>
          <w:tcPr>
            <w:tcW w:w="0" w:type="auto"/>
            <w:shd w:val="clear" w:color="000000" w:fill="FFFFFF"/>
            <w:hideMark/>
          </w:tcPr>
          <w:p w14:paraId="0BAEBDC7"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validates the authenticity and sufficiency of all submitted documents (from individuals, employers, or employees) against established standards t</w:t>
            </w:r>
            <w:r>
              <w:rPr>
                <w:rFonts w:ascii="Arial" w:eastAsia="Times New Roman" w:hAnsi="Arial" w:cs="Arial"/>
                <w:color w:val="131314"/>
                <w:kern w:val="0"/>
                <w:sz w:val="20"/>
                <w:szCs w:val="20"/>
                <w14:ligatures w14:val="none"/>
              </w:rPr>
              <w:t>o resolve data discrepancies, complete outstanding verifications, and finalize eligibility and enrollment decisions.</w:t>
            </w:r>
          </w:p>
        </w:tc>
      </w:tr>
      <w:tr w:rsidR="000A24CD" w14:paraId="7D25AB16" w14:textId="77777777" w:rsidTr="00CA318C">
        <w:trPr>
          <w:trHeight w:val="780"/>
        </w:trPr>
        <w:tc>
          <w:tcPr>
            <w:tcW w:w="0" w:type="auto"/>
            <w:noWrap/>
            <w:hideMark/>
          </w:tcPr>
          <w:p w14:paraId="7919189E" w14:textId="6116B08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78</w:t>
            </w:r>
          </w:p>
        </w:tc>
        <w:tc>
          <w:tcPr>
            <w:tcW w:w="0" w:type="auto"/>
            <w:noWrap/>
            <w:hideMark/>
          </w:tcPr>
          <w:p w14:paraId="52D2502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CM-1.5</w:t>
            </w:r>
          </w:p>
        </w:tc>
        <w:tc>
          <w:tcPr>
            <w:tcW w:w="0" w:type="auto"/>
            <w:shd w:val="clear" w:color="000000" w:fill="FFFFFF"/>
            <w:hideMark/>
          </w:tcPr>
          <w:p w14:paraId="695A7BA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4F4797EE"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089C578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70D5EC17" w14:textId="3E7E239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Eligibility Determination</w:t>
            </w:r>
          </w:p>
        </w:tc>
        <w:tc>
          <w:tcPr>
            <w:tcW w:w="0" w:type="auto"/>
            <w:shd w:val="clear" w:color="000000" w:fill="FFFFFF"/>
            <w:hideMark/>
          </w:tcPr>
          <w:p w14:paraId="59CF34B3"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encompasses the comprehensive process of requesting, receiving, and applying established criteria to applicant/consumer-related information to determine eligibility for Medicaid (MAGI and non-MAGI), QHP (with APTC/CSR), or SHOP for individuals, households, and businesses, b</w:t>
            </w:r>
            <w:r>
              <w:rPr>
                <w:rFonts w:ascii="Arial" w:eastAsia="Times New Roman" w:hAnsi="Arial" w:cs="Arial"/>
                <w:color w:val="131314"/>
                <w:kern w:val="0"/>
                <w:sz w:val="20"/>
                <w:szCs w:val="20"/>
                <w14:ligatures w14:val="none"/>
              </w:rPr>
              <w:t>ased on financial and non-financial requirements.</w:t>
            </w:r>
          </w:p>
        </w:tc>
      </w:tr>
      <w:tr w:rsidR="000A24CD" w14:paraId="6662AD7B" w14:textId="77777777" w:rsidTr="00CA318C">
        <w:trPr>
          <w:trHeight w:val="520"/>
        </w:trPr>
        <w:tc>
          <w:tcPr>
            <w:tcW w:w="0" w:type="auto"/>
            <w:noWrap/>
            <w:hideMark/>
          </w:tcPr>
          <w:p w14:paraId="2921790F" w14:textId="082788A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79</w:t>
            </w:r>
          </w:p>
        </w:tc>
        <w:tc>
          <w:tcPr>
            <w:tcW w:w="0" w:type="auto"/>
            <w:noWrap/>
            <w:hideMark/>
          </w:tcPr>
          <w:p w14:paraId="042DF6E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CM-1.6</w:t>
            </w:r>
          </w:p>
        </w:tc>
        <w:tc>
          <w:tcPr>
            <w:tcW w:w="0" w:type="auto"/>
            <w:shd w:val="clear" w:color="000000" w:fill="FFFFFF"/>
            <w:hideMark/>
          </w:tcPr>
          <w:p w14:paraId="726626E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53EF5916"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203993D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5BEA23DB" w14:textId="6FB26F1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Applicant Enrollment</w:t>
            </w:r>
          </w:p>
        </w:tc>
        <w:tc>
          <w:tcPr>
            <w:tcW w:w="0" w:type="auto"/>
            <w:shd w:val="clear" w:color="000000" w:fill="FFFFFF"/>
            <w:hideMark/>
          </w:tcPr>
          <w:p w14:paraId="406E6698"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manages the full enrollment process for eligible consumers in Medicaid, QHP, or SHOP, including securing enrollment approval, plan selection and/or assignment, and updating consumer and case records. </w:t>
            </w:r>
          </w:p>
        </w:tc>
      </w:tr>
      <w:tr w:rsidR="000A24CD" w14:paraId="4A0B6258" w14:textId="77777777" w:rsidTr="00CA318C">
        <w:trPr>
          <w:trHeight w:val="520"/>
        </w:trPr>
        <w:tc>
          <w:tcPr>
            <w:tcW w:w="0" w:type="auto"/>
            <w:noWrap/>
            <w:hideMark/>
          </w:tcPr>
          <w:p w14:paraId="72A646D6" w14:textId="2B5CD24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80</w:t>
            </w:r>
          </w:p>
        </w:tc>
        <w:tc>
          <w:tcPr>
            <w:tcW w:w="0" w:type="auto"/>
            <w:noWrap/>
            <w:hideMark/>
          </w:tcPr>
          <w:p w14:paraId="6FF862F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CM-1.7</w:t>
            </w:r>
          </w:p>
        </w:tc>
        <w:tc>
          <w:tcPr>
            <w:tcW w:w="0" w:type="auto"/>
            <w:shd w:val="clear" w:color="000000" w:fill="FFFFFF"/>
            <w:hideMark/>
          </w:tcPr>
          <w:p w14:paraId="26F8CAA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31829845"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7A186CB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160FF75C"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Coverage Management</w:t>
            </w:r>
          </w:p>
        </w:tc>
        <w:tc>
          <w:tcPr>
            <w:tcW w:w="0" w:type="auto"/>
            <w:shd w:val="clear" w:color="000000" w:fill="FFFFFF"/>
            <w:hideMark/>
          </w:tcPr>
          <w:p w14:paraId="7D914B87"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allows authorized users to ass</w:t>
            </w:r>
            <w:r>
              <w:rPr>
                <w:rFonts w:ascii="Arial" w:eastAsia="Times New Roman" w:hAnsi="Arial" w:cs="Arial"/>
                <w:color w:val="131314"/>
                <w:kern w:val="0"/>
                <w:sz w:val="20"/>
                <w:szCs w:val="20"/>
                <w14:ligatures w14:val="none"/>
              </w:rPr>
              <w:t>ess and determine consumer coverage eligibility, including qualifications for exemptions, managing household-level determinations, and the ability to modify, void, or cancel issued coverage.</w:t>
            </w:r>
          </w:p>
        </w:tc>
      </w:tr>
      <w:tr w:rsidR="000A24CD" w14:paraId="7A2D4BE8" w14:textId="77777777" w:rsidTr="00CA318C">
        <w:trPr>
          <w:trHeight w:val="520"/>
        </w:trPr>
        <w:tc>
          <w:tcPr>
            <w:tcW w:w="0" w:type="auto"/>
            <w:noWrap/>
            <w:hideMark/>
          </w:tcPr>
          <w:p w14:paraId="31C89DD1" w14:textId="22FC7AB6"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81</w:t>
            </w:r>
          </w:p>
        </w:tc>
        <w:tc>
          <w:tcPr>
            <w:tcW w:w="0" w:type="auto"/>
            <w:noWrap/>
            <w:hideMark/>
          </w:tcPr>
          <w:p w14:paraId="785B183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CM-1.8</w:t>
            </w:r>
          </w:p>
        </w:tc>
        <w:tc>
          <w:tcPr>
            <w:tcW w:w="0" w:type="auto"/>
            <w:shd w:val="clear" w:color="000000" w:fill="FFFFFF"/>
            <w:hideMark/>
          </w:tcPr>
          <w:p w14:paraId="59BCE62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3ED6167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3629E60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006B2105" w14:textId="4AFC6E6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Disenrollment</w:t>
            </w:r>
          </w:p>
        </w:tc>
        <w:tc>
          <w:tcPr>
            <w:tcW w:w="0" w:type="auto"/>
            <w:shd w:val="clear" w:color="000000" w:fill="FFFFFF"/>
            <w:hideMark/>
          </w:tcPr>
          <w:p w14:paraId="28DE7B4F"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manages the entire process of terminating a consumer’s enrollment In Medicaid, QHP, or SHOP, including processing disenrollment requests, validating compliance with policies, updating consumer records. </w:t>
            </w:r>
          </w:p>
        </w:tc>
      </w:tr>
      <w:tr w:rsidR="000A24CD" w14:paraId="0A87AAF6" w14:textId="77777777" w:rsidTr="00CA318C">
        <w:trPr>
          <w:trHeight w:val="780"/>
        </w:trPr>
        <w:tc>
          <w:tcPr>
            <w:tcW w:w="0" w:type="auto"/>
            <w:noWrap/>
            <w:hideMark/>
          </w:tcPr>
          <w:p w14:paraId="36C5F031" w14:textId="51257BC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82</w:t>
            </w:r>
          </w:p>
        </w:tc>
        <w:tc>
          <w:tcPr>
            <w:tcW w:w="0" w:type="auto"/>
            <w:noWrap/>
            <w:hideMark/>
          </w:tcPr>
          <w:p w14:paraId="629C4F0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CM-1.9</w:t>
            </w:r>
          </w:p>
        </w:tc>
        <w:tc>
          <w:tcPr>
            <w:tcW w:w="0" w:type="auto"/>
            <w:shd w:val="clear" w:color="000000" w:fill="FFFFFF"/>
            <w:hideMark/>
          </w:tcPr>
          <w:p w14:paraId="2191C25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6FD8B5C1"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67C1918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07F85E15" w14:textId="540F23D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Eligibility &amp; Enrollment Renewal</w:t>
            </w:r>
          </w:p>
        </w:tc>
        <w:tc>
          <w:tcPr>
            <w:tcW w:w="0" w:type="auto"/>
            <w:shd w:val="clear" w:color="000000" w:fill="FFFFFF"/>
            <w:hideMark/>
          </w:tcPr>
          <w:p w14:paraId="5E3DF909"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periodic process of redetermining if a consumer (for Medicaid, QHP, or SHOP) continues to meet program eligibility criteria, including annual redeterminations for MAGI Medicaid, periodic recertifications for non-MAGI, annual QHP reassessments, and SHOP employer group/employee renewals.</w:t>
            </w:r>
          </w:p>
        </w:tc>
      </w:tr>
      <w:tr w:rsidR="000A24CD" w14:paraId="76B93A59" w14:textId="77777777" w:rsidTr="00CA318C">
        <w:trPr>
          <w:trHeight w:val="780"/>
        </w:trPr>
        <w:tc>
          <w:tcPr>
            <w:tcW w:w="0" w:type="auto"/>
            <w:noWrap/>
            <w:hideMark/>
          </w:tcPr>
          <w:p w14:paraId="11B646EF" w14:textId="63DF605F"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83</w:t>
            </w:r>
          </w:p>
        </w:tc>
        <w:tc>
          <w:tcPr>
            <w:tcW w:w="0" w:type="auto"/>
            <w:noWrap/>
            <w:hideMark/>
          </w:tcPr>
          <w:p w14:paraId="18CBEEB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CM-1.10</w:t>
            </w:r>
          </w:p>
        </w:tc>
        <w:tc>
          <w:tcPr>
            <w:tcW w:w="0" w:type="auto"/>
            <w:shd w:val="clear" w:color="000000" w:fill="FFFFFF"/>
            <w:hideMark/>
          </w:tcPr>
          <w:p w14:paraId="62914BD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7B17C993"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5A9D155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5749B8D9" w14:textId="0B81183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w:t>
            </w:r>
            <w:r>
              <w:rPr>
                <w:rFonts w:ascii="Arial" w:eastAsia="Times New Roman" w:hAnsi="Arial" w:cs="Arial"/>
                <w:b/>
                <w:bCs/>
                <w:color w:val="FFFFFF"/>
                <w:kern w:val="0"/>
                <w:sz w:val="20"/>
                <w:szCs w:val="20"/>
                <w14:ligatures w14:val="none"/>
              </w:rPr>
              <w:t>mer Eligibility Inquiry</w:t>
            </w:r>
          </w:p>
        </w:tc>
        <w:tc>
          <w:tcPr>
            <w:tcW w:w="0" w:type="auto"/>
            <w:shd w:val="clear" w:color="000000" w:fill="FFFFFF"/>
            <w:hideMark/>
          </w:tcPr>
          <w:p w14:paraId="424546C8" w14:textId="576F621E"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real-time eligibility verification requests from authorized third parties, providing a comprehensive response on the consumer's coverage and benefits.</w:t>
            </w:r>
          </w:p>
        </w:tc>
      </w:tr>
      <w:tr w:rsidR="000A24CD" w14:paraId="69A93113" w14:textId="77777777" w:rsidTr="00CA318C">
        <w:trPr>
          <w:trHeight w:val="530"/>
        </w:trPr>
        <w:tc>
          <w:tcPr>
            <w:tcW w:w="0" w:type="auto"/>
            <w:noWrap/>
            <w:hideMark/>
          </w:tcPr>
          <w:p w14:paraId="3B00646A" w14:textId="6713F715"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84</w:t>
            </w:r>
          </w:p>
        </w:tc>
        <w:tc>
          <w:tcPr>
            <w:tcW w:w="0" w:type="auto"/>
            <w:noWrap/>
            <w:hideMark/>
          </w:tcPr>
          <w:p w14:paraId="1919088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CM-1.11</w:t>
            </w:r>
          </w:p>
        </w:tc>
        <w:tc>
          <w:tcPr>
            <w:tcW w:w="0" w:type="auto"/>
            <w:shd w:val="clear" w:color="000000" w:fill="FFFFFF"/>
            <w:hideMark/>
          </w:tcPr>
          <w:p w14:paraId="706A057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2E601320"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36CA805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Eligibility and Enrollment Management </w:t>
            </w:r>
          </w:p>
        </w:tc>
        <w:tc>
          <w:tcPr>
            <w:tcW w:w="0" w:type="auto"/>
            <w:shd w:val="clear" w:color="000000" w:fill="002060"/>
            <w:hideMark/>
          </w:tcPr>
          <w:p w14:paraId="11A9D7DB" w14:textId="03FAC6D6"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Enrollment Inquiry</w:t>
            </w:r>
          </w:p>
        </w:tc>
        <w:tc>
          <w:tcPr>
            <w:tcW w:w="0" w:type="auto"/>
            <w:shd w:val="clear" w:color="000000" w:fill="FFFFFF"/>
            <w:hideMark/>
          </w:tcPr>
          <w:p w14:paraId="3BCAAF05"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requests for detailed consumer enrollment information in Medicaid (e.g., FFS Plans, MCO details, effective/termination dates), facilitating the sharing of this enrollment status acr</w:t>
            </w:r>
            <w:r>
              <w:rPr>
                <w:rFonts w:ascii="Arial" w:eastAsia="Times New Roman" w:hAnsi="Arial" w:cs="Arial"/>
                <w:color w:val="131314"/>
                <w:kern w:val="0"/>
                <w:sz w:val="20"/>
                <w:szCs w:val="20"/>
                <w14:ligatures w14:val="none"/>
              </w:rPr>
              <w:t>oss agencies, systems, and jurisdictions.</w:t>
            </w:r>
          </w:p>
        </w:tc>
      </w:tr>
      <w:tr w:rsidR="000A24CD" w14:paraId="595F8C96" w14:textId="77777777" w:rsidTr="00CA318C">
        <w:trPr>
          <w:trHeight w:val="520"/>
        </w:trPr>
        <w:tc>
          <w:tcPr>
            <w:tcW w:w="0" w:type="auto"/>
            <w:noWrap/>
            <w:hideMark/>
          </w:tcPr>
          <w:p w14:paraId="1ACC9313" w14:textId="46AAA9E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85</w:t>
            </w:r>
          </w:p>
        </w:tc>
        <w:tc>
          <w:tcPr>
            <w:tcW w:w="0" w:type="auto"/>
            <w:noWrap/>
            <w:hideMark/>
          </w:tcPr>
          <w:p w14:paraId="35330C5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CM-2.1</w:t>
            </w:r>
          </w:p>
        </w:tc>
        <w:tc>
          <w:tcPr>
            <w:tcW w:w="0" w:type="auto"/>
            <w:shd w:val="clear" w:color="000000" w:fill="FFFFFF"/>
            <w:hideMark/>
          </w:tcPr>
          <w:p w14:paraId="026CD6D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247AFEA0"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1D871805" w14:textId="33D9373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Appeal</w:t>
            </w:r>
            <w:r w:rsidR="00820459">
              <w:rPr>
                <w:rFonts w:ascii="Arial" w:eastAsia="Times New Roman" w:hAnsi="Arial" w:cs="Arial"/>
                <w:kern w:val="0"/>
                <w:sz w:val="20"/>
                <w:szCs w:val="20"/>
                <w14:ligatures w14:val="none"/>
              </w:rPr>
              <w:t>s</w:t>
            </w:r>
            <w:r>
              <w:rPr>
                <w:rFonts w:ascii="Arial" w:eastAsia="Times New Roman" w:hAnsi="Arial" w:cs="Arial"/>
                <w:kern w:val="0"/>
                <w:sz w:val="20"/>
                <w:szCs w:val="20"/>
                <w14:ligatures w14:val="none"/>
              </w:rPr>
              <w:t xml:space="preserve"> Management</w:t>
            </w:r>
          </w:p>
        </w:tc>
        <w:tc>
          <w:tcPr>
            <w:tcW w:w="0" w:type="auto"/>
            <w:shd w:val="clear" w:color="000000" w:fill="002060"/>
            <w:hideMark/>
          </w:tcPr>
          <w:p w14:paraId="62B144C4" w14:textId="15DB4FF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Appeals Management</w:t>
            </w:r>
          </w:p>
        </w:tc>
        <w:tc>
          <w:tcPr>
            <w:tcW w:w="0" w:type="auto"/>
            <w:shd w:val="clear" w:color="000000" w:fill="FFFFFF"/>
            <w:hideMark/>
          </w:tcPr>
          <w:p w14:paraId="45A801F2" w14:textId="1997FE1E"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manages the entire </w:t>
            </w:r>
            <w:proofErr w:type="gramStart"/>
            <w:r>
              <w:rPr>
                <w:rFonts w:ascii="Arial" w:eastAsia="Times New Roman" w:hAnsi="Arial" w:cs="Arial"/>
                <w:color w:val="131314"/>
                <w:kern w:val="0"/>
                <w:sz w:val="20"/>
                <w:szCs w:val="20"/>
                <w14:ligatures w14:val="none"/>
              </w:rPr>
              <w:t>lifecycle</w:t>
            </w:r>
            <w:proofErr w:type="gramEnd"/>
            <w:r>
              <w:rPr>
                <w:rFonts w:ascii="Arial" w:eastAsia="Times New Roman" w:hAnsi="Arial" w:cs="Arial"/>
                <w:color w:val="131314"/>
                <w:kern w:val="0"/>
                <w:sz w:val="20"/>
                <w:szCs w:val="20"/>
                <w14:ligatures w14:val="none"/>
              </w:rPr>
              <w:t xml:space="preserve"> of consumer appeals, from creating new cases and processing them through resolution, ensuring policies and procedures are correctly leveraged and enforced. </w:t>
            </w:r>
          </w:p>
        </w:tc>
      </w:tr>
      <w:tr w:rsidR="000A24CD" w14:paraId="56B60DB9" w14:textId="77777777" w:rsidTr="00CA318C">
        <w:trPr>
          <w:trHeight w:val="520"/>
        </w:trPr>
        <w:tc>
          <w:tcPr>
            <w:tcW w:w="0" w:type="auto"/>
            <w:noWrap/>
            <w:hideMark/>
          </w:tcPr>
          <w:p w14:paraId="41A13101" w14:textId="51B7A28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86</w:t>
            </w:r>
          </w:p>
        </w:tc>
        <w:tc>
          <w:tcPr>
            <w:tcW w:w="0" w:type="auto"/>
            <w:noWrap/>
            <w:hideMark/>
          </w:tcPr>
          <w:p w14:paraId="5FE1DD6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CM-2.2</w:t>
            </w:r>
          </w:p>
        </w:tc>
        <w:tc>
          <w:tcPr>
            <w:tcW w:w="0" w:type="auto"/>
            <w:shd w:val="clear" w:color="000000" w:fill="FFFFFF"/>
            <w:hideMark/>
          </w:tcPr>
          <w:p w14:paraId="76F6F9A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7BD36715"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7826897C" w14:textId="2F2736C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Appeal</w:t>
            </w:r>
            <w:r w:rsidR="00820459">
              <w:rPr>
                <w:rFonts w:ascii="Arial" w:eastAsia="Times New Roman" w:hAnsi="Arial" w:cs="Arial"/>
                <w:kern w:val="0"/>
                <w:sz w:val="20"/>
                <w:szCs w:val="20"/>
                <w14:ligatures w14:val="none"/>
              </w:rPr>
              <w:t>s</w:t>
            </w:r>
            <w:r>
              <w:rPr>
                <w:rFonts w:ascii="Arial" w:eastAsia="Times New Roman" w:hAnsi="Arial" w:cs="Arial"/>
                <w:kern w:val="0"/>
                <w:sz w:val="20"/>
                <w:szCs w:val="20"/>
                <w14:ligatures w14:val="none"/>
              </w:rPr>
              <w:t xml:space="preserve"> Management</w:t>
            </w:r>
          </w:p>
        </w:tc>
        <w:tc>
          <w:tcPr>
            <w:tcW w:w="0" w:type="auto"/>
            <w:shd w:val="clear" w:color="000000" w:fill="002060"/>
            <w:hideMark/>
          </w:tcPr>
          <w:p w14:paraId="797559CC" w14:textId="0CE3D5A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Case Information Access</w:t>
            </w:r>
          </w:p>
        </w:tc>
        <w:tc>
          <w:tcPr>
            <w:tcW w:w="0" w:type="auto"/>
            <w:shd w:val="clear" w:color="000000" w:fill="FFFFFF"/>
            <w:hideMark/>
          </w:tcPr>
          <w:p w14:paraId="2602DBC6"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allows authorized users to securely access all consumer information, including eli</w:t>
            </w:r>
            <w:r>
              <w:rPr>
                <w:rFonts w:ascii="Arial" w:eastAsia="Times New Roman" w:hAnsi="Arial" w:cs="Arial"/>
                <w:color w:val="131314"/>
                <w:kern w:val="0"/>
                <w:sz w:val="20"/>
                <w:szCs w:val="20"/>
                <w14:ligatures w14:val="none"/>
              </w:rPr>
              <w:t xml:space="preserve">gibility, enrollment verification, and supporting documentation. </w:t>
            </w:r>
          </w:p>
        </w:tc>
      </w:tr>
      <w:tr w:rsidR="000A24CD" w14:paraId="3CC0FB87" w14:textId="77777777" w:rsidTr="00CA318C">
        <w:trPr>
          <w:trHeight w:val="520"/>
        </w:trPr>
        <w:tc>
          <w:tcPr>
            <w:tcW w:w="0" w:type="auto"/>
            <w:noWrap/>
            <w:hideMark/>
          </w:tcPr>
          <w:p w14:paraId="21396766" w14:textId="1B88977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87</w:t>
            </w:r>
          </w:p>
        </w:tc>
        <w:tc>
          <w:tcPr>
            <w:tcW w:w="0" w:type="auto"/>
            <w:noWrap/>
            <w:hideMark/>
          </w:tcPr>
          <w:p w14:paraId="32406AD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CM-2.3</w:t>
            </w:r>
          </w:p>
        </w:tc>
        <w:tc>
          <w:tcPr>
            <w:tcW w:w="0" w:type="auto"/>
            <w:shd w:val="clear" w:color="000000" w:fill="FFFFFF"/>
            <w:hideMark/>
          </w:tcPr>
          <w:p w14:paraId="6C4F186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316771D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68874A40" w14:textId="0E6C6FC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Appeal</w:t>
            </w:r>
            <w:r w:rsidR="00820459">
              <w:rPr>
                <w:rFonts w:ascii="Arial" w:eastAsia="Times New Roman" w:hAnsi="Arial" w:cs="Arial"/>
                <w:kern w:val="0"/>
                <w:sz w:val="20"/>
                <w:szCs w:val="20"/>
                <w14:ligatures w14:val="none"/>
              </w:rPr>
              <w:t>s</w:t>
            </w:r>
            <w:r>
              <w:rPr>
                <w:rFonts w:ascii="Arial" w:eastAsia="Times New Roman" w:hAnsi="Arial" w:cs="Arial"/>
                <w:kern w:val="0"/>
                <w:sz w:val="20"/>
                <w:szCs w:val="20"/>
                <w14:ligatures w14:val="none"/>
              </w:rPr>
              <w:t xml:space="preserve"> Management</w:t>
            </w:r>
          </w:p>
        </w:tc>
        <w:tc>
          <w:tcPr>
            <w:tcW w:w="0" w:type="auto"/>
            <w:shd w:val="clear" w:color="000000" w:fill="002060"/>
            <w:hideMark/>
          </w:tcPr>
          <w:p w14:paraId="293870D6" w14:textId="6226F58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Documents Export</w:t>
            </w:r>
          </w:p>
        </w:tc>
        <w:tc>
          <w:tcPr>
            <w:tcW w:w="0" w:type="auto"/>
            <w:shd w:val="clear" w:color="000000" w:fill="FFFFFF"/>
            <w:hideMark/>
          </w:tcPr>
          <w:p w14:paraId="754D97AF" w14:textId="15131B2C"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provides the functionality to generate and securely export/transmit relevant documents to authorized users, such as workers and appeal specialists.</w:t>
            </w:r>
          </w:p>
        </w:tc>
      </w:tr>
      <w:tr w:rsidR="000A24CD" w14:paraId="6304958E" w14:textId="77777777" w:rsidTr="00CA318C">
        <w:trPr>
          <w:trHeight w:val="520"/>
        </w:trPr>
        <w:tc>
          <w:tcPr>
            <w:tcW w:w="0" w:type="auto"/>
            <w:noWrap/>
            <w:hideMark/>
          </w:tcPr>
          <w:p w14:paraId="527E33B2" w14:textId="0BA7668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88</w:t>
            </w:r>
          </w:p>
        </w:tc>
        <w:tc>
          <w:tcPr>
            <w:tcW w:w="0" w:type="auto"/>
            <w:noWrap/>
            <w:hideMark/>
          </w:tcPr>
          <w:p w14:paraId="4E9222B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CM-2.4</w:t>
            </w:r>
          </w:p>
        </w:tc>
        <w:tc>
          <w:tcPr>
            <w:tcW w:w="0" w:type="auto"/>
            <w:shd w:val="clear" w:color="000000" w:fill="FFFFFF"/>
            <w:hideMark/>
          </w:tcPr>
          <w:p w14:paraId="574A5AE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5A8F7337"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4C43F081" w14:textId="710984E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Appeal</w:t>
            </w:r>
            <w:r w:rsidR="00820459">
              <w:rPr>
                <w:rFonts w:ascii="Arial" w:eastAsia="Times New Roman" w:hAnsi="Arial" w:cs="Arial"/>
                <w:kern w:val="0"/>
                <w:sz w:val="20"/>
                <w:szCs w:val="20"/>
                <w14:ligatures w14:val="none"/>
              </w:rPr>
              <w:t>s</w:t>
            </w:r>
            <w:r>
              <w:rPr>
                <w:rFonts w:ascii="Arial" w:eastAsia="Times New Roman" w:hAnsi="Arial" w:cs="Arial"/>
                <w:kern w:val="0"/>
                <w:sz w:val="20"/>
                <w:szCs w:val="20"/>
                <w14:ligatures w14:val="none"/>
              </w:rPr>
              <w:t xml:space="preserve"> Management</w:t>
            </w:r>
          </w:p>
        </w:tc>
        <w:tc>
          <w:tcPr>
            <w:tcW w:w="0" w:type="auto"/>
            <w:shd w:val="clear" w:color="000000" w:fill="002060"/>
            <w:hideMark/>
          </w:tcPr>
          <w:p w14:paraId="656E5170" w14:textId="30156BB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Outcome to Case / Application Data Linkage</w:t>
            </w:r>
          </w:p>
        </w:tc>
        <w:tc>
          <w:tcPr>
            <w:tcW w:w="0" w:type="auto"/>
            <w:shd w:val="clear" w:color="000000" w:fill="FFFFFF"/>
            <w:hideMark/>
          </w:tcPr>
          <w:p w14:paraId="543727F4" w14:textId="185C874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enables the linking of appeal outcomes to the case/application, tracking of adjournment </w:t>
            </w:r>
            <w:r>
              <w:rPr>
                <w:rFonts w:ascii="Arial" w:eastAsia="Times New Roman" w:hAnsi="Arial" w:cs="Arial"/>
                <w:color w:val="131314"/>
                <w:kern w:val="0"/>
                <w:sz w:val="20"/>
                <w:szCs w:val="20"/>
                <w14:ligatures w14:val="none"/>
              </w:rPr>
              <w:t xml:space="preserve">requests, and triggering any associated actions in follow up of the Appeals recorded outcomes. </w:t>
            </w:r>
          </w:p>
        </w:tc>
      </w:tr>
      <w:tr w:rsidR="000A24CD" w14:paraId="072C7495" w14:textId="77777777" w:rsidTr="00CA318C">
        <w:trPr>
          <w:trHeight w:val="530"/>
        </w:trPr>
        <w:tc>
          <w:tcPr>
            <w:tcW w:w="0" w:type="auto"/>
            <w:noWrap/>
            <w:hideMark/>
          </w:tcPr>
          <w:p w14:paraId="41EA413A" w14:textId="40D20C12"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89</w:t>
            </w:r>
          </w:p>
        </w:tc>
        <w:tc>
          <w:tcPr>
            <w:tcW w:w="0" w:type="auto"/>
            <w:noWrap/>
            <w:hideMark/>
          </w:tcPr>
          <w:p w14:paraId="52D5235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CM-2.5</w:t>
            </w:r>
          </w:p>
        </w:tc>
        <w:tc>
          <w:tcPr>
            <w:tcW w:w="0" w:type="auto"/>
            <w:shd w:val="clear" w:color="000000" w:fill="FFFFFF"/>
            <w:hideMark/>
          </w:tcPr>
          <w:p w14:paraId="55B98F3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4AB7AC7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0360EEC9" w14:textId="153B862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Appeal</w:t>
            </w:r>
            <w:r w:rsidR="00820459">
              <w:rPr>
                <w:rFonts w:ascii="Arial" w:eastAsia="Times New Roman" w:hAnsi="Arial" w:cs="Arial"/>
                <w:kern w:val="0"/>
                <w:sz w:val="20"/>
                <w:szCs w:val="20"/>
                <w14:ligatures w14:val="none"/>
              </w:rPr>
              <w:t>s</w:t>
            </w:r>
            <w:r>
              <w:rPr>
                <w:rFonts w:ascii="Arial" w:eastAsia="Times New Roman" w:hAnsi="Arial" w:cs="Arial"/>
                <w:kern w:val="0"/>
                <w:sz w:val="20"/>
                <w:szCs w:val="20"/>
                <w14:ligatures w14:val="none"/>
              </w:rPr>
              <w:t xml:space="preserve"> Management</w:t>
            </w:r>
          </w:p>
        </w:tc>
        <w:tc>
          <w:tcPr>
            <w:tcW w:w="0" w:type="auto"/>
            <w:shd w:val="clear" w:color="000000" w:fill="002060"/>
            <w:hideMark/>
          </w:tcPr>
          <w:p w14:paraId="38B5516A" w14:textId="5525D80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Cases / Applications Tracking</w:t>
            </w:r>
          </w:p>
        </w:tc>
        <w:tc>
          <w:tcPr>
            <w:tcW w:w="0" w:type="auto"/>
            <w:shd w:val="clear" w:color="000000" w:fill="FFFFFF"/>
            <w:hideMark/>
          </w:tcPr>
          <w:p w14:paraId="1F01126C" w14:textId="44087F94"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provides authorized users, such as the consumer, workers and appeal specialists, with the ability to monitor the real-time status and progress of cases or applications actively undergoing the appeal process.</w:t>
            </w:r>
          </w:p>
        </w:tc>
      </w:tr>
      <w:tr w:rsidR="000A24CD" w14:paraId="401AB379" w14:textId="77777777" w:rsidTr="00CA318C">
        <w:trPr>
          <w:trHeight w:val="540"/>
        </w:trPr>
        <w:tc>
          <w:tcPr>
            <w:tcW w:w="0" w:type="auto"/>
            <w:noWrap/>
            <w:hideMark/>
          </w:tcPr>
          <w:p w14:paraId="4F812636" w14:textId="27DDFF1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90</w:t>
            </w:r>
          </w:p>
        </w:tc>
        <w:tc>
          <w:tcPr>
            <w:tcW w:w="0" w:type="auto"/>
            <w:noWrap/>
            <w:hideMark/>
          </w:tcPr>
          <w:p w14:paraId="28A3B44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CM-3.1</w:t>
            </w:r>
          </w:p>
        </w:tc>
        <w:tc>
          <w:tcPr>
            <w:tcW w:w="0" w:type="auto"/>
            <w:shd w:val="clear" w:color="000000" w:fill="FFFFFF"/>
            <w:hideMark/>
          </w:tcPr>
          <w:p w14:paraId="2B48707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150E9F0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6CF7B2A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Consumer Information Management</w:t>
            </w:r>
          </w:p>
        </w:tc>
        <w:tc>
          <w:tcPr>
            <w:tcW w:w="0" w:type="auto"/>
            <w:shd w:val="clear" w:color="000000" w:fill="002060"/>
            <w:hideMark/>
          </w:tcPr>
          <w:p w14:paraId="758E563C" w14:textId="0A9071D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Information Creation</w:t>
            </w:r>
          </w:p>
        </w:tc>
        <w:tc>
          <w:tcPr>
            <w:tcW w:w="0" w:type="auto"/>
            <w:shd w:val="clear" w:color="000000" w:fill="FFFFFF"/>
            <w:hideMark/>
          </w:tcPr>
          <w:p w14:paraId="708F2F69"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w:t>
            </w:r>
            <w:r>
              <w:rPr>
                <w:rFonts w:ascii="Arial" w:eastAsia="Times New Roman" w:hAnsi="Arial" w:cs="Arial"/>
                <w:color w:val="131314"/>
                <w:kern w:val="0"/>
                <w:sz w:val="20"/>
                <w:szCs w:val="20"/>
                <w14:ligatures w14:val="none"/>
              </w:rPr>
              <w:t xml:space="preserve">his capability establishes new consumer records and associated case participant records across Medicaid, QHP, and SHOP programs. It also governs merging consumer records </w:t>
            </w:r>
          </w:p>
        </w:tc>
      </w:tr>
      <w:tr w:rsidR="000A24CD" w14:paraId="1EDD0388" w14:textId="77777777" w:rsidTr="00CA318C">
        <w:trPr>
          <w:trHeight w:val="780"/>
        </w:trPr>
        <w:tc>
          <w:tcPr>
            <w:tcW w:w="0" w:type="auto"/>
            <w:noWrap/>
            <w:hideMark/>
          </w:tcPr>
          <w:p w14:paraId="5B640B30" w14:textId="626D414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91</w:t>
            </w:r>
          </w:p>
        </w:tc>
        <w:tc>
          <w:tcPr>
            <w:tcW w:w="0" w:type="auto"/>
            <w:noWrap/>
            <w:hideMark/>
          </w:tcPr>
          <w:p w14:paraId="280E0F4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CM-3.2</w:t>
            </w:r>
          </w:p>
        </w:tc>
        <w:tc>
          <w:tcPr>
            <w:tcW w:w="0" w:type="auto"/>
            <w:shd w:val="clear" w:color="000000" w:fill="FFFFFF"/>
            <w:hideMark/>
          </w:tcPr>
          <w:p w14:paraId="3E6DAEC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10D7C04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3FF8E49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Consumer Information Management</w:t>
            </w:r>
          </w:p>
        </w:tc>
        <w:tc>
          <w:tcPr>
            <w:tcW w:w="0" w:type="auto"/>
            <w:shd w:val="clear" w:color="000000" w:fill="002060"/>
            <w:hideMark/>
          </w:tcPr>
          <w:p w14:paraId="4A65A163" w14:textId="146EA67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Information Management</w:t>
            </w:r>
          </w:p>
        </w:tc>
        <w:tc>
          <w:tcPr>
            <w:tcW w:w="0" w:type="auto"/>
            <w:shd w:val="clear" w:color="000000" w:fill="FFFFFF"/>
            <w:hideMark/>
          </w:tcPr>
          <w:p w14:paraId="37ED1F78"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governs and maintains comprehensive, ongoing consumer data (demographics, contacts, preferences, delegates) across Medicaid, QHP, and SHOP programs, managing updates, corrections, preferences and consent for all relevant </w:t>
            </w:r>
            <w:r>
              <w:rPr>
                <w:rFonts w:ascii="Arial" w:eastAsia="Times New Roman" w:hAnsi="Arial" w:cs="Arial"/>
                <w:color w:val="131314"/>
                <w:kern w:val="0"/>
                <w:sz w:val="20"/>
                <w:szCs w:val="20"/>
                <w14:ligatures w14:val="none"/>
              </w:rPr>
              <w:t>consumer information.</w:t>
            </w:r>
          </w:p>
        </w:tc>
      </w:tr>
      <w:tr w:rsidR="000A24CD" w14:paraId="460D58A3" w14:textId="77777777" w:rsidTr="00CA318C">
        <w:trPr>
          <w:trHeight w:val="520"/>
        </w:trPr>
        <w:tc>
          <w:tcPr>
            <w:tcW w:w="0" w:type="auto"/>
            <w:noWrap/>
            <w:hideMark/>
          </w:tcPr>
          <w:p w14:paraId="1FDD3015" w14:textId="73F4593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92</w:t>
            </w:r>
          </w:p>
        </w:tc>
        <w:tc>
          <w:tcPr>
            <w:tcW w:w="0" w:type="auto"/>
            <w:noWrap/>
            <w:hideMark/>
          </w:tcPr>
          <w:p w14:paraId="038A478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CM-3.3</w:t>
            </w:r>
          </w:p>
        </w:tc>
        <w:tc>
          <w:tcPr>
            <w:tcW w:w="0" w:type="auto"/>
            <w:shd w:val="clear" w:color="000000" w:fill="FFFFFF"/>
            <w:hideMark/>
          </w:tcPr>
          <w:p w14:paraId="6AE7053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3BBF325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30FC2CD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Consumer Information Management</w:t>
            </w:r>
          </w:p>
        </w:tc>
        <w:tc>
          <w:tcPr>
            <w:tcW w:w="0" w:type="auto"/>
            <w:shd w:val="clear" w:color="000000" w:fill="002060"/>
            <w:hideMark/>
          </w:tcPr>
          <w:p w14:paraId="55522FFE" w14:textId="000EE80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Information Access</w:t>
            </w:r>
          </w:p>
        </w:tc>
        <w:tc>
          <w:tcPr>
            <w:tcW w:w="0" w:type="auto"/>
            <w:shd w:val="clear" w:color="000000" w:fill="FFFFFF"/>
            <w:hideMark/>
          </w:tcPr>
          <w:p w14:paraId="4D07F9F7"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locates and retrieves specific consumer information from accessible electronic resources in response to authorized requests, preparing comprehensive data sets while adhering to strict access control rules for Medicaid, QHP, and SHOP programs.</w:t>
            </w:r>
          </w:p>
        </w:tc>
      </w:tr>
      <w:tr w:rsidR="000A24CD" w14:paraId="523D97DE" w14:textId="77777777" w:rsidTr="00CA318C">
        <w:trPr>
          <w:trHeight w:val="1040"/>
        </w:trPr>
        <w:tc>
          <w:tcPr>
            <w:tcW w:w="0" w:type="auto"/>
            <w:noWrap/>
            <w:hideMark/>
          </w:tcPr>
          <w:p w14:paraId="090E523D" w14:textId="56E8EB3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93</w:t>
            </w:r>
          </w:p>
        </w:tc>
        <w:tc>
          <w:tcPr>
            <w:tcW w:w="0" w:type="auto"/>
            <w:noWrap/>
            <w:hideMark/>
          </w:tcPr>
          <w:p w14:paraId="0575ACA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CM-3.4</w:t>
            </w:r>
          </w:p>
        </w:tc>
        <w:tc>
          <w:tcPr>
            <w:tcW w:w="0" w:type="auto"/>
            <w:shd w:val="clear" w:color="000000" w:fill="FFFFFF"/>
            <w:hideMark/>
          </w:tcPr>
          <w:p w14:paraId="0E6D48E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11919AC9"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19EBC99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Consumer Information Management</w:t>
            </w:r>
          </w:p>
        </w:tc>
        <w:tc>
          <w:tcPr>
            <w:tcW w:w="0" w:type="auto"/>
            <w:shd w:val="clear" w:color="000000" w:fill="002060"/>
            <w:hideMark/>
          </w:tcPr>
          <w:p w14:paraId="05A18505" w14:textId="4093F16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Card Information Sharing</w:t>
            </w:r>
          </w:p>
        </w:tc>
        <w:tc>
          <w:tcPr>
            <w:tcW w:w="0" w:type="auto"/>
            <w:shd w:val="clear" w:color="000000" w:fill="FFFFFF"/>
            <w:hideMark/>
          </w:tcPr>
          <w:p w14:paraId="2078B828"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For Medicaid consumers, t</w:t>
            </w:r>
            <w:r>
              <w:rPr>
                <w:rFonts w:ascii="Arial" w:eastAsia="Times New Roman" w:hAnsi="Arial" w:cs="Arial"/>
                <w:color w:val="131314"/>
                <w:kern w:val="0"/>
                <w:sz w:val="20"/>
                <w:szCs w:val="20"/>
                <w14:ligatures w14:val="none"/>
              </w:rPr>
              <w:t>his capability facilitates the sharing of relevant consumer and case information with external entities responsible for benefit card processing and issuance, including managing Medicaid benefit cards. For QHP/SHOP, this capability highlights the need to exchange minimal card metadata with Carriers/Issuers as they are the system or record for QHP / SHOP consumers' ID cards.</w:t>
            </w:r>
          </w:p>
        </w:tc>
      </w:tr>
      <w:tr w:rsidR="000A24CD" w14:paraId="6704505A" w14:textId="77777777" w:rsidTr="00CA318C">
        <w:trPr>
          <w:trHeight w:val="780"/>
        </w:trPr>
        <w:tc>
          <w:tcPr>
            <w:tcW w:w="0" w:type="auto"/>
            <w:noWrap/>
            <w:hideMark/>
          </w:tcPr>
          <w:p w14:paraId="1FF8087A" w14:textId="069FBBEE"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94</w:t>
            </w:r>
          </w:p>
        </w:tc>
        <w:tc>
          <w:tcPr>
            <w:tcW w:w="0" w:type="auto"/>
            <w:noWrap/>
            <w:hideMark/>
          </w:tcPr>
          <w:p w14:paraId="0969E83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CM-3.5</w:t>
            </w:r>
          </w:p>
        </w:tc>
        <w:tc>
          <w:tcPr>
            <w:tcW w:w="0" w:type="auto"/>
            <w:shd w:val="clear" w:color="000000" w:fill="FFFFFF"/>
            <w:hideMark/>
          </w:tcPr>
          <w:p w14:paraId="3EFE732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42946B98"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52F08A8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Consumer Information Management</w:t>
            </w:r>
          </w:p>
        </w:tc>
        <w:tc>
          <w:tcPr>
            <w:tcW w:w="0" w:type="auto"/>
            <w:shd w:val="clear" w:color="000000" w:fill="002060"/>
            <w:hideMark/>
          </w:tcPr>
          <w:p w14:paraId="70FFFF03" w14:textId="38F95AF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Registry Management</w:t>
            </w:r>
          </w:p>
        </w:tc>
        <w:tc>
          <w:tcPr>
            <w:tcW w:w="0" w:type="auto"/>
            <w:shd w:val="clear" w:color="000000" w:fill="FFFFFF"/>
            <w:hideMark/>
          </w:tcPr>
          <w:p w14:paraId="27E71459"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specific consumer re</w:t>
            </w:r>
            <w:r>
              <w:rPr>
                <w:rFonts w:ascii="Arial" w:eastAsia="Times New Roman" w:hAnsi="Arial" w:cs="Arial"/>
                <w:color w:val="131314"/>
                <w:kern w:val="0"/>
                <w:sz w:val="20"/>
                <w:szCs w:val="20"/>
                <w14:ligatures w14:val="none"/>
              </w:rPr>
              <w:t>gistries (e.g., immunization, cancer, certain diseases) by receiving information on health outcome, identity information. This capability is responsible for processing updates to registries, performing deduplication, adding/removing/updating relationships across Medicaid, QHP, and SHOP programs.</w:t>
            </w:r>
          </w:p>
        </w:tc>
      </w:tr>
      <w:tr w:rsidR="000A24CD" w14:paraId="37003103" w14:textId="77777777" w:rsidTr="00CA318C">
        <w:trPr>
          <w:trHeight w:val="530"/>
        </w:trPr>
        <w:tc>
          <w:tcPr>
            <w:tcW w:w="0" w:type="auto"/>
            <w:noWrap/>
            <w:hideMark/>
          </w:tcPr>
          <w:p w14:paraId="2B8B8B7A" w14:textId="5122ECA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95</w:t>
            </w:r>
          </w:p>
        </w:tc>
        <w:tc>
          <w:tcPr>
            <w:tcW w:w="0" w:type="auto"/>
            <w:noWrap/>
            <w:hideMark/>
          </w:tcPr>
          <w:p w14:paraId="237287B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CM-3.6</w:t>
            </w:r>
          </w:p>
        </w:tc>
        <w:tc>
          <w:tcPr>
            <w:tcW w:w="0" w:type="auto"/>
            <w:shd w:val="clear" w:color="000000" w:fill="FFFFFF"/>
            <w:hideMark/>
          </w:tcPr>
          <w:p w14:paraId="7BCC1F8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60E2B83D"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74C2E48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Consumer Information Management</w:t>
            </w:r>
          </w:p>
        </w:tc>
        <w:tc>
          <w:tcPr>
            <w:tcW w:w="0" w:type="auto"/>
            <w:shd w:val="clear" w:color="000000" w:fill="002060"/>
            <w:hideMark/>
          </w:tcPr>
          <w:p w14:paraId="73C63694" w14:textId="49B5D23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Communication Management</w:t>
            </w:r>
          </w:p>
        </w:tc>
        <w:tc>
          <w:tcPr>
            <w:tcW w:w="0" w:type="auto"/>
            <w:shd w:val="clear" w:color="000000" w:fill="FFFFFF"/>
            <w:hideMark/>
          </w:tcPr>
          <w:p w14:paraId="1628D1AA" w14:textId="5F4E00A3"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 xml:space="preserve">This capability manages historical communication records within a shared repository, enabling consistent use </w:t>
            </w:r>
            <w:r>
              <w:rPr>
                <w:rFonts w:ascii="Arial" w:eastAsia="Times New Roman" w:hAnsi="Arial" w:cs="Arial"/>
                <w:color w:val="131314"/>
                <w:kern w:val="0"/>
                <w:sz w:val="20"/>
                <w:szCs w:val="20"/>
                <w14:ligatures w14:val="none"/>
              </w:rPr>
              <w:t>and access across multiple programs, and systems for efficient stakeholder interaction.</w:t>
            </w:r>
          </w:p>
        </w:tc>
      </w:tr>
      <w:tr w:rsidR="000A24CD" w14:paraId="48F79A7B" w14:textId="77777777" w:rsidTr="00CA318C">
        <w:trPr>
          <w:trHeight w:val="290"/>
        </w:trPr>
        <w:tc>
          <w:tcPr>
            <w:tcW w:w="0" w:type="auto"/>
            <w:noWrap/>
            <w:hideMark/>
          </w:tcPr>
          <w:p w14:paraId="1D651A28" w14:textId="4E7B4EB2"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96</w:t>
            </w:r>
          </w:p>
        </w:tc>
        <w:tc>
          <w:tcPr>
            <w:tcW w:w="0" w:type="auto"/>
            <w:noWrap/>
            <w:hideMark/>
          </w:tcPr>
          <w:p w14:paraId="4AA930B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CM-4.1</w:t>
            </w:r>
          </w:p>
        </w:tc>
        <w:tc>
          <w:tcPr>
            <w:tcW w:w="0" w:type="auto"/>
            <w:shd w:val="clear" w:color="000000" w:fill="FFFFFF"/>
            <w:hideMark/>
          </w:tcPr>
          <w:p w14:paraId="57BFDC6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76779DDB"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65EFC21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Case Information Management</w:t>
            </w:r>
          </w:p>
        </w:tc>
        <w:tc>
          <w:tcPr>
            <w:tcW w:w="0" w:type="auto"/>
            <w:shd w:val="clear" w:color="000000" w:fill="002060"/>
            <w:hideMark/>
          </w:tcPr>
          <w:p w14:paraId="39F68736" w14:textId="6B86E89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Case Establishment</w:t>
            </w:r>
          </w:p>
        </w:tc>
        <w:tc>
          <w:tcPr>
            <w:tcW w:w="0" w:type="auto"/>
            <w:shd w:val="clear" w:color="000000" w:fill="FFFFFF"/>
            <w:hideMark/>
          </w:tcPr>
          <w:p w14:paraId="41ADF0B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focuses on the initial creation and setup of a case record for a consumer or group of consumers.</w:t>
            </w:r>
          </w:p>
        </w:tc>
      </w:tr>
      <w:tr w:rsidR="000A24CD" w14:paraId="513EFB5E" w14:textId="77777777" w:rsidTr="00CA318C">
        <w:trPr>
          <w:trHeight w:val="520"/>
        </w:trPr>
        <w:tc>
          <w:tcPr>
            <w:tcW w:w="0" w:type="auto"/>
            <w:noWrap/>
            <w:hideMark/>
          </w:tcPr>
          <w:p w14:paraId="5DEE34E7" w14:textId="3194DDB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97</w:t>
            </w:r>
          </w:p>
        </w:tc>
        <w:tc>
          <w:tcPr>
            <w:tcW w:w="0" w:type="auto"/>
            <w:noWrap/>
            <w:hideMark/>
          </w:tcPr>
          <w:p w14:paraId="1670620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CM-4.2</w:t>
            </w:r>
          </w:p>
        </w:tc>
        <w:tc>
          <w:tcPr>
            <w:tcW w:w="0" w:type="auto"/>
            <w:shd w:val="clear" w:color="000000" w:fill="FFFFFF"/>
            <w:hideMark/>
          </w:tcPr>
          <w:p w14:paraId="706E684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56A39102"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5BFEE77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Case Information Management</w:t>
            </w:r>
          </w:p>
        </w:tc>
        <w:tc>
          <w:tcPr>
            <w:tcW w:w="0" w:type="auto"/>
            <w:shd w:val="clear" w:color="000000" w:fill="002060"/>
            <w:hideMark/>
          </w:tcPr>
          <w:p w14:paraId="5D03D0F2" w14:textId="370A83A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Change of Circumstances Processing</w:t>
            </w:r>
          </w:p>
        </w:tc>
        <w:tc>
          <w:tcPr>
            <w:tcW w:w="0" w:type="auto"/>
            <w:shd w:val="clear" w:color="000000" w:fill="FFFFFF"/>
            <w:hideMark/>
          </w:tcPr>
          <w:p w14:paraId="7673BDA3"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processes changes in consumer circumstances or life events that may impact their case, potentially trigge</w:t>
            </w:r>
            <w:r>
              <w:rPr>
                <w:rFonts w:ascii="Arial" w:eastAsia="Times New Roman" w:hAnsi="Arial" w:cs="Arial"/>
                <w:color w:val="131314"/>
                <w:kern w:val="0"/>
                <w:sz w:val="20"/>
                <w:szCs w:val="20"/>
                <w14:ligatures w14:val="none"/>
              </w:rPr>
              <w:t>ring a re-eligibility determination.</w:t>
            </w:r>
          </w:p>
        </w:tc>
      </w:tr>
      <w:tr w:rsidR="000A24CD" w14:paraId="4DC0F85C" w14:textId="77777777" w:rsidTr="00CA318C">
        <w:trPr>
          <w:trHeight w:val="520"/>
        </w:trPr>
        <w:tc>
          <w:tcPr>
            <w:tcW w:w="0" w:type="auto"/>
            <w:noWrap/>
            <w:hideMark/>
          </w:tcPr>
          <w:p w14:paraId="783E2760" w14:textId="2968A2A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98</w:t>
            </w:r>
          </w:p>
        </w:tc>
        <w:tc>
          <w:tcPr>
            <w:tcW w:w="0" w:type="auto"/>
            <w:noWrap/>
            <w:hideMark/>
          </w:tcPr>
          <w:p w14:paraId="0379931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CM-4.3</w:t>
            </w:r>
          </w:p>
        </w:tc>
        <w:tc>
          <w:tcPr>
            <w:tcW w:w="0" w:type="auto"/>
            <w:shd w:val="clear" w:color="000000" w:fill="FFFFFF"/>
            <w:hideMark/>
          </w:tcPr>
          <w:p w14:paraId="6A0CFE6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0F8954F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228E735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Case Information Management</w:t>
            </w:r>
          </w:p>
        </w:tc>
        <w:tc>
          <w:tcPr>
            <w:tcW w:w="0" w:type="auto"/>
            <w:shd w:val="clear" w:color="000000" w:fill="002060"/>
            <w:hideMark/>
          </w:tcPr>
          <w:p w14:paraId="4DEC5727" w14:textId="2E341751"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Authorized Representative Management</w:t>
            </w:r>
          </w:p>
        </w:tc>
        <w:tc>
          <w:tcPr>
            <w:tcW w:w="0" w:type="auto"/>
            <w:shd w:val="clear" w:color="000000" w:fill="FFFFFF"/>
            <w:hideMark/>
          </w:tcPr>
          <w:p w14:paraId="7ED85EFC"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allows authorized users (applicants, consumers, or workers) to add, modify, or revoke authorized representatives associated with a case, thereby managing access and permissions for case information.</w:t>
            </w:r>
          </w:p>
        </w:tc>
      </w:tr>
      <w:tr w:rsidR="000A24CD" w14:paraId="59A787C7" w14:textId="77777777" w:rsidTr="00CA318C">
        <w:trPr>
          <w:trHeight w:val="810"/>
        </w:trPr>
        <w:tc>
          <w:tcPr>
            <w:tcW w:w="0" w:type="auto"/>
            <w:noWrap/>
            <w:hideMark/>
          </w:tcPr>
          <w:p w14:paraId="7F04C35A" w14:textId="1F6F3893"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99</w:t>
            </w:r>
          </w:p>
        </w:tc>
        <w:tc>
          <w:tcPr>
            <w:tcW w:w="0" w:type="auto"/>
            <w:noWrap/>
            <w:hideMark/>
          </w:tcPr>
          <w:p w14:paraId="74C73D0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CM-4.4</w:t>
            </w:r>
          </w:p>
        </w:tc>
        <w:tc>
          <w:tcPr>
            <w:tcW w:w="0" w:type="auto"/>
            <w:shd w:val="clear" w:color="000000" w:fill="FFFFFF"/>
            <w:hideMark/>
          </w:tcPr>
          <w:p w14:paraId="1A7DB7D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6401D19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34D3B4E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Case Information Management</w:t>
            </w:r>
          </w:p>
        </w:tc>
        <w:tc>
          <w:tcPr>
            <w:tcW w:w="0" w:type="auto"/>
            <w:shd w:val="clear" w:color="000000" w:fill="002060"/>
            <w:hideMark/>
          </w:tcPr>
          <w:p w14:paraId="38CFCA39" w14:textId="08DA111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Case Information Management</w:t>
            </w:r>
          </w:p>
        </w:tc>
        <w:tc>
          <w:tcPr>
            <w:tcW w:w="0" w:type="auto"/>
            <w:shd w:val="clear" w:color="000000" w:fill="FFFFFF"/>
            <w:hideMark/>
          </w:tcPr>
          <w:p w14:paraId="168DD16A"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comprehensively manages the collection, upd</w:t>
            </w:r>
            <w:r>
              <w:rPr>
                <w:rFonts w:ascii="Arial" w:eastAsia="Times New Roman" w:hAnsi="Arial" w:cs="Arial"/>
                <w:color w:val="131314"/>
                <w:kern w:val="0"/>
                <w:sz w:val="20"/>
                <w:szCs w:val="20"/>
                <w14:ligatures w14:val="none"/>
              </w:rPr>
              <w:t>ating, sharing, and organization of all case-related data and documents, creating a complete case portfolio for each consumer. Includes functionalities for uploading, categorizing, indexing, and secure access.</w:t>
            </w:r>
          </w:p>
        </w:tc>
      </w:tr>
      <w:tr w:rsidR="000A24CD" w14:paraId="4BC117D7" w14:textId="77777777" w:rsidTr="00CA318C">
        <w:trPr>
          <w:trHeight w:val="520"/>
        </w:trPr>
        <w:tc>
          <w:tcPr>
            <w:tcW w:w="0" w:type="auto"/>
            <w:noWrap/>
            <w:hideMark/>
          </w:tcPr>
          <w:p w14:paraId="0B10C6F2" w14:textId="30CE168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100</w:t>
            </w:r>
          </w:p>
        </w:tc>
        <w:tc>
          <w:tcPr>
            <w:tcW w:w="0" w:type="auto"/>
            <w:noWrap/>
            <w:hideMark/>
          </w:tcPr>
          <w:p w14:paraId="1DACE9B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CM-4.5</w:t>
            </w:r>
          </w:p>
        </w:tc>
        <w:tc>
          <w:tcPr>
            <w:tcW w:w="0" w:type="auto"/>
            <w:shd w:val="clear" w:color="000000" w:fill="FFFFFF"/>
            <w:hideMark/>
          </w:tcPr>
          <w:p w14:paraId="0D8FB78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5D7F7A0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7E7A024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Case Information Management</w:t>
            </w:r>
          </w:p>
        </w:tc>
        <w:tc>
          <w:tcPr>
            <w:tcW w:w="0" w:type="auto"/>
            <w:shd w:val="clear" w:color="000000" w:fill="002060"/>
            <w:hideMark/>
          </w:tcPr>
          <w:p w14:paraId="29B79CBE" w14:textId="6D428F2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Case Closure</w:t>
            </w:r>
          </w:p>
        </w:tc>
        <w:tc>
          <w:tcPr>
            <w:tcW w:w="0" w:type="auto"/>
            <w:shd w:val="clear" w:color="000000" w:fill="FFFFFF"/>
            <w:hideMark/>
          </w:tcPr>
          <w:p w14:paraId="0404EB3C"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involves determining the completion of a case and executing the necessary procedures for managing and archiving all related information for closed cases.</w:t>
            </w:r>
          </w:p>
        </w:tc>
      </w:tr>
      <w:tr w:rsidR="000A24CD" w14:paraId="257423EC" w14:textId="77777777" w:rsidTr="00CA318C">
        <w:trPr>
          <w:trHeight w:val="520"/>
        </w:trPr>
        <w:tc>
          <w:tcPr>
            <w:tcW w:w="0" w:type="auto"/>
            <w:noWrap/>
            <w:hideMark/>
          </w:tcPr>
          <w:p w14:paraId="49BC720A" w14:textId="2D7ADD2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101</w:t>
            </w:r>
          </w:p>
        </w:tc>
        <w:tc>
          <w:tcPr>
            <w:tcW w:w="0" w:type="auto"/>
            <w:noWrap/>
            <w:hideMark/>
          </w:tcPr>
          <w:p w14:paraId="5D6FC8C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CM-4.6</w:t>
            </w:r>
          </w:p>
        </w:tc>
        <w:tc>
          <w:tcPr>
            <w:tcW w:w="0" w:type="auto"/>
            <w:shd w:val="clear" w:color="000000" w:fill="FFFFFF"/>
            <w:hideMark/>
          </w:tcPr>
          <w:p w14:paraId="2476E17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7FB3BA1C"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2CF7D35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Case Info</w:t>
            </w:r>
            <w:r>
              <w:rPr>
                <w:rFonts w:ascii="Arial" w:eastAsia="Times New Roman" w:hAnsi="Arial" w:cs="Arial"/>
                <w:kern w:val="0"/>
                <w:sz w:val="20"/>
                <w:szCs w:val="20"/>
                <w14:ligatures w14:val="none"/>
              </w:rPr>
              <w:t>rmation Management</w:t>
            </w:r>
          </w:p>
        </w:tc>
        <w:tc>
          <w:tcPr>
            <w:tcW w:w="0" w:type="auto"/>
            <w:shd w:val="clear" w:color="000000" w:fill="002060"/>
            <w:hideMark/>
          </w:tcPr>
          <w:p w14:paraId="3A744EC2" w14:textId="5D820E8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Case Information Access</w:t>
            </w:r>
          </w:p>
        </w:tc>
        <w:tc>
          <w:tcPr>
            <w:tcW w:w="0" w:type="auto"/>
            <w:shd w:val="clear" w:color="000000" w:fill="FFFFFF"/>
            <w:hideMark/>
          </w:tcPr>
          <w:p w14:paraId="1AFE364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enables the retrieval of specific case information and associated documents in response to authorized requests, ensuring access control based on established rules.</w:t>
            </w:r>
          </w:p>
        </w:tc>
      </w:tr>
      <w:tr w:rsidR="000A24CD" w14:paraId="43D3F7E6" w14:textId="77777777" w:rsidTr="00CA318C">
        <w:trPr>
          <w:trHeight w:val="520"/>
        </w:trPr>
        <w:tc>
          <w:tcPr>
            <w:tcW w:w="0" w:type="auto"/>
            <w:noWrap/>
            <w:hideMark/>
          </w:tcPr>
          <w:p w14:paraId="62C40718" w14:textId="2DF0855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102</w:t>
            </w:r>
          </w:p>
        </w:tc>
        <w:tc>
          <w:tcPr>
            <w:tcW w:w="0" w:type="auto"/>
            <w:noWrap/>
            <w:hideMark/>
          </w:tcPr>
          <w:p w14:paraId="15511A4C" w14:textId="7F374FE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CM-6.1</w:t>
            </w:r>
          </w:p>
        </w:tc>
        <w:tc>
          <w:tcPr>
            <w:tcW w:w="0" w:type="auto"/>
            <w:shd w:val="clear" w:color="000000" w:fill="FFFFFF"/>
            <w:hideMark/>
          </w:tcPr>
          <w:p w14:paraId="636A870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08CC4629"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1FAC421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Referrals Management</w:t>
            </w:r>
          </w:p>
        </w:tc>
        <w:tc>
          <w:tcPr>
            <w:tcW w:w="0" w:type="auto"/>
            <w:shd w:val="clear" w:color="000000" w:fill="002060"/>
            <w:hideMark/>
          </w:tcPr>
          <w:p w14:paraId="2E70A38E" w14:textId="0801958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Other Needs Identification</w:t>
            </w:r>
          </w:p>
        </w:tc>
        <w:tc>
          <w:tcPr>
            <w:tcW w:w="0" w:type="auto"/>
            <w:shd w:val="clear" w:color="000000" w:fill="FFFFFF"/>
            <w:hideMark/>
          </w:tcPr>
          <w:p w14:paraId="323F5CB2"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identifies unaddressed consumer needs by comparing assessments against the full scope of available services, documenting those requiring non-Medicaid services or additional providers.</w:t>
            </w:r>
          </w:p>
        </w:tc>
      </w:tr>
      <w:tr w:rsidR="000A24CD" w14:paraId="32ECC0FF" w14:textId="77777777" w:rsidTr="00CA318C">
        <w:trPr>
          <w:trHeight w:val="520"/>
        </w:trPr>
        <w:tc>
          <w:tcPr>
            <w:tcW w:w="0" w:type="auto"/>
            <w:noWrap/>
            <w:hideMark/>
          </w:tcPr>
          <w:p w14:paraId="35DA0739" w14:textId="3FD24DD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103</w:t>
            </w:r>
          </w:p>
        </w:tc>
        <w:tc>
          <w:tcPr>
            <w:tcW w:w="0" w:type="auto"/>
            <w:noWrap/>
            <w:hideMark/>
          </w:tcPr>
          <w:p w14:paraId="0853F94A" w14:textId="0201C76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CM-6.2</w:t>
            </w:r>
          </w:p>
        </w:tc>
        <w:tc>
          <w:tcPr>
            <w:tcW w:w="0" w:type="auto"/>
            <w:shd w:val="clear" w:color="000000" w:fill="FFFFFF"/>
            <w:hideMark/>
          </w:tcPr>
          <w:p w14:paraId="188F4EB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4CCBC395"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401B03B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Referrals Management</w:t>
            </w:r>
          </w:p>
        </w:tc>
        <w:tc>
          <w:tcPr>
            <w:tcW w:w="0" w:type="auto"/>
            <w:shd w:val="clear" w:color="000000" w:fill="002060"/>
            <w:hideMark/>
          </w:tcPr>
          <w:p w14:paraId="676991F6" w14:textId="194B1256"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Referrals Generation</w:t>
            </w:r>
          </w:p>
        </w:tc>
        <w:tc>
          <w:tcPr>
            <w:tcW w:w="0" w:type="auto"/>
            <w:shd w:val="clear" w:color="000000" w:fill="FFFFFF"/>
            <w:hideMark/>
          </w:tcPr>
          <w:p w14:paraId="58118373"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generates formal referrals for applicants/consumers, directing them to specific programs (within or outside the agency) for specialized services based on identified needs.</w:t>
            </w:r>
          </w:p>
        </w:tc>
      </w:tr>
      <w:tr w:rsidR="000A24CD" w14:paraId="31771D01" w14:textId="77777777" w:rsidTr="00CA318C">
        <w:trPr>
          <w:trHeight w:val="290"/>
        </w:trPr>
        <w:tc>
          <w:tcPr>
            <w:tcW w:w="0" w:type="auto"/>
            <w:noWrap/>
            <w:hideMark/>
          </w:tcPr>
          <w:p w14:paraId="3FB4D7E5" w14:textId="700B19E6"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104</w:t>
            </w:r>
          </w:p>
        </w:tc>
        <w:tc>
          <w:tcPr>
            <w:tcW w:w="0" w:type="auto"/>
            <w:noWrap/>
            <w:hideMark/>
          </w:tcPr>
          <w:p w14:paraId="17CB3D31" w14:textId="74ED874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CM-6.3</w:t>
            </w:r>
          </w:p>
        </w:tc>
        <w:tc>
          <w:tcPr>
            <w:tcW w:w="0" w:type="auto"/>
            <w:shd w:val="clear" w:color="000000" w:fill="FFFFFF"/>
            <w:hideMark/>
          </w:tcPr>
          <w:p w14:paraId="6AF741D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2AA5A20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2F46E1E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Referrals Management</w:t>
            </w:r>
          </w:p>
        </w:tc>
        <w:tc>
          <w:tcPr>
            <w:tcW w:w="0" w:type="auto"/>
            <w:shd w:val="clear" w:color="000000" w:fill="002060"/>
            <w:hideMark/>
          </w:tcPr>
          <w:p w14:paraId="4D554D8F" w14:textId="576BE9B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Referral Communication</w:t>
            </w:r>
          </w:p>
        </w:tc>
        <w:tc>
          <w:tcPr>
            <w:tcW w:w="0" w:type="auto"/>
            <w:shd w:val="clear" w:color="000000" w:fill="FFFFFF"/>
            <w:hideMark/>
          </w:tcPr>
          <w:p w14:paraId="5C8D3D57"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secure transmission of referrals to identified party (within or outside the agency).</w:t>
            </w:r>
          </w:p>
        </w:tc>
      </w:tr>
      <w:tr w:rsidR="000A24CD" w14:paraId="2643E92F" w14:textId="77777777" w:rsidTr="00CA318C">
        <w:trPr>
          <w:trHeight w:val="520"/>
        </w:trPr>
        <w:tc>
          <w:tcPr>
            <w:tcW w:w="0" w:type="auto"/>
            <w:noWrap/>
            <w:hideMark/>
          </w:tcPr>
          <w:p w14:paraId="41A08681" w14:textId="61F2D8FE"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105</w:t>
            </w:r>
          </w:p>
        </w:tc>
        <w:tc>
          <w:tcPr>
            <w:tcW w:w="0" w:type="auto"/>
            <w:noWrap/>
            <w:hideMark/>
          </w:tcPr>
          <w:p w14:paraId="4654E638" w14:textId="3C7B603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CM-6.4</w:t>
            </w:r>
          </w:p>
        </w:tc>
        <w:tc>
          <w:tcPr>
            <w:tcW w:w="0" w:type="auto"/>
            <w:shd w:val="clear" w:color="000000" w:fill="FFFFFF"/>
            <w:hideMark/>
          </w:tcPr>
          <w:p w14:paraId="4210C6A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18A14252"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7D79F4D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w:t>
            </w:r>
            <w:r>
              <w:rPr>
                <w:rFonts w:ascii="Arial" w:eastAsia="Times New Roman" w:hAnsi="Arial" w:cs="Arial"/>
                <w:kern w:val="0"/>
                <w:sz w:val="20"/>
                <w:szCs w:val="20"/>
                <w14:ligatures w14:val="none"/>
              </w:rPr>
              <w:t>ferrals Management</w:t>
            </w:r>
          </w:p>
        </w:tc>
        <w:tc>
          <w:tcPr>
            <w:tcW w:w="0" w:type="auto"/>
            <w:shd w:val="clear" w:color="000000" w:fill="002060"/>
            <w:hideMark/>
          </w:tcPr>
          <w:p w14:paraId="4AB3C183" w14:textId="6427E77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Referral Intake</w:t>
            </w:r>
          </w:p>
        </w:tc>
        <w:tc>
          <w:tcPr>
            <w:tcW w:w="0" w:type="auto"/>
            <w:shd w:val="clear" w:color="000000" w:fill="FFFFFF"/>
            <w:hideMark/>
          </w:tcPr>
          <w:p w14:paraId="6D13A8E9"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supports the intake and processing of inbound referral requests originating from other programs, providers, or community resources.</w:t>
            </w:r>
          </w:p>
        </w:tc>
      </w:tr>
      <w:tr w:rsidR="000A24CD" w14:paraId="5773E490" w14:textId="77777777" w:rsidTr="00CA318C">
        <w:trPr>
          <w:trHeight w:val="530"/>
        </w:trPr>
        <w:tc>
          <w:tcPr>
            <w:tcW w:w="0" w:type="auto"/>
            <w:noWrap/>
            <w:hideMark/>
          </w:tcPr>
          <w:p w14:paraId="16557157" w14:textId="69E6A76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106</w:t>
            </w:r>
          </w:p>
        </w:tc>
        <w:tc>
          <w:tcPr>
            <w:tcW w:w="0" w:type="auto"/>
            <w:noWrap/>
            <w:hideMark/>
          </w:tcPr>
          <w:p w14:paraId="66E9D219" w14:textId="50AFF91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CM-6.5</w:t>
            </w:r>
          </w:p>
        </w:tc>
        <w:tc>
          <w:tcPr>
            <w:tcW w:w="0" w:type="auto"/>
            <w:shd w:val="clear" w:color="000000" w:fill="FFFFFF"/>
            <w:hideMark/>
          </w:tcPr>
          <w:p w14:paraId="332DEB7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03AEFAAB"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Consumer Management</w:t>
            </w:r>
          </w:p>
        </w:tc>
        <w:tc>
          <w:tcPr>
            <w:tcW w:w="0" w:type="auto"/>
            <w:shd w:val="clear" w:color="000000" w:fill="FFFFFF"/>
            <w:hideMark/>
          </w:tcPr>
          <w:p w14:paraId="6AD31BB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Referrals Management</w:t>
            </w:r>
          </w:p>
        </w:tc>
        <w:tc>
          <w:tcPr>
            <w:tcW w:w="0" w:type="auto"/>
            <w:shd w:val="clear" w:color="000000" w:fill="002060"/>
            <w:hideMark/>
          </w:tcPr>
          <w:p w14:paraId="3FDAC153" w14:textId="09F40B2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Referral Approval</w:t>
            </w:r>
          </w:p>
        </w:tc>
        <w:tc>
          <w:tcPr>
            <w:tcW w:w="0" w:type="auto"/>
            <w:shd w:val="clear" w:color="000000" w:fill="FFFFFF"/>
            <w:hideMark/>
          </w:tcPr>
          <w:p w14:paraId="46376D96"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approval process for incoming Medicaid program referrals, including creating a referral record and initiating any subsequent activities or evaluations based on the referral nature and any relevant business rules or proced</w:t>
            </w:r>
            <w:r>
              <w:rPr>
                <w:rFonts w:ascii="Arial" w:eastAsia="Times New Roman" w:hAnsi="Arial" w:cs="Arial"/>
                <w:color w:val="131314"/>
                <w:kern w:val="0"/>
                <w:sz w:val="20"/>
                <w:szCs w:val="20"/>
                <w14:ligatures w14:val="none"/>
              </w:rPr>
              <w:t xml:space="preserve">ures. </w:t>
            </w:r>
          </w:p>
        </w:tc>
      </w:tr>
      <w:tr w:rsidR="000A24CD" w14:paraId="4C7863AF" w14:textId="77777777" w:rsidTr="00CA318C">
        <w:trPr>
          <w:trHeight w:val="520"/>
        </w:trPr>
        <w:tc>
          <w:tcPr>
            <w:tcW w:w="0" w:type="auto"/>
            <w:noWrap/>
            <w:hideMark/>
          </w:tcPr>
          <w:p w14:paraId="141456AF" w14:textId="725C8D3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107</w:t>
            </w:r>
          </w:p>
        </w:tc>
        <w:tc>
          <w:tcPr>
            <w:tcW w:w="0" w:type="auto"/>
            <w:noWrap/>
            <w:hideMark/>
          </w:tcPr>
          <w:p w14:paraId="6B4E406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ST-1.1</w:t>
            </w:r>
          </w:p>
        </w:tc>
        <w:tc>
          <w:tcPr>
            <w:tcW w:w="0" w:type="auto"/>
            <w:shd w:val="clear" w:color="000000" w:fill="FFFFFF"/>
            <w:hideMark/>
          </w:tcPr>
          <w:p w14:paraId="34099E8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7013D5F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Transaction Processing</w:t>
            </w:r>
          </w:p>
        </w:tc>
        <w:tc>
          <w:tcPr>
            <w:tcW w:w="0" w:type="auto"/>
            <w:shd w:val="clear" w:color="000000" w:fill="FFFFFF"/>
            <w:hideMark/>
          </w:tcPr>
          <w:p w14:paraId="4405648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Premium Processing</w:t>
            </w:r>
          </w:p>
        </w:tc>
        <w:tc>
          <w:tcPr>
            <w:tcW w:w="0" w:type="auto"/>
            <w:shd w:val="clear" w:color="000000" w:fill="4D93D9"/>
            <w:hideMark/>
          </w:tcPr>
          <w:p w14:paraId="1DEDDD85" w14:textId="506E7FB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Premiums / Cost Sharing for MSP Management</w:t>
            </w:r>
          </w:p>
        </w:tc>
        <w:tc>
          <w:tcPr>
            <w:tcW w:w="0" w:type="auto"/>
            <w:shd w:val="clear" w:color="000000" w:fill="FFFFFF"/>
            <w:hideMark/>
          </w:tcPr>
          <w:p w14:paraId="4957E85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as an integration point, supports the management of all operational aspects related to preparing and processing member premium payments and cost-sharing, specifically for Medicare Buy-in and Medicare Savings Programs (MSP).</w:t>
            </w:r>
          </w:p>
        </w:tc>
      </w:tr>
      <w:tr w:rsidR="000A24CD" w14:paraId="7418261B" w14:textId="77777777" w:rsidTr="00CA318C">
        <w:trPr>
          <w:trHeight w:val="520"/>
        </w:trPr>
        <w:tc>
          <w:tcPr>
            <w:tcW w:w="0" w:type="auto"/>
            <w:noWrap/>
            <w:hideMark/>
          </w:tcPr>
          <w:p w14:paraId="41951EDE" w14:textId="3A267CF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108</w:t>
            </w:r>
          </w:p>
        </w:tc>
        <w:tc>
          <w:tcPr>
            <w:tcW w:w="0" w:type="auto"/>
            <w:noWrap/>
            <w:hideMark/>
          </w:tcPr>
          <w:p w14:paraId="10CE12E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ST-1.2</w:t>
            </w:r>
          </w:p>
        </w:tc>
        <w:tc>
          <w:tcPr>
            <w:tcW w:w="0" w:type="auto"/>
            <w:shd w:val="clear" w:color="000000" w:fill="FFFFFF"/>
            <w:hideMark/>
          </w:tcPr>
          <w:p w14:paraId="4CB6E84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1FF8C70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Transaction Processing</w:t>
            </w:r>
          </w:p>
        </w:tc>
        <w:tc>
          <w:tcPr>
            <w:tcW w:w="0" w:type="auto"/>
            <w:shd w:val="clear" w:color="000000" w:fill="FFFFFF"/>
            <w:hideMark/>
          </w:tcPr>
          <w:p w14:paraId="25F820F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Premium Processing</w:t>
            </w:r>
          </w:p>
        </w:tc>
        <w:tc>
          <w:tcPr>
            <w:tcW w:w="0" w:type="auto"/>
            <w:shd w:val="clear" w:color="000000" w:fill="4D93D9"/>
            <w:hideMark/>
          </w:tcPr>
          <w:p w14:paraId="3B15CA99" w14:textId="71945E9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Medicaid Buy-In Premium Collection Management</w:t>
            </w:r>
          </w:p>
        </w:tc>
        <w:tc>
          <w:tcPr>
            <w:tcW w:w="0" w:type="auto"/>
            <w:shd w:val="clear" w:color="000000" w:fill="FFFFFF"/>
            <w:hideMark/>
          </w:tcPr>
          <w:p w14:paraId="4E0A16C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as an integratio</w:t>
            </w:r>
            <w:r>
              <w:rPr>
                <w:rFonts w:ascii="Arial" w:eastAsia="Times New Roman" w:hAnsi="Arial" w:cs="Arial"/>
                <w:kern w:val="0"/>
                <w:sz w:val="20"/>
                <w:szCs w:val="20"/>
                <w14:ligatures w14:val="none"/>
              </w:rPr>
              <w:t>n point, supports the management of all operational aspects related to billing and collection of premium payments for Medicaid Buy-In for Working People w/ Disability (MBI-WPD).</w:t>
            </w:r>
          </w:p>
        </w:tc>
      </w:tr>
      <w:tr w:rsidR="000A24CD" w14:paraId="26110317" w14:textId="77777777" w:rsidTr="00CA318C">
        <w:trPr>
          <w:trHeight w:val="520"/>
        </w:trPr>
        <w:tc>
          <w:tcPr>
            <w:tcW w:w="0" w:type="auto"/>
            <w:noWrap/>
            <w:hideMark/>
          </w:tcPr>
          <w:p w14:paraId="35EF10F9" w14:textId="0E45737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109</w:t>
            </w:r>
          </w:p>
        </w:tc>
        <w:tc>
          <w:tcPr>
            <w:tcW w:w="0" w:type="auto"/>
            <w:noWrap/>
            <w:hideMark/>
          </w:tcPr>
          <w:p w14:paraId="2F6AFED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ST-1.4</w:t>
            </w:r>
          </w:p>
        </w:tc>
        <w:tc>
          <w:tcPr>
            <w:tcW w:w="0" w:type="auto"/>
            <w:shd w:val="clear" w:color="000000" w:fill="FFFFFF"/>
            <w:hideMark/>
          </w:tcPr>
          <w:p w14:paraId="36C05F6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0D1869E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Transaction Processing</w:t>
            </w:r>
          </w:p>
        </w:tc>
        <w:tc>
          <w:tcPr>
            <w:tcW w:w="0" w:type="auto"/>
            <w:shd w:val="clear" w:color="000000" w:fill="FFFFFF"/>
            <w:hideMark/>
          </w:tcPr>
          <w:p w14:paraId="7CA29B7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Premium Processing</w:t>
            </w:r>
          </w:p>
        </w:tc>
        <w:tc>
          <w:tcPr>
            <w:tcW w:w="0" w:type="auto"/>
            <w:shd w:val="clear" w:color="000000" w:fill="4D93D9"/>
            <w:hideMark/>
          </w:tcPr>
          <w:p w14:paraId="05328C42" w14:textId="196A3D5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MCO Premium Collection Management</w:t>
            </w:r>
          </w:p>
        </w:tc>
        <w:tc>
          <w:tcPr>
            <w:tcW w:w="0" w:type="auto"/>
            <w:shd w:val="clear" w:color="000000" w:fill="FFFFFF"/>
            <w:hideMark/>
          </w:tcPr>
          <w:p w14:paraId="7F3B6EA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This capability, as an integration point between issuers and eligibility via the 834 </w:t>
            </w:r>
            <w:proofErr w:type="gramStart"/>
            <w:r>
              <w:rPr>
                <w:rFonts w:ascii="Arial" w:eastAsia="Times New Roman" w:hAnsi="Arial" w:cs="Arial"/>
                <w:kern w:val="0"/>
                <w:sz w:val="20"/>
                <w:szCs w:val="20"/>
                <w14:ligatures w14:val="none"/>
              </w:rPr>
              <w:t>transaction</w:t>
            </w:r>
            <w:proofErr w:type="gramEnd"/>
            <w:r>
              <w:rPr>
                <w:rFonts w:ascii="Arial" w:eastAsia="Times New Roman" w:hAnsi="Arial" w:cs="Arial"/>
                <w:kern w:val="0"/>
                <w:sz w:val="20"/>
                <w:szCs w:val="20"/>
                <w14:ligatures w14:val="none"/>
              </w:rPr>
              <w:t xml:space="preserve">, supports the management of the billing and collection of permitted </w:t>
            </w:r>
            <w:proofErr w:type="gramStart"/>
            <w:r>
              <w:rPr>
                <w:rFonts w:ascii="Arial" w:eastAsia="Times New Roman" w:hAnsi="Arial" w:cs="Arial"/>
                <w:kern w:val="0"/>
                <w:sz w:val="20"/>
                <w:szCs w:val="20"/>
                <w14:ligatures w14:val="none"/>
              </w:rPr>
              <w:t>member</w:t>
            </w:r>
            <w:proofErr w:type="gramEnd"/>
            <w:r>
              <w:rPr>
                <w:rFonts w:ascii="Arial" w:eastAsia="Times New Roman" w:hAnsi="Arial" w:cs="Arial"/>
                <w:kern w:val="0"/>
                <w:sz w:val="20"/>
                <w:szCs w:val="20"/>
                <w14:ligatures w14:val="none"/>
              </w:rPr>
              <w:t xml:space="preserve"> MCO premiums or contributions, and keep accurate</w:t>
            </w:r>
            <w:r>
              <w:rPr>
                <w:rFonts w:ascii="Arial" w:eastAsia="Times New Roman" w:hAnsi="Arial" w:cs="Arial"/>
                <w:kern w:val="0"/>
                <w:sz w:val="20"/>
                <w:szCs w:val="20"/>
                <w14:ligatures w14:val="none"/>
              </w:rPr>
              <w:t>, reconciled records.</w:t>
            </w:r>
          </w:p>
        </w:tc>
      </w:tr>
      <w:tr w:rsidR="000A24CD" w14:paraId="2BA7558D" w14:textId="77777777" w:rsidTr="00CA318C">
        <w:trPr>
          <w:trHeight w:val="520"/>
        </w:trPr>
        <w:tc>
          <w:tcPr>
            <w:tcW w:w="0" w:type="auto"/>
            <w:noWrap/>
            <w:hideMark/>
          </w:tcPr>
          <w:p w14:paraId="75B05E19" w14:textId="12BB0762"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110</w:t>
            </w:r>
          </w:p>
        </w:tc>
        <w:tc>
          <w:tcPr>
            <w:tcW w:w="0" w:type="auto"/>
            <w:noWrap/>
            <w:hideMark/>
          </w:tcPr>
          <w:p w14:paraId="0A16CFA2" w14:textId="2C16EB9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ST-1.6</w:t>
            </w:r>
          </w:p>
        </w:tc>
        <w:tc>
          <w:tcPr>
            <w:tcW w:w="0" w:type="auto"/>
            <w:shd w:val="clear" w:color="000000" w:fill="FFFFFF"/>
            <w:hideMark/>
          </w:tcPr>
          <w:p w14:paraId="282838B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2A14AD8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Transaction Processing</w:t>
            </w:r>
          </w:p>
        </w:tc>
        <w:tc>
          <w:tcPr>
            <w:tcW w:w="0" w:type="auto"/>
            <w:shd w:val="clear" w:color="000000" w:fill="FFFFFF"/>
            <w:hideMark/>
          </w:tcPr>
          <w:p w14:paraId="7652073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Premium Processing</w:t>
            </w:r>
          </w:p>
        </w:tc>
        <w:tc>
          <w:tcPr>
            <w:tcW w:w="0" w:type="auto"/>
            <w:shd w:val="clear" w:color="000000" w:fill="4D93D9"/>
            <w:hideMark/>
          </w:tcPr>
          <w:p w14:paraId="43EB5D10" w14:textId="06596B36"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Exchange Premium Collection Management</w:t>
            </w:r>
          </w:p>
        </w:tc>
        <w:tc>
          <w:tcPr>
            <w:tcW w:w="0" w:type="auto"/>
            <w:shd w:val="clear" w:color="000000" w:fill="FFFFFF"/>
            <w:hideMark/>
          </w:tcPr>
          <w:p w14:paraId="375DFC5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as an integration point, enables the state Medicaid agency to track, reconcile, and report marketplace and carrier-reported QHP premium activity for individuals associated with the individual Exchange, without performing any billing or collections.</w:t>
            </w:r>
          </w:p>
        </w:tc>
      </w:tr>
      <w:tr w:rsidR="000A24CD" w14:paraId="31AD7F0F" w14:textId="77777777" w:rsidTr="00CA318C">
        <w:trPr>
          <w:trHeight w:val="793"/>
        </w:trPr>
        <w:tc>
          <w:tcPr>
            <w:tcW w:w="0" w:type="auto"/>
            <w:noWrap/>
            <w:hideMark/>
          </w:tcPr>
          <w:p w14:paraId="48F00610" w14:textId="6B5FAC2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111</w:t>
            </w:r>
          </w:p>
        </w:tc>
        <w:tc>
          <w:tcPr>
            <w:tcW w:w="0" w:type="auto"/>
            <w:noWrap/>
            <w:hideMark/>
          </w:tcPr>
          <w:p w14:paraId="3B257645" w14:textId="505CE0A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ST-1.9</w:t>
            </w:r>
          </w:p>
        </w:tc>
        <w:tc>
          <w:tcPr>
            <w:tcW w:w="0" w:type="auto"/>
            <w:shd w:val="clear" w:color="000000" w:fill="FFFFFF"/>
            <w:hideMark/>
          </w:tcPr>
          <w:p w14:paraId="2737027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0466816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Transaction Processing</w:t>
            </w:r>
          </w:p>
        </w:tc>
        <w:tc>
          <w:tcPr>
            <w:tcW w:w="0" w:type="auto"/>
            <w:shd w:val="clear" w:color="000000" w:fill="FFFFFF"/>
            <w:hideMark/>
          </w:tcPr>
          <w:p w14:paraId="6B7FDF2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Premium Processing</w:t>
            </w:r>
          </w:p>
        </w:tc>
        <w:tc>
          <w:tcPr>
            <w:tcW w:w="0" w:type="auto"/>
            <w:shd w:val="clear" w:color="000000" w:fill="4D93D9"/>
            <w:hideMark/>
          </w:tcPr>
          <w:p w14:paraId="23A1C479" w14:textId="1622A02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Enrollment Reconciliation Management</w:t>
            </w:r>
          </w:p>
        </w:tc>
        <w:tc>
          <w:tcPr>
            <w:tcW w:w="0" w:type="auto"/>
            <w:shd w:val="clear" w:color="000000" w:fill="FFFFFF"/>
            <w:hideMark/>
          </w:tcPr>
          <w:p w14:paraId="0FFB2B0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w:t>
            </w:r>
            <w:r>
              <w:rPr>
                <w:rFonts w:ascii="Arial" w:eastAsia="Times New Roman" w:hAnsi="Arial" w:cs="Arial"/>
                <w:kern w:val="0"/>
                <w:sz w:val="20"/>
                <w:szCs w:val="20"/>
                <w14:ligatures w14:val="none"/>
              </w:rPr>
              <w:t xml:space="preserve">apability, as an integration point, supports the comparison and validation of member enrollment records across multiple systems, including eMedNY, Converged Eligibility and Enrollment, and issuers to ensure consistency of enrollment status, coverage periods and plan assignments. </w:t>
            </w:r>
          </w:p>
        </w:tc>
      </w:tr>
      <w:tr w:rsidR="000A24CD" w14:paraId="4C2E3AE7" w14:textId="77777777" w:rsidTr="00CA318C">
        <w:trPr>
          <w:trHeight w:val="530"/>
        </w:trPr>
        <w:tc>
          <w:tcPr>
            <w:tcW w:w="0" w:type="auto"/>
            <w:noWrap/>
          </w:tcPr>
          <w:p w14:paraId="63C34453" w14:textId="496721A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112</w:t>
            </w:r>
          </w:p>
        </w:tc>
        <w:tc>
          <w:tcPr>
            <w:tcW w:w="0" w:type="auto"/>
            <w:noWrap/>
          </w:tcPr>
          <w:p w14:paraId="55212241" w14:textId="007A9C3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ST-2.3</w:t>
            </w:r>
          </w:p>
        </w:tc>
        <w:tc>
          <w:tcPr>
            <w:tcW w:w="0" w:type="auto"/>
            <w:shd w:val="clear" w:color="000000" w:fill="FFFFFF"/>
          </w:tcPr>
          <w:p w14:paraId="732C0C59" w14:textId="24D0D40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tcPr>
          <w:p w14:paraId="7BE2B262" w14:textId="7A633FB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Transaction Processing</w:t>
            </w:r>
          </w:p>
        </w:tc>
        <w:tc>
          <w:tcPr>
            <w:tcW w:w="0" w:type="auto"/>
            <w:shd w:val="clear" w:color="000000" w:fill="FFFFFF"/>
          </w:tcPr>
          <w:p w14:paraId="42E243C6" w14:textId="4C908FF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Rebates, Recovery &amp; Settlement</w:t>
            </w:r>
          </w:p>
        </w:tc>
        <w:tc>
          <w:tcPr>
            <w:tcW w:w="0" w:type="auto"/>
            <w:shd w:val="clear" w:color="auto" w:fill="002060"/>
          </w:tcPr>
          <w:p w14:paraId="7D4EEB9A" w14:textId="7AC7ED2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Benefit Recovery Management</w:t>
            </w:r>
          </w:p>
        </w:tc>
        <w:tc>
          <w:tcPr>
            <w:tcW w:w="0" w:type="auto"/>
            <w:shd w:val="clear" w:color="000000" w:fill="FFFFFF"/>
          </w:tcPr>
          <w:p w14:paraId="57B169A1" w14:textId="62E2D99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recovery of benefits paid to clients and/or providers, including estate recovery.</w:t>
            </w:r>
          </w:p>
        </w:tc>
      </w:tr>
      <w:tr w:rsidR="000A24CD" w14:paraId="7BF6ACEE" w14:textId="77777777" w:rsidTr="00CA318C">
        <w:trPr>
          <w:trHeight w:val="530"/>
        </w:trPr>
        <w:tc>
          <w:tcPr>
            <w:tcW w:w="0" w:type="auto"/>
            <w:noWrap/>
            <w:hideMark/>
          </w:tcPr>
          <w:p w14:paraId="67F0370B" w14:textId="33C1B5F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113</w:t>
            </w:r>
          </w:p>
        </w:tc>
        <w:tc>
          <w:tcPr>
            <w:tcW w:w="0" w:type="auto"/>
            <w:noWrap/>
            <w:hideMark/>
          </w:tcPr>
          <w:p w14:paraId="057C7D9D" w14:textId="71A0C1F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ST-4.</w:t>
            </w:r>
            <w:r>
              <w:rPr>
                <w:rFonts w:ascii="Arial" w:eastAsia="Times New Roman" w:hAnsi="Arial" w:cs="Arial"/>
                <w:kern w:val="0"/>
                <w:sz w:val="20"/>
                <w:szCs w:val="20"/>
                <w14:ligatures w14:val="none"/>
              </w:rPr>
              <w:t>9</w:t>
            </w:r>
          </w:p>
        </w:tc>
        <w:tc>
          <w:tcPr>
            <w:tcW w:w="0" w:type="auto"/>
            <w:shd w:val="clear" w:color="000000" w:fill="FFFFFF"/>
            <w:hideMark/>
          </w:tcPr>
          <w:p w14:paraId="13EB90A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Delivery</w:t>
            </w:r>
          </w:p>
        </w:tc>
        <w:tc>
          <w:tcPr>
            <w:tcW w:w="0" w:type="auto"/>
            <w:shd w:val="clear" w:color="000000" w:fill="FFFFFF"/>
            <w:hideMark/>
          </w:tcPr>
          <w:p w14:paraId="4F184AD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Transaction Processing</w:t>
            </w:r>
          </w:p>
        </w:tc>
        <w:tc>
          <w:tcPr>
            <w:tcW w:w="0" w:type="auto"/>
            <w:shd w:val="clear" w:color="000000" w:fill="FFFFFF"/>
            <w:hideMark/>
          </w:tcPr>
          <w:p w14:paraId="71FC694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Payment Processing</w:t>
            </w:r>
          </w:p>
        </w:tc>
        <w:tc>
          <w:tcPr>
            <w:tcW w:w="0" w:type="auto"/>
            <w:shd w:val="clear" w:color="000000" w:fill="4D93D9"/>
            <w:hideMark/>
          </w:tcPr>
          <w:p w14:paraId="7B5FD20F" w14:textId="3F3EFA0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Consumer Financial Participation Management</w:t>
            </w:r>
          </w:p>
        </w:tc>
        <w:tc>
          <w:tcPr>
            <w:tcW w:w="0" w:type="auto"/>
            <w:shd w:val="clear" w:color="000000" w:fill="FFFFFF"/>
            <w:hideMark/>
          </w:tcPr>
          <w:p w14:paraId="260A80A9"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supports consumer financial contributions for the excess income program, including acceptance of payment and issuance of refunds for overpayments, processed through integration with a payment gateway.</w:t>
            </w:r>
          </w:p>
        </w:tc>
      </w:tr>
      <w:tr w:rsidR="000A24CD" w14:paraId="6D1652ED" w14:textId="77777777" w:rsidTr="00CA318C">
        <w:trPr>
          <w:trHeight w:val="780"/>
        </w:trPr>
        <w:tc>
          <w:tcPr>
            <w:tcW w:w="0" w:type="auto"/>
            <w:noWrap/>
            <w:hideMark/>
          </w:tcPr>
          <w:p w14:paraId="7E7D4431" w14:textId="6E09ABD6"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114</w:t>
            </w:r>
          </w:p>
        </w:tc>
        <w:tc>
          <w:tcPr>
            <w:tcW w:w="0" w:type="auto"/>
            <w:noWrap/>
            <w:hideMark/>
          </w:tcPr>
          <w:p w14:paraId="26AE008A"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PM-1.1</w:t>
            </w:r>
          </w:p>
        </w:tc>
        <w:tc>
          <w:tcPr>
            <w:tcW w:w="0" w:type="auto"/>
            <w:shd w:val="clear" w:color="000000" w:fill="FFFFFF"/>
            <w:hideMark/>
          </w:tcPr>
          <w:p w14:paraId="7C5787F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45082D2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65B8248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Policy and Planning</w:t>
            </w:r>
          </w:p>
        </w:tc>
        <w:tc>
          <w:tcPr>
            <w:tcW w:w="0" w:type="auto"/>
            <w:shd w:val="clear" w:color="000000" w:fill="4D93D9"/>
            <w:hideMark/>
          </w:tcPr>
          <w:p w14:paraId="645E2B34" w14:textId="041228C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Program Policy Management</w:t>
            </w:r>
          </w:p>
        </w:tc>
        <w:tc>
          <w:tcPr>
            <w:tcW w:w="0" w:type="auto"/>
            <w:shd w:val="clear" w:color="000000" w:fill="FFFFFF"/>
            <w:hideMark/>
          </w:tcPr>
          <w:p w14:paraId="0BAC53C5" w14:textId="47B333D5"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governs the development, approval, and comm</w:t>
            </w:r>
            <w:r>
              <w:rPr>
                <w:rFonts w:ascii="Arial" w:eastAsia="Times New Roman" w:hAnsi="Arial" w:cs="Arial"/>
                <w:color w:val="131314"/>
                <w:kern w:val="0"/>
                <w:sz w:val="20"/>
                <w:szCs w:val="20"/>
                <w14:ligatures w14:val="none"/>
              </w:rPr>
              <w:t>unication of program policies to ensure regulatory compliance and consistent administration.</w:t>
            </w:r>
          </w:p>
        </w:tc>
      </w:tr>
      <w:tr w:rsidR="000A24CD" w14:paraId="03CECB9E" w14:textId="77777777" w:rsidTr="00CA318C">
        <w:trPr>
          <w:trHeight w:val="780"/>
        </w:trPr>
        <w:tc>
          <w:tcPr>
            <w:tcW w:w="0" w:type="auto"/>
            <w:noWrap/>
            <w:hideMark/>
          </w:tcPr>
          <w:p w14:paraId="0C784E4E" w14:textId="40D84E8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115</w:t>
            </w:r>
          </w:p>
        </w:tc>
        <w:tc>
          <w:tcPr>
            <w:tcW w:w="0" w:type="auto"/>
            <w:noWrap/>
            <w:hideMark/>
          </w:tcPr>
          <w:p w14:paraId="7E60B1B7"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PM-1.2</w:t>
            </w:r>
          </w:p>
        </w:tc>
        <w:tc>
          <w:tcPr>
            <w:tcW w:w="0" w:type="auto"/>
            <w:shd w:val="clear" w:color="000000" w:fill="FFFFFF"/>
            <w:hideMark/>
          </w:tcPr>
          <w:p w14:paraId="5E8EC03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2570552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617F468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Policy and Planning</w:t>
            </w:r>
          </w:p>
        </w:tc>
        <w:tc>
          <w:tcPr>
            <w:tcW w:w="0" w:type="auto"/>
            <w:shd w:val="clear" w:color="000000" w:fill="4D93D9"/>
            <w:hideMark/>
          </w:tcPr>
          <w:p w14:paraId="6AC0A970" w14:textId="4549EE0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Evaluation Plan Development</w:t>
            </w:r>
          </w:p>
        </w:tc>
        <w:tc>
          <w:tcPr>
            <w:tcW w:w="0" w:type="auto"/>
            <w:shd w:val="clear" w:color="000000" w:fill="FFFFFF"/>
            <w:hideMark/>
          </w:tcPr>
          <w:p w14:paraId="7C312113"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develops comprehensive evaluation plans, defining accountable parties, program scope, processes, services, evaluation types, questions, resources, activities, inputs, outputs, desired outcomes, and identifies necessary metrics and data collection points to address poten</w:t>
            </w:r>
            <w:r>
              <w:rPr>
                <w:rFonts w:ascii="Arial" w:eastAsia="Times New Roman" w:hAnsi="Arial" w:cs="Arial"/>
                <w:color w:val="131314"/>
                <w:kern w:val="0"/>
                <w:sz w:val="20"/>
                <w:szCs w:val="20"/>
                <w14:ligatures w14:val="none"/>
              </w:rPr>
              <w:t>tial gaps.</w:t>
            </w:r>
          </w:p>
        </w:tc>
      </w:tr>
      <w:tr w:rsidR="000A24CD" w14:paraId="0B0C0C01" w14:textId="77777777" w:rsidTr="00CA318C">
        <w:trPr>
          <w:trHeight w:val="780"/>
        </w:trPr>
        <w:tc>
          <w:tcPr>
            <w:tcW w:w="0" w:type="auto"/>
            <w:noWrap/>
            <w:hideMark/>
          </w:tcPr>
          <w:p w14:paraId="2F662DAA" w14:textId="403C8F7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116</w:t>
            </w:r>
          </w:p>
        </w:tc>
        <w:tc>
          <w:tcPr>
            <w:tcW w:w="0" w:type="auto"/>
            <w:noWrap/>
            <w:hideMark/>
          </w:tcPr>
          <w:p w14:paraId="7DF28E3F"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PM-1.3</w:t>
            </w:r>
          </w:p>
        </w:tc>
        <w:tc>
          <w:tcPr>
            <w:tcW w:w="0" w:type="auto"/>
            <w:shd w:val="clear" w:color="000000" w:fill="FFFFFF"/>
            <w:hideMark/>
          </w:tcPr>
          <w:p w14:paraId="5D480FA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308C805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1925205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Policy and Planning</w:t>
            </w:r>
          </w:p>
        </w:tc>
        <w:tc>
          <w:tcPr>
            <w:tcW w:w="0" w:type="auto"/>
            <w:shd w:val="clear" w:color="000000" w:fill="4D93D9"/>
            <w:hideMark/>
          </w:tcPr>
          <w:p w14:paraId="4056780E" w14:textId="480F24D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Agency Goals &amp; Objectives Development</w:t>
            </w:r>
          </w:p>
        </w:tc>
        <w:tc>
          <w:tcPr>
            <w:tcW w:w="0" w:type="auto"/>
            <w:shd w:val="clear" w:color="000000" w:fill="FFFFFF"/>
            <w:hideMark/>
          </w:tcPr>
          <w:p w14:paraId="504891BE" w14:textId="5F80FE3E"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defines and refines the agency's strategic goals and objectives in response to internal and external drivers to guide organizational priorities.</w:t>
            </w:r>
          </w:p>
        </w:tc>
      </w:tr>
      <w:tr w:rsidR="000A24CD" w14:paraId="221791D0" w14:textId="77777777" w:rsidTr="00CA318C">
        <w:trPr>
          <w:trHeight w:val="790"/>
        </w:trPr>
        <w:tc>
          <w:tcPr>
            <w:tcW w:w="0" w:type="auto"/>
            <w:noWrap/>
            <w:hideMark/>
          </w:tcPr>
          <w:p w14:paraId="68353E01" w14:textId="77B267C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117</w:t>
            </w:r>
          </w:p>
        </w:tc>
        <w:tc>
          <w:tcPr>
            <w:tcW w:w="0" w:type="auto"/>
            <w:noWrap/>
            <w:hideMark/>
          </w:tcPr>
          <w:p w14:paraId="5D989CAE" w14:textId="77777777" w:rsidR="000A24CD" w:rsidRDefault="00120DC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PM-1.4</w:t>
            </w:r>
          </w:p>
        </w:tc>
        <w:tc>
          <w:tcPr>
            <w:tcW w:w="0" w:type="auto"/>
            <w:shd w:val="clear" w:color="000000" w:fill="FFFFFF"/>
            <w:hideMark/>
          </w:tcPr>
          <w:p w14:paraId="42BFA3C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4CFA66E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3D4A777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Policy and Planning</w:t>
            </w:r>
          </w:p>
        </w:tc>
        <w:tc>
          <w:tcPr>
            <w:tcW w:w="0" w:type="auto"/>
            <w:shd w:val="clear" w:color="000000" w:fill="4D93D9"/>
            <w:hideMark/>
          </w:tcPr>
          <w:p w14:paraId="6CD52DD9" w14:textId="12443D8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Program Policy Maintenance</w:t>
            </w:r>
          </w:p>
        </w:tc>
        <w:tc>
          <w:tcPr>
            <w:tcW w:w="0" w:type="auto"/>
            <w:shd w:val="clear" w:color="000000" w:fill="FFFFFF"/>
            <w:hideMark/>
          </w:tcPr>
          <w:p w14:paraId="494CCB14" w14:textId="5EF802E2"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ongoing review and modification of ex</w:t>
            </w:r>
            <w:r>
              <w:rPr>
                <w:rFonts w:ascii="Arial" w:eastAsia="Times New Roman" w:hAnsi="Arial" w:cs="Arial"/>
                <w:color w:val="131314"/>
                <w:kern w:val="0"/>
                <w:sz w:val="20"/>
                <w:szCs w:val="20"/>
                <w14:ligatures w14:val="none"/>
              </w:rPr>
              <w:t>isting program policies and business rules to adapt to regulatory changes, audit findings, and stakeholder feedback.</w:t>
            </w:r>
          </w:p>
        </w:tc>
      </w:tr>
      <w:tr w:rsidR="000A24CD" w14:paraId="50A95282" w14:textId="77777777" w:rsidTr="00CA318C">
        <w:trPr>
          <w:trHeight w:val="780"/>
        </w:trPr>
        <w:tc>
          <w:tcPr>
            <w:tcW w:w="0" w:type="auto"/>
            <w:noWrap/>
          </w:tcPr>
          <w:p w14:paraId="280CCFE8" w14:textId="6B937875"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118</w:t>
            </w:r>
          </w:p>
        </w:tc>
        <w:tc>
          <w:tcPr>
            <w:tcW w:w="0" w:type="auto"/>
            <w:noWrap/>
          </w:tcPr>
          <w:p w14:paraId="0E90C882" w14:textId="138110F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PM-3.1</w:t>
            </w:r>
          </w:p>
        </w:tc>
        <w:tc>
          <w:tcPr>
            <w:tcW w:w="0" w:type="auto"/>
            <w:shd w:val="clear" w:color="000000" w:fill="FFFFFF"/>
          </w:tcPr>
          <w:p w14:paraId="6368D2CE" w14:textId="5C634EB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476C0FCA" w14:textId="68CFF96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17A681E4" w14:textId="0D9EE6D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002060"/>
          </w:tcPr>
          <w:p w14:paraId="6FE17C7C" w14:textId="5974ECA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Data Retention / Freeze Requirements </w:t>
            </w:r>
          </w:p>
          <w:p w14:paraId="69D1C292" w14:textId="033052B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Management</w:t>
            </w:r>
          </w:p>
        </w:tc>
        <w:tc>
          <w:tcPr>
            <w:tcW w:w="0" w:type="auto"/>
            <w:shd w:val="clear" w:color="000000" w:fill="FFFFFF"/>
          </w:tcPr>
          <w:p w14:paraId="2F224477" w14:textId="441BE67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defines, implements, and enforces policies for data preservation, retention, and legal holds ('freezes') to ensure compliance with legal and business requirements.</w:t>
            </w:r>
          </w:p>
        </w:tc>
      </w:tr>
      <w:tr w:rsidR="000A24CD" w14:paraId="61607920" w14:textId="77777777" w:rsidTr="00CA318C">
        <w:trPr>
          <w:trHeight w:val="780"/>
        </w:trPr>
        <w:tc>
          <w:tcPr>
            <w:tcW w:w="0" w:type="auto"/>
            <w:noWrap/>
          </w:tcPr>
          <w:p w14:paraId="3473CF36" w14:textId="7D647A4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119</w:t>
            </w:r>
          </w:p>
        </w:tc>
        <w:tc>
          <w:tcPr>
            <w:tcW w:w="0" w:type="auto"/>
            <w:noWrap/>
          </w:tcPr>
          <w:p w14:paraId="59E12CEC" w14:textId="12B2FD7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PM-3.2</w:t>
            </w:r>
          </w:p>
        </w:tc>
        <w:tc>
          <w:tcPr>
            <w:tcW w:w="0" w:type="auto"/>
            <w:shd w:val="clear" w:color="000000" w:fill="FFFFFF"/>
          </w:tcPr>
          <w:p w14:paraId="2E853F90" w14:textId="48622C1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48E44B62" w14:textId="794240A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w:t>
            </w:r>
            <w:r>
              <w:rPr>
                <w:rFonts w:ascii="Arial" w:eastAsia="Times New Roman" w:hAnsi="Arial" w:cs="Arial"/>
                <w:kern w:val="0"/>
                <w:sz w:val="20"/>
                <w:szCs w:val="20"/>
                <w14:ligatures w14:val="none"/>
              </w:rPr>
              <w:t>nt and Operations</w:t>
            </w:r>
          </w:p>
        </w:tc>
        <w:tc>
          <w:tcPr>
            <w:tcW w:w="0" w:type="auto"/>
            <w:shd w:val="clear" w:color="000000" w:fill="FFFFFF"/>
          </w:tcPr>
          <w:p w14:paraId="792CC0CB" w14:textId="7DB624E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002060"/>
          </w:tcPr>
          <w:p w14:paraId="44ED35EA" w14:textId="4FB25F4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Mass Adjustment/Mass Reauthorization </w:t>
            </w:r>
          </w:p>
        </w:tc>
        <w:tc>
          <w:tcPr>
            <w:tcW w:w="0" w:type="auto"/>
            <w:shd w:val="clear" w:color="000000" w:fill="FFFFFF"/>
          </w:tcPr>
          <w:p w14:paraId="5B3A29BF" w14:textId="08FCF00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131314"/>
                <w:kern w:val="0"/>
                <w:sz w:val="20"/>
                <w:szCs w:val="20"/>
                <w14:ligatures w14:val="none"/>
              </w:rPr>
              <w:t>This capability supports the automated execution of large-scale adjustments to eligibility or coverage for multiple members based on specific criteria or date ranges.</w:t>
            </w:r>
          </w:p>
        </w:tc>
      </w:tr>
      <w:tr w:rsidR="000A24CD" w14:paraId="70E1C602" w14:textId="77777777" w:rsidTr="00CA318C">
        <w:trPr>
          <w:trHeight w:val="780"/>
        </w:trPr>
        <w:tc>
          <w:tcPr>
            <w:tcW w:w="0" w:type="auto"/>
            <w:noWrap/>
          </w:tcPr>
          <w:p w14:paraId="59A631DB" w14:textId="77B2566E"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120</w:t>
            </w:r>
          </w:p>
        </w:tc>
        <w:tc>
          <w:tcPr>
            <w:tcW w:w="0" w:type="auto"/>
            <w:noWrap/>
          </w:tcPr>
          <w:p w14:paraId="57D385E2" w14:textId="0FAAAD8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PM-3.3</w:t>
            </w:r>
          </w:p>
        </w:tc>
        <w:tc>
          <w:tcPr>
            <w:tcW w:w="0" w:type="auto"/>
            <w:shd w:val="clear" w:color="000000" w:fill="FFFFFF"/>
          </w:tcPr>
          <w:p w14:paraId="68C41B72" w14:textId="32AC0D1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465DD747" w14:textId="0D7F68B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1918AA18" w14:textId="6BE0751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002060"/>
          </w:tcPr>
          <w:p w14:paraId="71BF6FC1" w14:textId="21CEE4F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Case Workload </w:t>
            </w:r>
          </w:p>
          <w:p w14:paraId="62421264" w14:textId="11A4939C"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Management</w:t>
            </w:r>
          </w:p>
        </w:tc>
        <w:tc>
          <w:tcPr>
            <w:tcW w:w="0" w:type="auto"/>
            <w:shd w:val="clear" w:color="000000" w:fill="FFFFFF"/>
          </w:tcPr>
          <w:p w14:paraId="1BC85E99" w14:textId="1DBD8FF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assignment, distribution, and balancing of caseloads among workers to optimize workflow and ensure</w:t>
            </w:r>
            <w:r>
              <w:rPr>
                <w:rFonts w:ascii="Arial" w:eastAsia="Times New Roman" w:hAnsi="Arial" w:cs="Arial"/>
                <w:kern w:val="0"/>
                <w:sz w:val="20"/>
                <w:szCs w:val="20"/>
                <w14:ligatures w14:val="none"/>
              </w:rPr>
              <w:t xml:space="preserve"> timely case processing.</w:t>
            </w:r>
          </w:p>
        </w:tc>
      </w:tr>
      <w:tr w:rsidR="000A24CD" w14:paraId="0101557F" w14:textId="77777777" w:rsidTr="00CA318C">
        <w:trPr>
          <w:trHeight w:val="780"/>
        </w:trPr>
        <w:tc>
          <w:tcPr>
            <w:tcW w:w="0" w:type="auto"/>
            <w:noWrap/>
          </w:tcPr>
          <w:p w14:paraId="7C4EC370" w14:textId="0C47A40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121</w:t>
            </w:r>
          </w:p>
        </w:tc>
        <w:tc>
          <w:tcPr>
            <w:tcW w:w="0" w:type="auto"/>
            <w:noWrap/>
          </w:tcPr>
          <w:p w14:paraId="74AC8CC8" w14:textId="336CA97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PM-3.4</w:t>
            </w:r>
          </w:p>
        </w:tc>
        <w:tc>
          <w:tcPr>
            <w:tcW w:w="0" w:type="auto"/>
            <w:shd w:val="clear" w:color="000000" w:fill="FFFFFF"/>
          </w:tcPr>
          <w:p w14:paraId="1AA1C07B" w14:textId="3B5E477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4A61F0D8" w14:textId="2AE7E9C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2A617738" w14:textId="1DFF8F4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002060"/>
          </w:tcPr>
          <w:p w14:paraId="7B413C92" w14:textId="6AAD020E"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Workflow </w:t>
            </w:r>
          </w:p>
          <w:p w14:paraId="782776A2" w14:textId="3BD87D0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Management</w:t>
            </w:r>
          </w:p>
        </w:tc>
        <w:tc>
          <w:tcPr>
            <w:tcW w:w="0" w:type="auto"/>
            <w:shd w:val="clear" w:color="000000" w:fill="FFFFFF"/>
          </w:tcPr>
          <w:p w14:paraId="1CFF1625" w14:textId="24E2EED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designs, executes, and optimizes automated and manual workflows, including business rules, escalations, and approvals, to streamline operational processes.</w:t>
            </w:r>
          </w:p>
        </w:tc>
      </w:tr>
      <w:tr w:rsidR="000A24CD" w14:paraId="3E5262C8" w14:textId="77777777" w:rsidTr="00CA318C">
        <w:trPr>
          <w:trHeight w:val="780"/>
        </w:trPr>
        <w:tc>
          <w:tcPr>
            <w:tcW w:w="0" w:type="auto"/>
            <w:noWrap/>
          </w:tcPr>
          <w:p w14:paraId="098A4C82" w14:textId="30F1FA7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122</w:t>
            </w:r>
          </w:p>
        </w:tc>
        <w:tc>
          <w:tcPr>
            <w:tcW w:w="0" w:type="auto"/>
            <w:noWrap/>
          </w:tcPr>
          <w:p w14:paraId="19A5C276" w14:textId="4E215AF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PM-3.5</w:t>
            </w:r>
          </w:p>
        </w:tc>
        <w:tc>
          <w:tcPr>
            <w:tcW w:w="0" w:type="auto"/>
            <w:shd w:val="clear" w:color="000000" w:fill="FFFFFF"/>
          </w:tcPr>
          <w:p w14:paraId="0721FB4B" w14:textId="61819E2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3DB2183B" w14:textId="449DCF4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74585ACF" w14:textId="7525DA1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4D93D9"/>
          </w:tcPr>
          <w:p w14:paraId="7CA0AD0F" w14:textId="110EA92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Access Control Management</w:t>
            </w:r>
          </w:p>
        </w:tc>
        <w:tc>
          <w:tcPr>
            <w:tcW w:w="0" w:type="auto"/>
            <w:shd w:val="clear" w:color="000000" w:fill="FFFFFF"/>
          </w:tcPr>
          <w:p w14:paraId="3B1C0E03" w14:textId="07A7E11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governs user access to systems and dat</w:t>
            </w:r>
            <w:r>
              <w:rPr>
                <w:rFonts w:ascii="Arial" w:eastAsia="Times New Roman" w:hAnsi="Arial" w:cs="Arial"/>
                <w:kern w:val="0"/>
                <w:sz w:val="20"/>
                <w:szCs w:val="20"/>
                <w14:ligatures w14:val="none"/>
              </w:rPr>
              <w:t>a by managing roles, permissions, and authentication policies to ensure information security and privacy.</w:t>
            </w:r>
          </w:p>
        </w:tc>
      </w:tr>
      <w:tr w:rsidR="000A24CD" w14:paraId="1CCF1A94" w14:textId="77777777" w:rsidTr="00CA318C">
        <w:trPr>
          <w:trHeight w:val="780"/>
        </w:trPr>
        <w:tc>
          <w:tcPr>
            <w:tcW w:w="0" w:type="auto"/>
            <w:noWrap/>
          </w:tcPr>
          <w:p w14:paraId="096E495F" w14:textId="4E72DB0A"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123</w:t>
            </w:r>
          </w:p>
        </w:tc>
        <w:tc>
          <w:tcPr>
            <w:tcW w:w="0" w:type="auto"/>
            <w:noWrap/>
          </w:tcPr>
          <w:p w14:paraId="67017F7A" w14:textId="2749E48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PM-3.6</w:t>
            </w:r>
          </w:p>
        </w:tc>
        <w:tc>
          <w:tcPr>
            <w:tcW w:w="0" w:type="auto"/>
            <w:shd w:val="clear" w:color="000000" w:fill="FFFFFF"/>
          </w:tcPr>
          <w:p w14:paraId="3F844D7A" w14:textId="17464A7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519D1936" w14:textId="7EA2D4D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12DD08EF" w14:textId="47CC761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002060"/>
          </w:tcPr>
          <w:p w14:paraId="44AC63E8" w14:textId="58CFE27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Audit Log Maintenance</w:t>
            </w:r>
          </w:p>
        </w:tc>
        <w:tc>
          <w:tcPr>
            <w:tcW w:w="0" w:type="auto"/>
            <w:shd w:val="clear" w:color="000000" w:fill="FFFFFF"/>
          </w:tcPr>
          <w:p w14:paraId="2481A622" w14:textId="712BB33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generation, storage, and protection of audit logs for all system and user activities to ensure accountability, security, and traceability.</w:t>
            </w:r>
          </w:p>
        </w:tc>
      </w:tr>
      <w:tr w:rsidR="000A24CD" w14:paraId="0E8D5D34" w14:textId="77777777" w:rsidTr="00CA318C">
        <w:trPr>
          <w:trHeight w:val="780"/>
        </w:trPr>
        <w:tc>
          <w:tcPr>
            <w:tcW w:w="0" w:type="auto"/>
            <w:noWrap/>
          </w:tcPr>
          <w:p w14:paraId="4EC96437" w14:textId="348731E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124</w:t>
            </w:r>
          </w:p>
        </w:tc>
        <w:tc>
          <w:tcPr>
            <w:tcW w:w="0" w:type="auto"/>
            <w:noWrap/>
          </w:tcPr>
          <w:p w14:paraId="1F167C4E" w14:textId="41932F2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PM-3.7</w:t>
            </w:r>
          </w:p>
        </w:tc>
        <w:tc>
          <w:tcPr>
            <w:tcW w:w="0" w:type="auto"/>
            <w:shd w:val="clear" w:color="000000" w:fill="FFFFFF"/>
          </w:tcPr>
          <w:p w14:paraId="3CAB8C82" w14:textId="77A8FDB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1C3A3EB4" w14:textId="291B645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01845350" w14:textId="1AE5F22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002060"/>
          </w:tcPr>
          <w:p w14:paraId="5240C826" w14:textId="4684039E"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Wor</w:t>
            </w:r>
            <w:r>
              <w:rPr>
                <w:rFonts w:ascii="Arial" w:eastAsia="Times New Roman" w:hAnsi="Arial" w:cs="Arial"/>
                <w:b/>
                <w:bCs/>
                <w:color w:val="FFFFFF"/>
                <w:kern w:val="0"/>
                <w:sz w:val="20"/>
                <w:szCs w:val="20"/>
                <w14:ligatures w14:val="none"/>
              </w:rPr>
              <w:t>ker Information </w:t>
            </w:r>
          </w:p>
          <w:p w14:paraId="4C7CE852" w14:textId="1C4D0836"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Management</w:t>
            </w:r>
          </w:p>
        </w:tc>
        <w:tc>
          <w:tcPr>
            <w:tcW w:w="0" w:type="auto"/>
            <w:shd w:val="clear" w:color="000000" w:fill="FFFFFF"/>
          </w:tcPr>
          <w:p w14:paraId="6EE97DD6" w14:textId="518B9D3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master record of all worker information, including credentials, professional history, and other employment-related data.</w:t>
            </w:r>
          </w:p>
        </w:tc>
      </w:tr>
      <w:tr w:rsidR="000A24CD" w14:paraId="2F949911" w14:textId="77777777" w:rsidTr="00CA318C">
        <w:trPr>
          <w:trHeight w:val="780"/>
        </w:trPr>
        <w:tc>
          <w:tcPr>
            <w:tcW w:w="0" w:type="auto"/>
            <w:noWrap/>
          </w:tcPr>
          <w:p w14:paraId="18349C13" w14:textId="741A1DA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125</w:t>
            </w:r>
          </w:p>
        </w:tc>
        <w:tc>
          <w:tcPr>
            <w:tcW w:w="0" w:type="auto"/>
            <w:noWrap/>
          </w:tcPr>
          <w:p w14:paraId="35543AED" w14:textId="28F0094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PM-3.8</w:t>
            </w:r>
          </w:p>
        </w:tc>
        <w:tc>
          <w:tcPr>
            <w:tcW w:w="0" w:type="auto"/>
            <w:shd w:val="clear" w:color="000000" w:fill="FFFFFF"/>
          </w:tcPr>
          <w:p w14:paraId="7B656E82" w14:textId="00A9C4B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7D4D7E50" w14:textId="0BEB8FB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20F3C477" w14:textId="66F5626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Service Operations Management</w:t>
            </w:r>
          </w:p>
        </w:tc>
        <w:tc>
          <w:tcPr>
            <w:tcW w:w="0" w:type="auto"/>
            <w:shd w:val="clear" w:color="000000" w:fill="002060"/>
          </w:tcPr>
          <w:p w14:paraId="42C4D761" w14:textId="1BA19808"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Data Management</w:t>
            </w:r>
          </w:p>
        </w:tc>
        <w:tc>
          <w:tcPr>
            <w:tcW w:w="0" w:type="auto"/>
            <w:shd w:val="clear" w:color="000000" w:fill="FFFFFF"/>
          </w:tcPr>
          <w:p w14:paraId="14878F64" w14:textId="2152223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governs the quality, security, and lifecycle of the agency's data assets through defined policies and procedures.</w:t>
            </w:r>
          </w:p>
        </w:tc>
      </w:tr>
      <w:tr w:rsidR="000A24CD" w14:paraId="390ECE77" w14:textId="77777777" w:rsidTr="00CA318C">
        <w:trPr>
          <w:trHeight w:val="780"/>
        </w:trPr>
        <w:tc>
          <w:tcPr>
            <w:tcW w:w="0" w:type="auto"/>
            <w:noWrap/>
          </w:tcPr>
          <w:p w14:paraId="4CE2B404" w14:textId="66F700A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126</w:t>
            </w:r>
          </w:p>
        </w:tc>
        <w:tc>
          <w:tcPr>
            <w:tcW w:w="0" w:type="auto"/>
            <w:noWrap/>
          </w:tcPr>
          <w:p w14:paraId="3020D725" w14:textId="2CE1DA3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PM-4.1</w:t>
            </w:r>
          </w:p>
        </w:tc>
        <w:tc>
          <w:tcPr>
            <w:tcW w:w="0" w:type="auto"/>
            <w:shd w:val="clear" w:color="000000" w:fill="FFFFFF"/>
          </w:tcPr>
          <w:p w14:paraId="76EA6A2C" w14:textId="3148D17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19F821FB" w14:textId="519925B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5F3C67BC" w14:textId="7B48A2A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Perfo</w:t>
            </w:r>
            <w:r>
              <w:rPr>
                <w:rFonts w:ascii="Arial" w:eastAsia="Times New Roman" w:hAnsi="Arial" w:cs="Arial"/>
                <w:kern w:val="0"/>
                <w:sz w:val="20"/>
                <w:szCs w:val="20"/>
                <w14:ligatures w14:val="none"/>
              </w:rPr>
              <w:t>rmance Management and Reporting</w:t>
            </w:r>
          </w:p>
        </w:tc>
        <w:tc>
          <w:tcPr>
            <w:tcW w:w="0" w:type="auto"/>
            <w:shd w:val="clear" w:color="000000" w:fill="002060"/>
          </w:tcPr>
          <w:p w14:paraId="2B647110" w14:textId="6F7E5DD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Evaluation Reports Development</w:t>
            </w:r>
          </w:p>
        </w:tc>
        <w:tc>
          <w:tcPr>
            <w:tcW w:w="0" w:type="auto"/>
            <w:shd w:val="clear" w:color="000000" w:fill="FFFFFF"/>
          </w:tcPr>
          <w:p w14:paraId="47523D84" w14:textId="79AD621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produces formal evaluation reports that analyze program performance, compliance, and outcomes to support decision-making and meet regulatory requirements.</w:t>
            </w:r>
          </w:p>
        </w:tc>
      </w:tr>
      <w:tr w:rsidR="000A24CD" w14:paraId="450B46D7" w14:textId="77777777" w:rsidTr="00CA318C">
        <w:trPr>
          <w:trHeight w:val="780"/>
        </w:trPr>
        <w:tc>
          <w:tcPr>
            <w:tcW w:w="0" w:type="auto"/>
            <w:noWrap/>
          </w:tcPr>
          <w:p w14:paraId="320EF100" w14:textId="0B99A77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127</w:t>
            </w:r>
          </w:p>
        </w:tc>
        <w:tc>
          <w:tcPr>
            <w:tcW w:w="0" w:type="auto"/>
            <w:noWrap/>
          </w:tcPr>
          <w:p w14:paraId="02406977" w14:textId="20B9307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PM-4.2</w:t>
            </w:r>
          </w:p>
        </w:tc>
        <w:tc>
          <w:tcPr>
            <w:tcW w:w="0" w:type="auto"/>
            <w:shd w:val="clear" w:color="000000" w:fill="FFFFFF"/>
          </w:tcPr>
          <w:p w14:paraId="7C1AB33F" w14:textId="4A62623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275B80DC" w14:textId="3B5EF33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7C6B43F9" w14:textId="44A61D1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Performance Management and Reporting</w:t>
            </w:r>
          </w:p>
        </w:tc>
        <w:tc>
          <w:tcPr>
            <w:tcW w:w="0" w:type="auto"/>
            <w:shd w:val="clear" w:color="000000" w:fill="002060"/>
          </w:tcPr>
          <w:p w14:paraId="3A1B8F4F" w14:textId="7B84B7E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Performance Measures Data Management</w:t>
            </w:r>
          </w:p>
        </w:tc>
        <w:tc>
          <w:tcPr>
            <w:tcW w:w="0" w:type="auto"/>
            <w:shd w:val="clear" w:color="000000" w:fill="FFFFFF"/>
          </w:tcPr>
          <w:p w14:paraId="4E559A3F" w14:textId="78F8A8A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data lifecycle for performance metrics, from collection and analysis to reporting, to measure the a</w:t>
            </w:r>
            <w:r>
              <w:rPr>
                <w:rFonts w:ascii="Arial" w:eastAsia="Times New Roman" w:hAnsi="Arial" w:cs="Arial"/>
                <w:kern w:val="0"/>
                <w:sz w:val="20"/>
                <w:szCs w:val="20"/>
                <w14:ligatures w14:val="none"/>
              </w:rPr>
              <w:t>chievement of program outcomes.</w:t>
            </w:r>
          </w:p>
        </w:tc>
      </w:tr>
      <w:tr w:rsidR="000A24CD" w14:paraId="6E48D31B" w14:textId="77777777" w:rsidTr="00CA318C">
        <w:trPr>
          <w:trHeight w:val="780"/>
        </w:trPr>
        <w:tc>
          <w:tcPr>
            <w:tcW w:w="0" w:type="auto"/>
            <w:noWrap/>
          </w:tcPr>
          <w:p w14:paraId="3920C187" w14:textId="766A5F9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128</w:t>
            </w:r>
          </w:p>
        </w:tc>
        <w:tc>
          <w:tcPr>
            <w:tcW w:w="0" w:type="auto"/>
            <w:noWrap/>
          </w:tcPr>
          <w:p w14:paraId="38AD188F" w14:textId="69E2E12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PM-4.3</w:t>
            </w:r>
          </w:p>
        </w:tc>
        <w:tc>
          <w:tcPr>
            <w:tcW w:w="0" w:type="auto"/>
            <w:shd w:val="clear" w:color="000000" w:fill="FFFFFF"/>
          </w:tcPr>
          <w:p w14:paraId="6393E87C" w14:textId="2F0C88E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3C4AC247" w14:textId="0EEBB2E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1B0BE07B" w14:textId="033BCE6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Performance Management and Reporting</w:t>
            </w:r>
          </w:p>
        </w:tc>
        <w:tc>
          <w:tcPr>
            <w:tcW w:w="0" w:type="auto"/>
            <w:shd w:val="clear" w:color="000000" w:fill="4D93D9"/>
          </w:tcPr>
          <w:p w14:paraId="31AF9B7C" w14:textId="5973AE7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Claims / Encounter Data Collection</w:t>
            </w:r>
          </w:p>
        </w:tc>
        <w:tc>
          <w:tcPr>
            <w:tcW w:w="0" w:type="auto"/>
            <w:shd w:val="clear" w:color="000000" w:fill="FFFFFF"/>
          </w:tcPr>
          <w:p w14:paraId="38ECC4DB" w14:textId="5D71D38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collection, validation, and submission of claims and encounter data to support program oversight, reporting, and cost management.</w:t>
            </w:r>
          </w:p>
        </w:tc>
      </w:tr>
      <w:tr w:rsidR="000A24CD" w14:paraId="2D9CDA38" w14:textId="77777777" w:rsidTr="00CA318C">
        <w:trPr>
          <w:trHeight w:val="780"/>
        </w:trPr>
        <w:tc>
          <w:tcPr>
            <w:tcW w:w="0" w:type="auto"/>
            <w:noWrap/>
          </w:tcPr>
          <w:p w14:paraId="06FC3A0A" w14:textId="72CDD19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129</w:t>
            </w:r>
          </w:p>
        </w:tc>
        <w:tc>
          <w:tcPr>
            <w:tcW w:w="0" w:type="auto"/>
            <w:noWrap/>
          </w:tcPr>
          <w:p w14:paraId="154B445D" w14:textId="5CED7F7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PM-4.4</w:t>
            </w:r>
          </w:p>
        </w:tc>
        <w:tc>
          <w:tcPr>
            <w:tcW w:w="0" w:type="auto"/>
            <w:shd w:val="clear" w:color="000000" w:fill="FFFFFF"/>
          </w:tcPr>
          <w:p w14:paraId="038A5624" w14:textId="528EB25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6D1758F3" w14:textId="475CF03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33BC531F" w14:textId="5377CCA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Performance Management and Reporting</w:t>
            </w:r>
          </w:p>
        </w:tc>
        <w:tc>
          <w:tcPr>
            <w:tcW w:w="0" w:type="auto"/>
            <w:shd w:val="clear" w:color="000000" w:fill="002060"/>
          </w:tcPr>
          <w:p w14:paraId="5ACD9504" w14:textId="1E40DA1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Data Insights Generation</w:t>
            </w:r>
          </w:p>
        </w:tc>
        <w:tc>
          <w:tcPr>
            <w:tcW w:w="0" w:type="auto"/>
            <w:shd w:val="clear" w:color="000000" w:fill="FFFFFF"/>
          </w:tcPr>
          <w:p w14:paraId="1BDAA29B" w14:textId="4ABF6DB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applies analytical</w:t>
            </w:r>
            <w:r>
              <w:rPr>
                <w:rFonts w:ascii="Arial" w:eastAsia="Times New Roman" w:hAnsi="Arial" w:cs="Arial"/>
                <w:kern w:val="0"/>
                <w:sz w:val="20"/>
                <w:szCs w:val="20"/>
                <w14:ligatures w14:val="none"/>
              </w:rPr>
              <w:t xml:space="preserve"> techniques and business intelligence tools to data to generate insights, evaluate policy, and support data-driven decision-making. This capability also supports ad hoc data aggregation and analysis to fulfill emergent reporting needs, including public information requests and operational inquiries.</w:t>
            </w:r>
          </w:p>
        </w:tc>
      </w:tr>
      <w:tr w:rsidR="000A24CD" w14:paraId="0841B2C4" w14:textId="77777777" w:rsidTr="00CA318C">
        <w:trPr>
          <w:trHeight w:val="780"/>
        </w:trPr>
        <w:tc>
          <w:tcPr>
            <w:tcW w:w="0" w:type="auto"/>
            <w:noWrap/>
          </w:tcPr>
          <w:p w14:paraId="795E70BF" w14:textId="2CE0708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130</w:t>
            </w:r>
          </w:p>
        </w:tc>
        <w:tc>
          <w:tcPr>
            <w:tcW w:w="0" w:type="auto"/>
            <w:noWrap/>
          </w:tcPr>
          <w:p w14:paraId="371848B2" w14:textId="3948BDB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PM-4.5</w:t>
            </w:r>
          </w:p>
        </w:tc>
        <w:tc>
          <w:tcPr>
            <w:tcW w:w="0" w:type="auto"/>
            <w:shd w:val="clear" w:color="000000" w:fill="FFFFFF"/>
          </w:tcPr>
          <w:p w14:paraId="39A9B180" w14:textId="2A7B003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3E0B575D" w14:textId="4BC4ADD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542358C9" w14:textId="534D620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Performance Management and Reporting</w:t>
            </w:r>
          </w:p>
        </w:tc>
        <w:tc>
          <w:tcPr>
            <w:tcW w:w="0" w:type="auto"/>
            <w:shd w:val="clear" w:color="000000" w:fill="002060"/>
          </w:tcPr>
          <w:p w14:paraId="6B11F43A" w14:textId="35C85BE6"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Data Extracts for Research &amp; Evaluation Purposes Creation</w:t>
            </w:r>
          </w:p>
        </w:tc>
        <w:tc>
          <w:tcPr>
            <w:tcW w:w="0" w:type="auto"/>
            <w:shd w:val="clear" w:color="000000" w:fill="FFFFFF"/>
          </w:tcPr>
          <w:p w14:paraId="2AD353C7" w14:textId="0BF352D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This capability creates and provisions </w:t>
            </w:r>
            <w:r>
              <w:rPr>
                <w:rFonts w:ascii="Arial" w:eastAsia="Times New Roman" w:hAnsi="Arial" w:cs="Arial"/>
                <w:kern w:val="0"/>
                <w:sz w:val="20"/>
                <w:szCs w:val="20"/>
                <w14:ligatures w14:val="none"/>
              </w:rPr>
              <w:t>secure, de-identified data extracts for authorized research and evaluation purposes.</w:t>
            </w:r>
          </w:p>
        </w:tc>
      </w:tr>
      <w:tr w:rsidR="000A24CD" w14:paraId="5F9558A1" w14:textId="77777777" w:rsidTr="00CA318C">
        <w:trPr>
          <w:trHeight w:val="780"/>
        </w:trPr>
        <w:tc>
          <w:tcPr>
            <w:tcW w:w="0" w:type="auto"/>
            <w:noWrap/>
          </w:tcPr>
          <w:p w14:paraId="1ED79DCD" w14:textId="3E47ED4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131</w:t>
            </w:r>
          </w:p>
        </w:tc>
        <w:tc>
          <w:tcPr>
            <w:tcW w:w="0" w:type="auto"/>
            <w:noWrap/>
          </w:tcPr>
          <w:p w14:paraId="50CD86A1" w14:textId="47761F6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PM-4.6</w:t>
            </w:r>
          </w:p>
        </w:tc>
        <w:tc>
          <w:tcPr>
            <w:tcW w:w="0" w:type="auto"/>
            <w:shd w:val="clear" w:color="000000" w:fill="FFFFFF"/>
          </w:tcPr>
          <w:p w14:paraId="77B2C16D" w14:textId="6327E6B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1FB364DE" w14:textId="0CCBDA4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40314C46" w14:textId="03815B5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Performance Management and Reporting</w:t>
            </w:r>
          </w:p>
        </w:tc>
        <w:tc>
          <w:tcPr>
            <w:tcW w:w="0" w:type="auto"/>
            <w:shd w:val="clear" w:color="000000" w:fill="002060"/>
          </w:tcPr>
          <w:p w14:paraId="3E47F90A" w14:textId="4260332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Federal &amp; State Reporting Support</w:t>
            </w:r>
          </w:p>
        </w:tc>
        <w:tc>
          <w:tcPr>
            <w:tcW w:w="0" w:type="auto"/>
            <w:shd w:val="clear" w:color="000000" w:fill="FFFFFF"/>
          </w:tcPr>
          <w:p w14:paraId="6A29C5C7" w14:textId="593BB72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data gathering, validation, and consolidation required to support the generation of all mandated federal and state reports.</w:t>
            </w:r>
          </w:p>
        </w:tc>
      </w:tr>
      <w:tr w:rsidR="000A24CD" w14:paraId="30183124" w14:textId="77777777" w:rsidTr="00CA318C">
        <w:trPr>
          <w:trHeight w:val="780"/>
        </w:trPr>
        <w:tc>
          <w:tcPr>
            <w:tcW w:w="0" w:type="auto"/>
            <w:noWrap/>
          </w:tcPr>
          <w:p w14:paraId="3B3F02CF" w14:textId="62ED1FD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132</w:t>
            </w:r>
          </w:p>
        </w:tc>
        <w:tc>
          <w:tcPr>
            <w:tcW w:w="0" w:type="auto"/>
            <w:noWrap/>
          </w:tcPr>
          <w:p w14:paraId="7B5B900B" w14:textId="2C90962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PM-4.7</w:t>
            </w:r>
          </w:p>
        </w:tc>
        <w:tc>
          <w:tcPr>
            <w:tcW w:w="0" w:type="auto"/>
            <w:shd w:val="clear" w:color="000000" w:fill="FFFFFF"/>
          </w:tcPr>
          <w:p w14:paraId="02B1F5D4" w14:textId="3221601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00307500" w14:textId="4570CB5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5E053035" w14:textId="1335B92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Performance Management and Reporting</w:t>
            </w:r>
          </w:p>
        </w:tc>
        <w:tc>
          <w:tcPr>
            <w:tcW w:w="0" w:type="auto"/>
            <w:shd w:val="clear" w:color="000000" w:fill="002060"/>
          </w:tcPr>
          <w:p w14:paraId="08173C5D" w14:textId="0954F5E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Federal &amp; Sta</w:t>
            </w:r>
            <w:r>
              <w:rPr>
                <w:rFonts w:ascii="Arial" w:eastAsia="Times New Roman" w:hAnsi="Arial" w:cs="Arial"/>
                <w:b/>
                <w:bCs/>
                <w:color w:val="FFFFFF"/>
                <w:kern w:val="0"/>
                <w:sz w:val="20"/>
                <w:szCs w:val="20"/>
                <w14:ligatures w14:val="none"/>
              </w:rPr>
              <w:t>te Reports Generation</w:t>
            </w:r>
          </w:p>
        </w:tc>
        <w:tc>
          <w:tcPr>
            <w:tcW w:w="0" w:type="auto"/>
            <w:shd w:val="clear" w:color="000000" w:fill="FFFFFF"/>
          </w:tcPr>
          <w:p w14:paraId="7E738091" w14:textId="5888E2A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generates and submits all mandated federal and state reports in the required formats and within established timelines.</w:t>
            </w:r>
          </w:p>
        </w:tc>
      </w:tr>
      <w:tr w:rsidR="000A24CD" w14:paraId="3350FF8F" w14:textId="77777777" w:rsidTr="00CA318C">
        <w:trPr>
          <w:trHeight w:val="780"/>
        </w:trPr>
        <w:tc>
          <w:tcPr>
            <w:tcW w:w="0" w:type="auto"/>
            <w:noWrap/>
          </w:tcPr>
          <w:p w14:paraId="1AEB082E" w14:textId="166B28C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133</w:t>
            </w:r>
          </w:p>
        </w:tc>
        <w:tc>
          <w:tcPr>
            <w:tcW w:w="0" w:type="auto"/>
            <w:noWrap/>
          </w:tcPr>
          <w:p w14:paraId="45A59B9C" w14:textId="65AC72F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PM-5.1</w:t>
            </w:r>
          </w:p>
        </w:tc>
        <w:tc>
          <w:tcPr>
            <w:tcW w:w="0" w:type="auto"/>
            <w:shd w:val="clear" w:color="000000" w:fill="FFFFFF"/>
          </w:tcPr>
          <w:p w14:paraId="7D4F93C6" w14:textId="33A4C72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70E5068B" w14:textId="5379106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1D38E6D4" w14:textId="667785E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Compliance and Risk Management </w:t>
            </w:r>
          </w:p>
        </w:tc>
        <w:tc>
          <w:tcPr>
            <w:tcW w:w="0" w:type="auto"/>
            <w:shd w:val="clear" w:color="000000" w:fill="002060"/>
          </w:tcPr>
          <w:p w14:paraId="2AFC0EE3" w14:textId="23C3C89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Compliance Incident Establishment</w:t>
            </w:r>
          </w:p>
        </w:tc>
        <w:tc>
          <w:tcPr>
            <w:tcW w:w="0" w:type="auto"/>
            <w:shd w:val="clear" w:color="000000" w:fill="FFFFFF"/>
          </w:tcPr>
          <w:p w14:paraId="22D3D2F6" w14:textId="28F35F03"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identifies and formally documents potential compliance incidents, initiating the official record and workflow for investigation.</w:t>
            </w:r>
          </w:p>
        </w:tc>
      </w:tr>
      <w:tr w:rsidR="000A24CD" w14:paraId="58BC0506" w14:textId="77777777" w:rsidTr="00CA318C">
        <w:trPr>
          <w:trHeight w:val="780"/>
        </w:trPr>
        <w:tc>
          <w:tcPr>
            <w:tcW w:w="0" w:type="auto"/>
            <w:noWrap/>
          </w:tcPr>
          <w:p w14:paraId="3B2522DA" w14:textId="1B90D03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134</w:t>
            </w:r>
          </w:p>
        </w:tc>
        <w:tc>
          <w:tcPr>
            <w:tcW w:w="0" w:type="auto"/>
            <w:noWrap/>
          </w:tcPr>
          <w:p w14:paraId="1AB6E914" w14:textId="65B62C4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PM-5.2</w:t>
            </w:r>
          </w:p>
        </w:tc>
        <w:tc>
          <w:tcPr>
            <w:tcW w:w="0" w:type="auto"/>
            <w:shd w:val="clear" w:color="000000" w:fill="FFFFFF"/>
          </w:tcPr>
          <w:p w14:paraId="76185C9C" w14:textId="4B6BA49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1FA5BD4B" w14:textId="7B96B92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w:t>
            </w:r>
            <w:r>
              <w:rPr>
                <w:rFonts w:ascii="Arial" w:eastAsia="Times New Roman" w:hAnsi="Arial" w:cs="Arial"/>
                <w:kern w:val="0"/>
                <w:sz w:val="20"/>
                <w:szCs w:val="20"/>
                <w14:ligatures w14:val="none"/>
              </w:rPr>
              <w:t>perations</w:t>
            </w:r>
          </w:p>
        </w:tc>
        <w:tc>
          <w:tcPr>
            <w:tcW w:w="0" w:type="auto"/>
            <w:shd w:val="clear" w:color="000000" w:fill="FFFFFF"/>
          </w:tcPr>
          <w:p w14:paraId="345B9A06" w14:textId="604A0E1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Compliance and Risk Management </w:t>
            </w:r>
          </w:p>
        </w:tc>
        <w:tc>
          <w:tcPr>
            <w:tcW w:w="0" w:type="auto"/>
            <w:shd w:val="clear" w:color="000000" w:fill="002060"/>
          </w:tcPr>
          <w:p w14:paraId="39309F5D" w14:textId="18CE7C10"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Compliance Incident Management</w:t>
            </w:r>
          </w:p>
        </w:tc>
        <w:tc>
          <w:tcPr>
            <w:tcW w:w="0" w:type="auto"/>
            <w:shd w:val="clear" w:color="000000" w:fill="FFFFFF"/>
          </w:tcPr>
          <w:p w14:paraId="195E7BB1" w14:textId="1E7C47F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investigation and resolution of compliance incidents, including documenting findings, determining corrective actions, and tracking outcomes.</w:t>
            </w:r>
          </w:p>
        </w:tc>
      </w:tr>
      <w:tr w:rsidR="000A24CD" w14:paraId="2AE09EBB" w14:textId="77777777" w:rsidTr="00CA318C">
        <w:trPr>
          <w:trHeight w:val="780"/>
        </w:trPr>
        <w:tc>
          <w:tcPr>
            <w:tcW w:w="0" w:type="auto"/>
            <w:noWrap/>
          </w:tcPr>
          <w:p w14:paraId="282082A1" w14:textId="20E1B71C"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135</w:t>
            </w:r>
          </w:p>
        </w:tc>
        <w:tc>
          <w:tcPr>
            <w:tcW w:w="0" w:type="auto"/>
            <w:noWrap/>
          </w:tcPr>
          <w:p w14:paraId="0240324F" w14:textId="70BFF04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PM-5.3</w:t>
            </w:r>
          </w:p>
        </w:tc>
        <w:tc>
          <w:tcPr>
            <w:tcW w:w="0" w:type="auto"/>
            <w:shd w:val="clear" w:color="000000" w:fill="FFFFFF"/>
          </w:tcPr>
          <w:p w14:paraId="73D6AFAD" w14:textId="65A8E51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0E1E7BC9" w14:textId="1B69B22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427F82D8" w14:textId="40E4FD6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Compliance and Risk Management </w:t>
            </w:r>
          </w:p>
        </w:tc>
        <w:tc>
          <w:tcPr>
            <w:tcW w:w="0" w:type="auto"/>
            <w:shd w:val="clear" w:color="000000" w:fill="002060"/>
          </w:tcPr>
          <w:p w14:paraId="30CB747B" w14:textId="0E725DC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Compliance Incident Information Management</w:t>
            </w:r>
          </w:p>
        </w:tc>
        <w:tc>
          <w:tcPr>
            <w:tcW w:w="0" w:type="auto"/>
            <w:shd w:val="clear" w:color="000000" w:fill="FFFFFF"/>
          </w:tcPr>
          <w:p w14:paraId="08406EA0" w14:textId="08D0AFC3"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secure lifecycle of all information and documentation related to compliance incidents, fro</w:t>
            </w:r>
            <w:r>
              <w:rPr>
                <w:rFonts w:ascii="Arial" w:eastAsia="Times New Roman" w:hAnsi="Arial" w:cs="Arial"/>
                <w:color w:val="131314"/>
                <w:kern w:val="0"/>
                <w:sz w:val="20"/>
                <w:szCs w:val="20"/>
                <w14:ligatures w14:val="none"/>
              </w:rPr>
              <w:t>m data entry to archival and notification.</w:t>
            </w:r>
          </w:p>
        </w:tc>
      </w:tr>
      <w:tr w:rsidR="000A24CD" w14:paraId="0005956F" w14:textId="77777777" w:rsidTr="00CA318C">
        <w:trPr>
          <w:trHeight w:val="780"/>
        </w:trPr>
        <w:tc>
          <w:tcPr>
            <w:tcW w:w="0" w:type="auto"/>
            <w:noWrap/>
          </w:tcPr>
          <w:p w14:paraId="16F0294B" w14:textId="48F3904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136</w:t>
            </w:r>
          </w:p>
        </w:tc>
        <w:tc>
          <w:tcPr>
            <w:tcW w:w="0" w:type="auto"/>
            <w:noWrap/>
          </w:tcPr>
          <w:p w14:paraId="166CE456" w14:textId="4E9ACBC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PM-5.4</w:t>
            </w:r>
          </w:p>
        </w:tc>
        <w:tc>
          <w:tcPr>
            <w:tcW w:w="0" w:type="auto"/>
            <w:shd w:val="clear" w:color="000000" w:fill="FFFFFF"/>
          </w:tcPr>
          <w:p w14:paraId="6A8072A8" w14:textId="6C21050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5CBB98CE" w14:textId="49CAADF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23E207C1" w14:textId="7F7FCCA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Compliance and Risk Management </w:t>
            </w:r>
          </w:p>
        </w:tc>
        <w:tc>
          <w:tcPr>
            <w:tcW w:w="0" w:type="auto"/>
            <w:shd w:val="clear" w:color="000000" w:fill="002060"/>
          </w:tcPr>
          <w:p w14:paraId="315046B0" w14:textId="2BF6F83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Adverse Action Incident Determination</w:t>
            </w:r>
          </w:p>
        </w:tc>
        <w:tc>
          <w:tcPr>
            <w:tcW w:w="0" w:type="auto"/>
            <w:shd w:val="clear" w:color="000000" w:fill="FFFFFF"/>
          </w:tcPr>
          <w:p w14:paraId="6FB4A407" w14:textId="3C9D5FD9"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determines the specific adverse action to be taken (e.g., penalties, sanctions, termination) based on investigative findings and in accordance with policy.</w:t>
            </w:r>
          </w:p>
        </w:tc>
      </w:tr>
      <w:tr w:rsidR="000A24CD" w14:paraId="1EC18492" w14:textId="77777777" w:rsidTr="00CA318C">
        <w:trPr>
          <w:trHeight w:val="780"/>
        </w:trPr>
        <w:tc>
          <w:tcPr>
            <w:tcW w:w="0" w:type="auto"/>
            <w:noWrap/>
          </w:tcPr>
          <w:p w14:paraId="3FE57554" w14:textId="7C72EA0F"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137</w:t>
            </w:r>
          </w:p>
        </w:tc>
        <w:tc>
          <w:tcPr>
            <w:tcW w:w="0" w:type="auto"/>
            <w:noWrap/>
          </w:tcPr>
          <w:p w14:paraId="60D2FE3E" w14:textId="56C60CD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PM-5.5</w:t>
            </w:r>
          </w:p>
        </w:tc>
        <w:tc>
          <w:tcPr>
            <w:tcW w:w="0" w:type="auto"/>
            <w:shd w:val="clear" w:color="000000" w:fill="FFFFFF"/>
          </w:tcPr>
          <w:p w14:paraId="19706B7D" w14:textId="73ED8E6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08D86185" w14:textId="7B7C4AF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7021ED40" w14:textId="6A55189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Compliance and Risk Management </w:t>
            </w:r>
          </w:p>
        </w:tc>
        <w:tc>
          <w:tcPr>
            <w:tcW w:w="0" w:type="auto"/>
            <w:shd w:val="clear" w:color="000000" w:fill="002060"/>
          </w:tcPr>
          <w:p w14:paraId="6097AA75" w14:textId="6155CD3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Eligibility &amp; Enrollment Anomaly Identifi</w:t>
            </w:r>
            <w:r>
              <w:rPr>
                <w:rFonts w:ascii="Arial" w:eastAsia="Times New Roman" w:hAnsi="Arial" w:cs="Arial"/>
                <w:b/>
                <w:bCs/>
                <w:color w:val="FFFFFF"/>
                <w:kern w:val="0"/>
                <w:sz w:val="20"/>
                <w:szCs w:val="20"/>
                <w14:ligatures w14:val="none"/>
              </w:rPr>
              <w:t>cation</w:t>
            </w:r>
          </w:p>
        </w:tc>
        <w:tc>
          <w:tcPr>
            <w:tcW w:w="0" w:type="auto"/>
            <w:shd w:val="clear" w:color="000000" w:fill="FFFFFF"/>
          </w:tcPr>
          <w:p w14:paraId="35732E3C" w14:textId="6A82067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131314"/>
                <w:kern w:val="0"/>
                <w:sz w:val="20"/>
                <w:szCs w:val="20"/>
                <w14:ligatures w14:val="none"/>
              </w:rPr>
              <w:t>This capability identifies anomalies in eligibility and enrollment by cross-referencing enrollment status across programs and jurisdictions, detecting duplicate enrollments or comparable service registrations to support fraud prevention.</w:t>
            </w:r>
          </w:p>
        </w:tc>
      </w:tr>
      <w:tr w:rsidR="000A24CD" w14:paraId="62DB97E4" w14:textId="77777777" w:rsidTr="00CA318C">
        <w:trPr>
          <w:trHeight w:val="780"/>
        </w:trPr>
        <w:tc>
          <w:tcPr>
            <w:tcW w:w="0" w:type="auto"/>
            <w:noWrap/>
          </w:tcPr>
          <w:p w14:paraId="448B58F7" w14:textId="11034629"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138</w:t>
            </w:r>
          </w:p>
        </w:tc>
        <w:tc>
          <w:tcPr>
            <w:tcW w:w="0" w:type="auto"/>
            <w:noWrap/>
          </w:tcPr>
          <w:p w14:paraId="30E0DF76" w14:textId="2711499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PM-5.7</w:t>
            </w:r>
          </w:p>
        </w:tc>
        <w:tc>
          <w:tcPr>
            <w:tcW w:w="0" w:type="auto"/>
            <w:shd w:val="clear" w:color="000000" w:fill="FFFFFF"/>
          </w:tcPr>
          <w:p w14:paraId="3DE982A4" w14:textId="4DA93E4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4245A013" w14:textId="70C841C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041AD239" w14:textId="4D904A6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Compliance and Risk Management </w:t>
            </w:r>
          </w:p>
        </w:tc>
        <w:tc>
          <w:tcPr>
            <w:tcW w:w="0" w:type="auto"/>
            <w:shd w:val="clear" w:color="auto" w:fill="4C94D8" w:themeFill="text2" w:themeFillTint="80"/>
          </w:tcPr>
          <w:p w14:paraId="13FF759B" w14:textId="63DCF493"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Provider Availability Monitoring</w:t>
            </w:r>
          </w:p>
        </w:tc>
        <w:tc>
          <w:tcPr>
            <w:tcW w:w="0" w:type="auto"/>
            <w:shd w:val="clear" w:color="000000" w:fill="FFFFFF"/>
          </w:tcPr>
          <w:p w14:paraId="4A4F64D2" w14:textId="1128A704"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continuously monitors and analyzes provider network adequacy, including service capacity and availability, to</w:t>
            </w:r>
            <w:r>
              <w:rPr>
                <w:rFonts w:ascii="Arial" w:eastAsia="Times New Roman" w:hAnsi="Arial" w:cs="Arial"/>
                <w:color w:val="131314"/>
                <w:kern w:val="0"/>
                <w:sz w:val="20"/>
                <w:szCs w:val="20"/>
                <w14:ligatures w14:val="none"/>
              </w:rPr>
              <w:t xml:space="preserve"> ensure members have sufficient access to care.</w:t>
            </w:r>
          </w:p>
        </w:tc>
      </w:tr>
      <w:tr w:rsidR="000A24CD" w14:paraId="69EC92EE" w14:textId="77777777" w:rsidTr="00CA318C">
        <w:trPr>
          <w:trHeight w:val="780"/>
        </w:trPr>
        <w:tc>
          <w:tcPr>
            <w:tcW w:w="0" w:type="auto"/>
            <w:noWrap/>
          </w:tcPr>
          <w:p w14:paraId="76CC1C14" w14:textId="33AF172B"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139</w:t>
            </w:r>
          </w:p>
        </w:tc>
        <w:tc>
          <w:tcPr>
            <w:tcW w:w="0" w:type="auto"/>
            <w:noWrap/>
          </w:tcPr>
          <w:p w14:paraId="0F5E313E" w14:textId="4CA8F1B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PM-5.11</w:t>
            </w:r>
          </w:p>
        </w:tc>
        <w:tc>
          <w:tcPr>
            <w:tcW w:w="0" w:type="auto"/>
            <w:shd w:val="clear" w:color="000000" w:fill="FFFFFF"/>
          </w:tcPr>
          <w:p w14:paraId="2B93C24F" w14:textId="50FBB77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5E921FAC" w14:textId="63B97BE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26D5F48F" w14:textId="5DD472C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Compliance and Risk Management </w:t>
            </w:r>
          </w:p>
        </w:tc>
        <w:tc>
          <w:tcPr>
            <w:tcW w:w="0" w:type="auto"/>
            <w:shd w:val="clear" w:color="000000" w:fill="002060"/>
          </w:tcPr>
          <w:p w14:paraId="7913DB13" w14:textId="31504F5C"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Federal &amp; State Audit Support</w:t>
            </w:r>
          </w:p>
        </w:tc>
        <w:tc>
          <w:tcPr>
            <w:tcW w:w="0" w:type="auto"/>
            <w:shd w:val="clear" w:color="000000" w:fill="FFFFFF"/>
          </w:tcPr>
          <w:p w14:paraId="09C872E6" w14:textId="084DDB4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coordination, data gathering, and response activities required to support federal and state audits across all program areas.</w:t>
            </w:r>
          </w:p>
        </w:tc>
      </w:tr>
      <w:tr w:rsidR="000A24CD" w14:paraId="3786114B" w14:textId="77777777" w:rsidTr="00CA318C">
        <w:trPr>
          <w:trHeight w:val="780"/>
        </w:trPr>
        <w:tc>
          <w:tcPr>
            <w:tcW w:w="0" w:type="auto"/>
            <w:noWrap/>
            <w:hideMark/>
          </w:tcPr>
          <w:p w14:paraId="7D41A057" w14:textId="2DE174C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140</w:t>
            </w:r>
          </w:p>
        </w:tc>
        <w:tc>
          <w:tcPr>
            <w:tcW w:w="0" w:type="auto"/>
            <w:noWrap/>
            <w:hideMark/>
          </w:tcPr>
          <w:p w14:paraId="59B12A42" w14:textId="3D48DAA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PM-6.1</w:t>
            </w:r>
          </w:p>
        </w:tc>
        <w:tc>
          <w:tcPr>
            <w:tcW w:w="0" w:type="auto"/>
            <w:shd w:val="clear" w:color="000000" w:fill="FFFFFF"/>
            <w:hideMark/>
          </w:tcPr>
          <w:p w14:paraId="7CAEFB2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5FE68E9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2AFA0FC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Services Design</w:t>
            </w:r>
          </w:p>
        </w:tc>
        <w:tc>
          <w:tcPr>
            <w:tcW w:w="0" w:type="auto"/>
            <w:shd w:val="clear" w:color="000000" w:fill="002060"/>
            <w:hideMark/>
          </w:tcPr>
          <w:p w14:paraId="563B161C" w14:textId="39BCFFC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Coverage &amp; Services Provision Criteria Management</w:t>
            </w:r>
          </w:p>
        </w:tc>
        <w:tc>
          <w:tcPr>
            <w:tcW w:w="0" w:type="auto"/>
            <w:shd w:val="clear" w:color="000000" w:fill="FFFFFF"/>
            <w:hideMark/>
          </w:tcPr>
          <w:p w14:paraId="33CC167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w:t>
            </w:r>
            <w:r>
              <w:rPr>
                <w:rFonts w:ascii="Arial" w:eastAsia="Times New Roman" w:hAnsi="Arial" w:cs="Arial"/>
                <w:kern w:val="0"/>
                <w:sz w:val="20"/>
                <w:szCs w:val="20"/>
                <w14:ligatures w14:val="none"/>
              </w:rPr>
              <w:t>es the criteria for updating, tracking and reviewing coverage information in accordance with any changes in policy, regulation, or legislation affecting the provision of Medicaid coverage and services.</w:t>
            </w:r>
          </w:p>
        </w:tc>
      </w:tr>
      <w:tr w:rsidR="000A24CD" w14:paraId="7A98970E" w14:textId="77777777" w:rsidTr="00CA318C">
        <w:trPr>
          <w:trHeight w:val="780"/>
        </w:trPr>
        <w:tc>
          <w:tcPr>
            <w:tcW w:w="0" w:type="auto"/>
            <w:noWrap/>
            <w:hideMark/>
          </w:tcPr>
          <w:p w14:paraId="2D524A15" w14:textId="22AC840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141</w:t>
            </w:r>
          </w:p>
        </w:tc>
        <w:tc>
          <w:tcPr>
            <w:tcW w:w="0" w:type="auto"/>
            <w:noWrap/>
            <w:hideMark/>
          </w:tcPr>
          <w:p w14:paraId="48F0C751" w14:textId="4F50DBA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PM-6.2</w:t>
            </w:r>
          </w:p>
        </w:tc>
        <w:tc>
          <w:tcPr>
            <w:tcW w:w="0" w:type="auto"/>
            <w:shd w:val="clear" w:color="000000" w:fill="FFFFFF"/>
            <w:hideMark/>
          </w:tcPr>
          <w:p w14:paraId="581B5766"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2BF4D04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69E60C2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Services Design</w:t>
            </w:r>
          </w:p>
        </w:tc>
        <w:tc>
          <w:tcPr>
            <w:tcW w:w="0" w:type="auto"/>
            <w:shd w:val="clear" w:color="000000" w:fill="002060"/>
            <w:hideMark/>
          </w:tcPr>
          <w:p w14:paraId="396E0DE3" w14:textId="6C066AFB"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Eligibility Criteria / Rules Management</w:t>
            </w:r>
          </w:p>
        </w:tc>
        <w:tc>
          <w:tcPr>
            <w:tcW w:w="0" w:type="auto"/>
            <w:shd w:val="clear" w:color="000000" w:fill="FFFFFF"/>
            <w:hideMark/>
          </w:tcPr>
          <w:p w14:paraId="4E179AC0" w14:textId="4D430190"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governs the definition, maintenance, and implementation of the business rules and criteria that determine eligibility.</w:t>
            </w:r>
          </w:p>
        </w:tc>
      </w:tr>
      <w:tr w:rsidR="000A24CD" w14:paraId="1A3353FE" w14:textId="77777777" w:rsidTr="00CA318C">
        <w:trPr>
          <w:trHeight w:val="780"/>
        </w:trPr>
        <w:tc>
          <w:tcPr>
            <w:tcW w:w="0" w:type="auto"/>
            <w:noWrap/>
            <w:hideMark/>
          </w:tcPr>
          <w:p w14:paraId="4AE7F616" w14:textId="1E9FDE3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142</w:t>
            </w:r>
          </w:p>
        </w:tc>
        <w:tc>
          <w:tcPr>
            <w:tcW w:w="0" w:type="auto"/>
            <w:noWrap/>
            <w:hideMark/>
          </w:tcPr>
          <w:p w14:paraId="3FD88987" w14:textId="761B87F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PM-6.3</w:t>
            </w:r>
          </w:p>
        </w:tc>
        <w:tc>
          <w:tcPr>
            <w:tcW w:w="0" w:type="auto"/>
            <w:shd w:val="clear" w:color="000000" w:fill="FFFFFF"/>
            <w:hideMark/>
          </w:tcPr>
          <w:p w14:paraId="7120CA3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w:t>
            </w:r>
            <w:r>
              <w:rPr>
                <w:rFonts w:ascii="Arial" w:eastAsia="Times New Roman" w:hAnsi="Arial" w:cs="Arial"/>
                <w:kern w:val="0"/>
                <w:sz w:val="20"/>
                <w:szCs w:val="20"/>
                <w14:ligatures w14:val="none"/>
              </w:rPr>
              <w:t>agement</w:t>
            </w:r>
          </w:p>
        </w:tc>
        <w:tc>
          <w:tcPr>
            <w:tcW w:w="0" w:type="auto"/>
            <w:shd w:val="clear" w:color="000000" w:fill="FFFFFF"/>
            <w:hideMark/>
          </w:tcPr>
          <w:p w14:paraId="11FABFC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5B9D063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Services Design</w:t>
            </w:r>
          </w:p>
        </w:tc>
        <w:tc>
          <w:tcPr>
            <w:tcW w:w="0" w:type="auto"/>
            <w:shd w:val="clear" w:color="000000" w:fill="002060"/>
            <w:hideMark/>
          </w:tcPr>
          <w:p w14:paraId="32057282" w14:textId="193CE9B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Disallowances Process Management</w:t>
            </w:r>
          </w:p>
        </w:tc>
        <w:tc>
          <w:tcPr>
            <w:tcW w:w="0" w:type="auto"/>
            <w:shd w:val="clear" w:color="000000" w:fill="FFFFFF"/>
            <w:hideMark/>
          </w:tcPr>
          <w:p w14:paraId="1606B3F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process for determining and managing the recoupment of denied payments that were improperly billed, not medically necessary, or lacked proper documentation in follow up of decisions from Medicaid audits.</w:t>
            </w:r>
          </w:p>
        </w:tc>
      </w:tr>
      <w:tr w:rsidR="000A24CD" w14:paraId="284FCB2E" w14:textId="77777777" w:rsidTr="00CA318C">
        <w:trPr>
          <w:trHeight w:val="780"/>
        </w:trPr>
        <w:tc>
          <w:tcPr>
            <w:tcW w:w="0" w:type="auto"/>
            <w:noWrap/>
            <w:hideMark/>
          </w:tcPr>
          <w:p w14:paraId="3E29E667" w14:textId="50DF3EF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143</w:t>
            </w:r>
          </w:p>
        </w:tc>
        <w:tc>
          <w:tcPr>
            <w:tcW w:w="0" w:type="auto"/>
            <w:noWrap/>
            <w:hideMark/>
          </w:tcPr>
          <w:p w14:paraId="6878E0EC" w14:textId="1F7E6A2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PM-6.4</w:t>
            </w:r>
          </w:p>
        </w:tc>
        <w:tc>
          <w:tcPr>
            <w:tcW w:w="0" w:type="auto"/>
            <w:shd w:val="clear" w:color="000000" w:fill="FFFFFF"/>
            <w:hideMark/>
          </w:tcPr>
          <w:p w14:paraId="00599FF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095AA598"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758F6A0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Services Design</w:t>
            </w:r>
          </w:p>
        </w:tc>
        <w:tc>
          <w:tcPr>
            <w:tcW w:w="0" w:type="auto"/>
            <w:shd w:val="clear" w:color="000000" w:fill="002060"/>
            <w:hideMark/>
          </w:tcPr>
          <w:p w14:paraId="19E42E90" w14:textId="4FBA783C"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Program Information Management</w:t>
            </w:r>
          </w:p>
        </w:tc>
        <w:tc>
          <w:tcPr>
            <w:tcW w:w="0" w:type="auto"/>
            <w:shd w:val="clear" w:color="000000" w:fill="FFFFFF"/>
            <w:hideMark/>
          </w:tcPr>
          <w:p w14:paraId="61DAF758" w14:textId="7F6B4A70"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central repository of a</w:t>
            </w:r>
            <w:r>
              <w:rPr>
                <w:rFonts w:ascii="Arial" w:eastAsia="Times New Roman" w:hAnsi="Arial" w:cs="Arial"/>
                <w:color w:val="131314"/>
                <w:kern w:val="0"/>
                <w:sz w:val="20"/>
                <w:szCs w:val="20"/>
                <w14:ligatures w14:val="none"/>
              </w:rPr>
              <w:t>ll administrative program information, including business rules and benefit plan designs, to ensure alignment with strategic goals.</w:t>
            </w:r>
          </w:p>
        </w:tc>
      </w:tr>
      <w:tr w:rsidR="000A24CD" w14:paraId="2A137F80" w14:textId="77777777" w:rsidTr="00CA318C">
        <w:trPr>
          <w:trHeight w:val="790"/>
        </w:trPr>
        <w:tc>
          <w:tcPr>
            <w:tcW w:w="0" w:type="auto"/>
            <w:noWrap/>
            <w:hideMark/>
          </w:tcPr>
          <w:p w14:paraId="18325FE2" w14:textId="5213B38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144</w:t>
            </w:r>
          </w:p>
        </w:tc>
        <w:tc>
          <w:tcPr>
            <w:tcW w:w="0" w:type="auto"/>
            <w:noWrap/>
            <w:hideMark/>
          </w:tcPr>
          <w:p w14:paraId="5F950F1B" w14:textId="58DA4FC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PM-6.5</w:t>
            </w:r>
          </w:p>
        </w:tc>
        <w:tc>
          <w:tcPr>
            <w:tcW w:w="0" w:type="auto"/>
            <w:shd w:val="clear" w:color="000000" w:fill="FFFFFF"/>
            <w:hideMark/>
          </w:tcPr>
          <w:p w14:paraId="74716CE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3E6AC70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216363B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Services Design</w:t>
            </w:r>
          </w:p>
        </w:tc>
        <w:tc>
          <w:tcPr>
            <w:tcW w:w="0" w:type="auto"/>
            <w:shd w:val="clear" w:color="000000" w:fill="002060"/>
            <w:hideMark/>
          </w:tcPr>
          <w:p w14:paraId="7CF43D96" w14:textId="2FD28D2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Accreditation Standards Establishment</w:t>
            </w:r>
          </w:p>
        </w:tc>
        <w:tc>
          <w:tcPr>
            <w:tcW w:w="0" w:type="auto"/>
            <w:shd w:val="clear" w:color="000000" w:fill="FFFFFF"/>
            <w:hideMark/>
          </w:tcPr>
          <w:p w14:paraId="40EB9DDA" w14:textId="3B7DEEA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defines, maintains, and publishes the accreditation standards that providers and health plans must meet to participate in the program.</w:t>
            </w:r>
          </w:p>
        </w:tc>
      </w:tr>
      <w:tr w:rsidR="000A24CD" w14:paraId="48D909E7" w14:textId="77777777" w:rsidTr="00CA318C">
        <w:trPr>
          <w:trHeight w:val="780"/>
        </w:trPr>
        <w:tc>
          <w:tcPr>
            <w:tcW w:w="0" w:type="auto"/>
            <w:noWrap/>
            <w:hideMark/>
          </w:tcPr>
          <w:p w14:paraId="4B7A6466" w14:textId="693A570F"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145</w:t>
            </w:r>
          </w:p>
        </w:tc>
        <w:tc>
          <w:tcPr>
            <w:tcW w:w="0" w:type="auto"/>
            <w:noWrap/>
            <w:hideMark/>
          </w:tcPr>
          <w:p w14:paraId="316A8BF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PM-7.1</w:t>
            </w:r>
          </w:p>
        </w:tc>
        <w:tc>
          <w:tcPr>
            <w:tcW w:w="0" w:type="auto"/>
            <w:shd w:val="clear" w:color="000000" w:fill="FFFFFF"/>
            <w:hideMark/>
          </w:tcPr>
          <w:p w14:paraId="5F87BC8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755832F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53A77F0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Communication </w:t>
            </w:r>
            <w:r>
              <w:rPr>
                <w:rFonts w:ascii="Arial" w:eastAsia="Times New Roman" w:hAnsi="Arial" w:cs="Arial"/>
                <w:kern w:val="0"/>
                <w:sz w:val="20"/>
                <w:szCs w:val="20"/>
                <w14:ligatures w14:val="none"/>
              </w:rPr>
              <w:t>Management</w:t>
            </w:r>
          </w:p>
        </w:tc>
        <w:tc>
          <w:tcPr>
            <w:tcW w:w="0" w:type="auto"/>
            <w:shd w:val="clear" w:color="000000" w:fill="4D93D9"/>
            <w:hideMark/>
          </w:tcPr>
          <w:p w14:paraId="5BC1E96B" w14:textId="7E2AD01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Communication Strategy Management</w:t>
            </w:r>
          </w:p>
        </w:tc>
        <w:tc>
          <w:tcPr>
            <w:tcW w:w="0" w:type="auto"/>
            <w:shd w:val="clear" w:color="000000" w:fill="FFFFFF"/>
            <w:hideMark/>
          </w:tcPr>
          <w:p w14:paraId="39248397" w14:textId="4B7DBC93"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develops and governs the overarching strategy for all internal and external organizational communications to ensure a consistent and effective message.</w:t>
            </w:r>
          </w:p>
        </w:tc>
      </w:tr>
      <w:tr w:rsidR="000A24CD" w14:paraId="2634747E" w14:textId="77777777" w:rsidTr="00CA318C">
        <w:trPr>
          <w:trHeight w:val="790"/>
        </w:trPr>
        <w:tc>
          <w:tcPr>
            <w:tcW w:w="0" w:type="auto"/>
            <w:noWrap/>
            <w:hideMark/>
          </w:tcPr>
          <w:p w14:paraId="495DB8C9" w14:textId="31B8327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146</w:t>
            </w:r>
          </w:p>
        </w:tc>
        <w:tc>
          <w:tcPr>
            <w:tcW w:w="0" w:type="auto"/>
            <w:noWrap/>
            <w:hideMark/>
          </w:tcPr>
          <w:p w14:paraId="2B86D701"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PM-7.2</w:t>
            </w:r>
          </w:p>
        </w:tc>
        <w:tc>
          <w:tcPr>
            <w:tcW w:w="0" w:type="auto"/>
            <w:shd w:val="clear" w:color="000000" w:fill="FFFFFF"/>
            <w:hideMark/>
          </w:tcPr>
          <w:p w14:paraId="6EF30EF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7D92E0A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hideMark/>
          </w:tcPr>
          <w:p w14:paraId="06C0E09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Communication Management</w:t>
            </w:r>
          </w:p>
        </w:tc>
        <w:tc>
          <w:tcPr>
            <w:tcW w:w="0" w:type="auto"/>
            <w:shd w:val="clear" w:color="000000" w:fill="002060"/>
            <w:hideMark/>
          </w:tcPr>
          <w:p w14:paraId="30753283" w14:textId="77777777"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Content Development &amp; Customization</w:t>
            </w:r>
          </w:p>
        </w:tc>
        <w:tc>
          <w:tcPr>
            <w:tcW w:w="0" w:type="auto"/>
            <w:shd w:val="clear" w:color="000000" w:fill="FFFFFF"/>
            <w:hideMark/>
          </w:tcPr>
          <w:p w14:paraId="1B1F98C5" w14:textId="7759CCE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creates, customizes, and manages content for all communication channels and consumer audiences to support program and policy updates.</w:t>
            </w:r>
          </w:p>
        </w:tc>
      </w:tr>
      <w:tr w:rsidR="000A24CD" w14:paraId="72034B23" w14:textId="77777777" w:rsidTr="00CA318C">
        <w:trPr>
          <w:trHeight w:val="790"/>
        </w:trPr>
        <w:tc>
          <w:tcPr>
            <w:tcW w:w="0" w:type="auto"/>
            <w:noWrap/>
          </w:tcPr>
          <w:p w14:paraId="267AEC44" w14:textId="4B167C02"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147</w:t>
            </w:r>
          </w:p>
        </w:tc>
        <w:tc>
          <w:tcPr>
            <w:tcW w:w="0" w:type="auto"/>
            <w:noWrap/>
          </w:tcPr>
          <w:p w14:paraId="54C6BE73" w14:textId="38A02B3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PM-8.1</w:t>
            </w:r>
          </w:p>
        </w:tc>
        <w:tc>
          <w:tcPr>
            <w:tcW w:w="0" w:type="auto"/>
            <w:shd w:val="clear" w:color="000000" w:fill="FFFFFF"/>
          </w:tcPr>
          <w:p w14:paraId="67852222" w14:textId="63B04B0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797B62D1" w14:textId="7D3BC34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0D8ADE6B" w14:textId="78BE81C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002060"/>
          </w:tcPr>
          <w:p w14:paraId="23837754" w14:textId="73A70305"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Issuer Certification Criteria Management</w:t>
            </w:r>
          </w:p>
        </w:tc>
        <w:tc>
          <w:tcPr>
            <w:tcW w:w="0" w:type="auto"/>
            <w:shd w:val="clear" w:color="000000" w:fill="FFFFFF"/>
          </w:tcPr>
          <w:p w14:paraId="05859DCC" w14:textId="4F1BCCA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governs the criteria and standards, including licensing and compliance requirements, that issuers must meet for certification.</w:t>
            </w:r>
          </w:p>
        </w:tc>
      </w:tr>
      <w:tr w:rsidR="000A24CD" w14:paraId="19941F8D" w14:textId="77777777" w:rsidTr="00CA318C">
        <w:trPr>
          <w:trHeight w:val="790"/>
        </w:trPr>
        <w:tc>
          <w:tcPr>
            <w:tcW w:w="0" w:type="auto"/>
            <w:noWrap/>
          </w:tcPr>
          <w:p w14:paraId="504E97FD" w14:textId="78865BC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148</w:t>
            </w:r>
          </w:p>
        </w:tc>
        <w:tc>
          <w:tcPr>
            <w:tcW w:w="0" w:type="auto"/>
            <w:noWrap/>
          </w:tcPr>
          <w:p w14:paraId="7229B3CD" w14:textId="557C0E4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PM-8.2</w:t>
            </w:r>
          </w:p>
        </w:tc>
        <w:tc>
          <w:tcPr>
            <w:tcW w:w="0" w:type="auto"/>
            <w:shd w:val="clear" w:color="000000" w:fill="FFFFFF"/>
          </w:tcPr>
          <w:p w14:paraId="44E3B915" w14:textId="0699FBD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6F402CF9" w14:textId="5C5ED3B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0C0A3E34" w14:textId="3CEC522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002060"/>
          </w:tcPr>
          <w:p w14:paraId="0000FA2E" w14:textId="133D898D"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Issuer Application Intake</w:t>
            </w:r>
          </w:p>
        </w:tc>
        <w:tc>
          <w:tcPr>
            <w:tcW w:w="0" w:type="auto"/>
            <w:shd w:val="clear" w:color="000000" w:fill="FFFFFF"/>
          </w:tcPr>
          <w:p w14:paraId="408A6D69" w14:textId="259BC8B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131314"/>
                <w:kern w:val="0"/>
                <w:sz w:val="20"/>
                <w:szCs w:val="20"/>
                <w14:ligatures w14:val="none"/>
              </w:rPr>
              <w:t>This capability manages the intake process for health plan (MCO and QHP) applications submitted by issuers seekin</w:t>
            </w:r>
            <w:r>
              <w:rPr>
                <w:rFonts w:ascii="Arial" w:eastAsia="Times New Roman" w:hAnsi="Arial" w:cs="Arial"/>
                <w:color w:val="131314"/>
                <w:kern w:val="0"/>
                <w:sz w:val="20"/>
                <w:szCs w:val="20"/>
                <w14:ligatures w14:val="none"/>
              </w:rPr>
              <w:t>g participation in the health benefit program.</w:t>
            </w:r>
          </w:p>
        </w:tc>
      </w:tr>
      <w:tr w:rsidR="000A24CD" w14:paraId="7C094EA5" w14:textId="77777777" w:rsidTr="00CA318C">
        <w:trPr>
          <w:trHeight w:val="790"/>
        </w:trPr>
        <w:tc>
          <w:tcPr>
            <w:tcW w:w="0" w:type="auto"/>
            <w:noWrap/>
          </w:tcPr>
          <w:p w14:paraId="5704A5F4" w14:textId="3AD29714"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149</w:t>
            </w:r>
          </w:p>
        </w:tc>
        <w:tc>
          <w:tcPr>
            <w:tcW w:w="0" w:type="auto"/>
            <w:noWrap/>
          </w:tcPr>
          <w:p w14:paraId="685F6E96" w14:textId="3BFA9E3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PM-8.3</w:t>
            </w:r>
          </w:p>
        </w:tc>
        <w:tc>
          <w:tcPr>
            <w:tcW w:w="0" w:type="auto"/>
            <w:shd w:val="clear" w:color="000000" w:fill="FFFFFF"/>
          </w:tcPr>
          <w:p w14:paraId="30224E61" w14:textId="2F709EAE"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2F25A992" w14:textId="0E84556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52E700B5" w14:textId="05CC076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002060"/>
          </w:tcPr>
          <w:p w14:paraId="03130237" w14:textId="1894E73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Issuer (Re)Certification Determination</w:t>
            </w:r>
          </w:p>
        </w:tc>
        <w:tc>
          <w:tcPr>
            <w:tcW w:w="0" w:type="auto"/>
            <w:shd w:val="clear" w:color="000000" w:fill="FFFFFF"/>
          </w:tcPr>
          <w:p w14:paraId="0B489F06" w14:textId="51FD5CEB"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end-to-end issuer recertification process, from application evaluation and validation to final determination and notification.</w:t>
            </w:r>
          </w:p>
        </w:tc>
      </w:tr>
      <w:tr w:rsidR="000A24CD" w14:paraId="010606DC" w14:textId="77777777" w:rsidTr="00CA318C">
        <w:trPr>
          <w:trHeight w:val="790"/>
        </w:trPr>
        <w:tc>
          <w:tcPr>
            <w:tcW w:w="0" w:type="auto"/>
            <w:noWrap/>
          </w:tcPr>
          <w:p w14:paraId="2A8A448D" w14:textId="7FE28DFE"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150</w:t>
            </w:r>
          </w:p>
        </w:tc>
        <w:tc>
          <w:tcPr>
            <w:tcW w:w="0" w:type="auto"/>
            <w:noWrap/>
          </w:tcPr>
          <w:p w14:paraId="1574B210" w14:textId="316E3552"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PM-8.4</w:t>
            </w:r>
          </w:p>
        </w:tc>
        <w:tc>
          <w:tcPr>
            <w:tcW w:w="0" w:type="auto"/>
            <w:shd w:val="clear" w:color="000000" w:fill="FFFFFF"/>
          </w:tcPr>
          <w:p w14:paraId="38DFC550" w14:textId="71C7431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7BA15C0F" w14:textId="0464AB56"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7855AF05" w14:textId="250DB2B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002060"/>
          </w:tcPr>
          <w:p w14:paraId="0A285186" w14:textId="6C0061EE"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Issuer Disenrollment</w:t>
            </w:r>
          </w:p>
        </w:tc>
        <w:tc>
          <w:tcPr>
            <w:tcW w:w="0" w:type="auto"/>
            <w:shd w:val="clear" w:color="000000" w:fill="FFFFFF"/>
          </w:tcPr>
          <w:p w14:paraId="47CC3B26" w14:textId="23A6885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This capability manages the formal process of dise</w:t>
            </w:r>
            <w:r>
              <w:rPr>
                <w:rFonts w:ascii="Arial" w:eastAsia="Times New Roman" w:hAnsi="Arial" w:cs="Arial"/>
                <w:kern w:val="0"/>
                <w:sz w:val="20"/>
                <w:szCs w:val="20"/>
                <w14:ligatures w14:val="none"/>
              </w:rPr>
              <w:t>nrolling an issuer's participation in the program, including the wind-down of all related agreements and system access.</w:t>
            </w:r>
          </w:p>
        </w:tc>
      </w:tr>
      <w:tr w:rsidR="000A24CD" w14:paraId="70362374" w14:textId="77777777" w:rsidTr="00CA318C">
        <w:trPr>
          <w:trHeight w:val="790"/>
        </w:trPr>
        <w:tc>
          <w:tcPr>
            <w:tcW w:w="0" w:type="auto"/>
            <w:noWrap/>
          </w:tcPr>
          <w:p w14:paraId="6785910A" w14:textId="46CA733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151</w:t>
            </w:r>
          </w:p>
        </w:tc>
        <w:tc>
          <w:tcPr>
            <w:tcW w:w="0" w:type="auto"/>
            <w:noWrap/>
          </w:tcPr>
          <w:p w14:paraId="0A1A1A8E" w14:textId="5FB1C7A3"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PM-8.5</w:t>
            </w:r>
          </w:p>
        </w:tc>
        <w:tc>
          <w:tcPr>
            <w:tcW w:w="0" w:type="auto"/>
            <w:shd w:val="clear" w:color="000000" w:fill="FFFFFF"/>
          </w:tcPr>
          <w:p w14:paraId="26797EF9" w14:textId="2795DC1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1E08D194" w14:textId="3B294109"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535CDA4E" w14:textId="38B0D89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002060"/>
          </w:tcPr>
          <w:p w14:paraId="2C2FBD60" w14:textId="424491D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Health Benefit Information Management</w:t>
            </w:r>
          </w:p>
        </w:tc>
        <w:tc>
          <w:tcPr>
            <w:tcW w:w="0" w:type="auto"/>
            <w:shd w:val="clear" w:color="000000" w:fill="FFFFFF"/>
          </w:tcPr>
          <w:p w14:paraId="3E80D9F3" w14:textId="60455C8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131314"/>
                <w:kern w:val="0"/>
                <w:sz w:val="20"/>
                <w:szCs w:val="20"/>
                <w14:ligatures w14:val="none"/>
              </w:rPr>
              <w:t>This capability manages the development, implementation, and certification of all MCO and QHP health benefit packages, defining benefit terms, limitations, and service periods to accommodate targeted member populations and support current and future prog</w:t>
            </w:r>
            <w:r>
              <w:rPr>
                <w:rFonts w:ascii="Arial" w:eastAsia="Times New Roman" w:hAnsi="Arial" w:cs="Arial"/>
                <w:color w:val="131314"/>
                <w:kern w:val="0"/>
                <w:sz w:val="20"/>
                <w:szCs w:val="20"/>
                <w14:ligatures w14:val="none"/>
              </w:rPr>
              <w:t>ram needs.</w:t>
            </w:r>
          </w:p>
        </w:tc>
      </w:tr>
      <w:tr w:rsidR="000A24CD" w14:paraId="73E94982" w14:textId="77777777" w:rsidTr="00CA318C">
        <w:trPr>
          <w:trHeight w:val="790"/>
        </w:trPr>
        <w:tc>
          <w:tcPr>
            <w:tcW w:w="0" w:type="auto"/>
            <w:noWrap/>
          </w:tcPr>
          <w:p w14:paraId="7257F246" w14:textId="5B9B5525"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152</w:t>
            </w:r>
          </w:p>
        </w:tc>
        <w:tc>
          <w:tcPr>
            <w:tcW w:w="0" w:type="auto"/>
            <w:noWrap/>
          </w:tcPr>
          <w:p w14:paraId="32F649BD" w14:textId="711E523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PM-8.6</w:t>
            </w:r>
          </w:p>
        </w:tc>
        <w:tc>
          <w:tcPr>
            <w:tcW w:w="0" w:type="auto"/>
            <w:shd w:val="clear" w:color="000000" w:fill="FFFFFF"/>
          </w:tcPr>
          <w:p w14:paraId="2D779720" w14:textId="12998B2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5FED7AB1" w14:textId="277B8CD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3488D0DD" w14:textId="49D6E6C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002060"/>
          </w:tcPr>
          <w:p w14:paraId="7FC16BB9" w14:textId="33441544"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Health Plan Information Management</w:t>
            </w:r>
          </w:p>
        </w:tc>
        <w:tc>
          <w:tcPr>
            <w:tcW w:w="0" w:type="auto"/>
            <w:shd w:val="clear" w:color="000000" w:fill="FFFFFF"/>
          </w:tcPr>
          <w:p w14:paraId="3A4E9650" w14:textId="64675460"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131314"/>
                <w:kern w:val="0"/>
                <w:sz w:val="20"/>
                <w:szCs w:val="20"/>
                <w14:ligatures w14:val="none"/>
              </w:rPr>
              <w:t>This capability manages the evaluation, updating, and sharing of MCO and QHP health plan service offerings, incorporating input and review from relevant agencies and stakeholders.</w:t>
            </w:r>
          </w:p>
        </w:tc>
      </w:tr>
      <w:tr w:rsidR="000A24CD" w14:paraId="3F196D29" w14:textId="77777777" w:rsidTr="00CA318C">
        <w:trPr>
          <w:trHeight w:val="790"/>
        </w:trPr>
        <w:tc>
          <w:tcPr>
            <w:tcW w:w="0" w:type="auto"/>
            <w:noWrap/>
          </w:tcPr>
          <w:p w14:paraId="398F95A3" w14:textId="55F0A818"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153</w:t>
            </w:r>
          </w:p>
        </w:tc>
        <w:tc>
          <w:tcPr>
            <w:tcW w:w="0" w:type="auto"/>
            <w:noWrap/>
          </w:tcPr>
          <w:p w14:paraId="546C565F" w14:textId="0C6D8B1F"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PM-8.7</w:t>
            </w:r>
          </w:p>
        </w:tc>
        <w:tc>
          <w:tcPr>
            <w:tcW w:w="0" w:type="auto"/>
            <w:shd w:val="clear" w:color="000000" w:fill="FFFFFF"/>
          </w:tcPr>
          <w:p w14:paraId="5B3A5147" w14:textId="1636DF1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674CF7AB" w14:textId="5219B5EC"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0EC64406" w14:textId="3F64F188"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4D93D9"/>
          </w:tcPr>
          <w:p w14:paraId="672C590B" w14:textId="617ED50A"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Reference Information Management</w:t>
            </w:r>
          </w:p>
        </w:tc>
        <w:tc>
          <w:tcPr>
            <w:tcW w:w="0" w:type="auto"/>
            <w:shd w:val="clear" w:color="000000" w:fill="FFFFFF"/>
          </w:tcPr>
          <w:p w14:paraId="2B60E40C" w14:textId="7E725D9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131314"/>
                <w:kern w:val="0"/>
                <w:sz w:val="20"/>
                <w:szCs w:val="20"/>
                <w14:ligatures w14:val="none"/>
              </w:rPr>
              <w:t>This capability manages the creation, modification, and deletion of all reference code information (e.g., Healthcare Common Procedure Coding System (HCPCS), Current Procedural Terminology (CPT), National Drug Code (NDC)), associated rates, and drug formulary updates in response to new health plans, benefits, legislative changes, or claims processing adjustments.</w:t>
            </w:r>
          </w:p>
        </w:tc>
      </w:tr>
      <w:tr w:rsidR="000A24CD" w14:paraId="091268E4" w14:textId="77777777" w:rsidTr="00CA318C">
        <w:trPr>
          <w:trHeight w:val="790"/>
        </w:trPr>
        <w:tc>
          <w:tcPr>
            <w:tcW w:w="0" w:type="auto"/>
            <w:noWrap/>
          </w:tcPr>
          <w:p w14:paraId="53BDB098" w14:textId="59BFC3FD"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154</w:t>
            </w:r>
          </w:p>
        </w:tc>
        <w:tc>
          <w:tcPr>
            <w:tcW w:w="0" w:type="auto"/>
            <w:noWrap/>
          </w:tcPr>
          <w:p w14:paraId="2F2C940E" w14:textId="2CCE9535"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000000"/>
                <w:kern w:val="0"/>
                <w:sz w:val="20"/>
                <w:szCs w:val="20"/>
                <w14:ligatures w14:val="none"/>
              </w:rPr>
              <w:t>PM-8.8</w:t>
            </w:r>
          </w:p>
        </w:tc>
        <w:tc>
          <w:tcPr>
            <w:tcW w:w="0" w:type="auto"/>
            <w:shd w:val="clear" w:color="000000" w:fill="FFFFFF"/>
          </w:tcPr>
          <w:p w14:paraId="5C38B8F2" w14:textId="65C537A1"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tcPr>
          <w:p w14:paraId="071C1048" w14:textId="59F403DD"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Management and Operations</w:t>
            </w:r>
          </w:p>
        </w:tc>
        <w:tc>
          <w:tcPr>
            <w:tcW w:w="0" w:type="auto"/>
            <w:shd w:val="clear" w:color="000000" w:fill="FFFFFF"/>
          </w:tcPr>
          <w:p w14:paraId="5AA95101" w14:textId="0145101A"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Health Plan Management</w:t>
            </w:r>
          </w:p>
        </w:tc>
        <w:tc>
          <w:tcPr>
            <w:tcW w:w="0" w:type="auto"/>
            <w:shd w:val="clear" w:color="000000" w:fill="4D93D9"/>
          </w:tcPr>
          <w:p w14:paraId="2C956BB5" w14:textId="0C3ED2FF"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State Plan Administration Maintenance</w:t>
            </w:r>
          </w:p>
        </w:tc>
        <w:tc>
          <w:tcPr>
            <w:tcW w:w="0" w:type="auto"/>
            <w:shd w:val="clear" w:color="000000" w:fill="FFFFFF"/>
          </w:tcPr>
          <w:p w14:paraId="7B51B825" w14:textId="53AB6D94"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color w:val="131314"/>
                <w:kern w:val="0"/>
                <w:sz w:val="20"/>
                <w:szCs w:val="20"/>
                <w14:ligatures w14:val="none"/>
              </w:rPr>
              <w:t>This capa</w:t>
            </w:r>
            <w:r>
              <w:rPr>
                <w:rFonts w:ascii="Arial" w:eastAsia="Times New Roman" w:hAnsi="Arial" w:cs="Arial"/>
                <w:color w:val="131314"/>
                <w:kern w:val="0"/>
                <w:sz w:val="20"/>
                <w:szCs w:val="20"/>
                <w14:ligatures w14:val="none"/>
              </w:rPr>
              <w:t>bility maintains the Medicaid State Plan by responding to scheduled and unscheduled prompts for updates and revisions, ensuring it accurately reflects the nature and scope of the State Medicaid program as legally required.</w:t>
            </w:r>
          </w:p>
        </w:tc>
      </w:tr>
      <w:tr w:rsidR="000A24CD" w14:paraId="442D1DC8" w14:textId="77777777" w:rsidTr="00CA318C">
        <w:trPr>
          <w:trHeight w:val="780"/>
        </w:trPr>
        <w:tc>
          <w:tcPr>
            <w:tcW w:w="0" w:type="auto"/>
            <w:noWrap/>
            <w:hideMark/>
          </w:tcPr>
          <w:p w14:paraId="4565BEB8" w14:textId="613131B7"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155</w:t>
            </w:r>
          </w:p>
        </w:tc>
        <w:tc>
          <w:tcPr>
            <w:tcW w:w="0" w:type="auto"/>
            <w:noWrap/>
            <w:hideMark/>
          </w:tcPr>
          <w:p w14:paraId="6B52747B"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BP-1.1</w:t>
            </w:r>
          </w:p>
        </w:tc>
        <w:tc>
          <w:tcPr>
            <w:tcW w:w="0" w:type="auto"/>
            <w:shd w:val="clear" w:color="000000" w:fill="FFFFFF"/>
            <w:hideMark/>
          </w:tcPr>
          <w:p w14:paraId="554B7224"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4A66B8CD"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Management</w:t>
            </w:r>
          </w:p>
        </w:tc>
        <w:tc>
          <w:tcPr>
            <w:tcW w:w="0" w:type="auto"/>
            <w:shd w:val="clear" w:color="000000" w:fill="FFFFFF"/>
            <w:hideMark/>
          </w:tcPr>
          <w:p w14:paraId="61CC75A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Relationship Management</w:t>
            </w:r>
          </w:p>
        </w:tc>
        <w:tc>
          <w:tcPr>
            <w:tcW w:w="0" w:type="auto"/>
            <w:shd w:val="clear" w:color="000000" w:fill="002060"/>
            <w:hideMark/>
          </w:tcPr>
          <w:p w14:paraId="7BC95D34" w14:textId="374D125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Business Relationship Establishment</w:t>
            </w:r>
          </w:p>
        </w:tc>
        <w:tc>
          <w:tcPr>
            <w:tcW w:w="0" w:type="auto"/>
            <w:shd w:val="clear" w:color="000000" w:fill="FFFFFF"/>
            <w:hideMark/>
          </w:tcPr>
          <w:p w14:paraId="77098B2C" w14:textId="1336E1AE"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establishment of formal relationships with business partners, including the negotiation and execution of all gove</w:t>
            </w:r>
            <w:r>
              <w:rPr>
                <w:rFonts w:ascii="Arial" w:eastAsia="Times New Roman" w:hAnsi="Arial" w:cs="Arial"/>
                <w:color w:val="131314"/>
                <w:kern w:val="0"/>
                <w:sz w:val="20"/>
                <w:szCs w:val="20"/>
                <w14:ligatures w14:val="none"/>
              </w:rPr>
              <w:t>rning agreements (e.g., MOUs, SLAs, EDI).</w:t>
            </w:r>
          </w:p>
        </w:tc>
      </w:tr>
      <w:tr w:rsidR="000A24CD" w14:paraId="64AB447C" w14:textId="77777777" w:rsidTr="00CA318C">
        <w:trPr>
          <w:trHeight w:val="780"/>
        </w:trPr>
        <w:tc>
          <w:tcPr>
            <w:tcW w:w="0" w:type="auto"/>
            <w:noWrap/>
            <w:hideMark/>
          </w:tcPr>
          <w:p w14:paraId="11DC52CF" w14:textId="3B7C9991"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156</w:t>
            </w:r>
          </w:p>
        </w:tc>
        <w:tc>
          <w:tcPr>
            <w:tcW w:w="0" w:type="auto"/>
            <w:noWrap/>
            <w:hideMark/>
          </w:tcPr>
          <w:p w14:paraId="4C6177C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BP-1.2</w:t>
            </w:r>
          </w:p>
        </w:tc>
        <w:tc>
          <w:tcPr>
            <w:tcW w:w="0" w:type="auto"/>
            <w:shd w:val="clear" w:color="000000" w:fill="FFFFFF"/>
            <w:hideMark/>
          </w:tcPr>
          <w:p w14:paraId="523E2B4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360EE59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management</w:t>
            </w:r>
          </w:p>
        </w:tc>
        <w:tc>
          <w:tcPr>
            <w:tcW w:w="0" w:type="auto"/>
            <w:shd w:val="clear" w:color="000000" w:fill="FFFFFF"/>
            <w:hideMark/>
          </w:tcPr>
          <w:p w14:paraId="74898393"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Relationship Management</w:t>
            </w:r>
          </w:p>
        </w:tc>
        <w:tc>
          <w:tcPr>
            <w:tcW w:w="0" w:type="auto"/>
            <w:shd w:val="clear" w:color="000000" w:fill="002060"/>
            <w:hideMark/>
          </w:tcPr>
          <w:p w14:paraId="5A899C6E" w14:textId="7071AA2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Business Relationship Information Management</w:t>
            </w:r>
          </w:p>
        </w:tc>
        <w:tc>
          <w:tcPr>
            <w:tcW w:w="0" w:type="auto"/>
            <w:shd w:val="clear" w:color="000000" w:fill="FFFFFF"/>
            <w:hideMark/>
          </w:tcPr>
          <w:p w14:paraId="6C4315E1" w14:textId="276D4922"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central repository of all business partner information, including agreements, contact details, and interaction history.</w:t>
            </w:r>
          </w:p>
        </w:tc>
      </w:tr>
      <w:tr w:rsidR="000A24CD" w14:paraId="06B05709" w14:textId="77777777" w:rsidTr="00CA318C">
        <w:trPr>
          <w:trHeight w:val="790"/>
        </w:trPr>
        <w:tc>
          <w:tcPr>
            <w:tcW w:w="0" w:type="auto"/>
            <w:noWrap/>
            <w:hideMark/>
          </w:tcPr>
          <w:p w14:paraId="196F2AAE" w14:textId="269B6FA0"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157</w:t>
            </w:r>
          </w:p>
        </w:tc>
        <w:tc>
          <w:tcPr>
            <w:tcW w:w="0" w:type="auto"/>
            <w:noWrap/>
            <w:hideMark/>
          </w:tcPr>
          <w:p w14:paraId="58C522B0"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BP-1.3</w:t>
            </w:r>
          </w:p>
        </w:tc>
        <w:tc>
          <w:tcPr>
            <w:tcW w:w="0" w:type="auto"/>
            <w:shd w:val="clear" w:color="000000" w:fill="FFFFFF"/>
            <w:hideMark/>
          </w:tcPr>
          <w:p w14:paraId="1DD08CBC"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64B3D71F"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management</w:t>
            </w:r>
          </w:p>
        </w:tc>
        <w:tc>
          <w:tcPr>
            <w:tcW w:w="0" w:type="auto"/>
            <w:shd w:val="clear" w:color="000000" w:fill="FFFFFF"/>
            <w:hideMark/>
          </w:tcPr>
          <w:p w14:paraId="62509D6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Relationship Management</w:t>
            </w:r>
          </w:p>
        </w:tc>
        <w:tc>
          <w:tcPr>
            <w:tcW w:w="0" w:type="auto"/>
            <w:shd w:val="clear" w:color="000000" w:fill="002060"/>
            <w:hideMark/>
          </w:tcPr>
          <w:p w14:paraId="49B3236D" w14:textId="34161189"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Business Relationship Termination</w:t>
            </w:r>
          </w:p>
        </w:tc>
        <w:tc>
          <w:tcPr>
            <w:tcW w:w="0" w:type="auto"/>
            <w:shd w:val="clear" w:color="000000" w:fill="FFFFFF"/>
            <w:hideMark/>
          </w:tcPr>
          <w:p w14:paraId="7862F079" w14:textId="489C3314"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w:t>
            </w:r>
            <w:r>
              <w:rPr>
                <w:rFonts w:ascii="Arial" w:eastAsia="Times New Roman" w:hAnsi="Arial" w:cs="Arial"/>
                <w:color w:val="131314"/>
                <w:kern w:val="0"/>
                <w:sz w:val="20"/>
                <w:szCs w:val="20"/>
                <w14:ligatures w14:val="none"/>
              </w:rPr>
              <w:t>ages the formal process of terminating business partner relationships and ensuring the orderly closeout of all related agreements and obligations.</w:t>
            </w:r>
          </w:p>
        </w:tc>
      </w:tr>
      <w:tr w:rsidR="000A24CD" w14:paraId="1F186112" w14:textId="77777777" w:rsidTr="00CA318C">
        <w:trPr>
          <w:trHeight w:val="780"/>
        </w:trPr>
        <w:tc>
          <w:tcPr>
            <w:tcW w:w="0" w:type="auto"/>
            <w:noWrap/>
            <w:hideMark/>
          </w:tcPr>
          <w:p w14:paraId="36079829" w14:textId="2B605C6F"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158</w:t>
            </w:r>
          </w:p>
        </w:tc>
        <w:tc>
          <w:tcPr>
            <w:tcW w:w="0" w:type="auto"/>
            <w:noWrap/>
            <w:hideMark/>
          </w:tcPr>
          <w:p w14:paraId="5C6536F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BP-2.1</w:t>
            </w:r>
          </w:p>
        </w:tc>
        <w:tc>
          <w:tcPr>
            <w:tcW w:w="0" w:type="auto"/>
            <w:shd w:val="clear" w:color="000000" w:fill="FFFFFF"/>
            <w:hideMark/>
          </w:tcPr>
          <w:p w14:paraId="31FA3B95"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Service Management</w:t>
            </w:r>
          </w:p>
        </w:tc>
        <w:tc>
          <w:tcPr>
            <w:tcW w:w="0" w:type="auto"/>
            <w:shd w:val="clear" w:color="000000" w:fill="FFFFFF"/>
            <w:hideMark/>
          </w:tcPr>
          <w:p w14:paraId="67CC902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Management</w:t>
            </w:r>
          </w:p>
        </w:tc>
        <w:tc>
          <w:tcPr>
            <w:tcW w:w="0" w:type="auto"/>
            <w:shd w:val="clear" w:color="000000" w:fill="FFFFFF"/>
            <w:hideMark/>
          </w:tcPr>
          <w:p w14:paraId="2DC31DE2"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Information Sharing</w:t>
            </w:r>
          </w:p>
        </w:tc>
        <w:tc>
          <w:tcPr>
            <w:tcW w:w="0" w:type="auto"/>
            <w:shd w:val="clear" w:color="000000" w:fill="002060"/>
            <w:hideMark/>
          </w:tcPr>
          <w:p w14:paraId="315E284A" w14:textId="2AC6E3D2"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Information Sharing with Partners/Systems Management</w:t>
            </w:r>
          </w:p>
        </w:tc>
        <w:tc>
          <w:tcPr>
            <w:tcW w:w="0" w:type="auto"/>
            <w:shd w:val="clear" w:color="000000" w:fill="FFFFFF"/>
            <w:hideMark/>
          </w:tcPr>
          <w:p w14:paraId="043C79C6"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the secure, regulated, and confidential exchange and utilization of sensitive applicant and beneficiary data with other external entities and systems.</w:t>
            </w:r>
          </w:p>
        </w:tc>
      </w:tr>
      <w:tr w:rsidR="000A24CD" w14:paraId="090B4DBE" w14:textId="77777777" w:rsidTr="00CA318C">
        <w:trPr>
          <w:trHeight w:val="790"/>
        </w:trPr>
        <w:tc>
          <w:tcPr>
            <w:tcW w:w="0" w:type="auto"/>
            <w:noWrap/>
            <w:hideMark/>
          </w:tcPr>
          <w:p w14:paraId="0550B59A" w14:textId="2B1EAC6F" w:rsidR="000A24CD" w:rsidRPr="00FD5FFA" w:rsidRDefault="00120DC3">
            <w:pPr>
              <w:spacing w:after="0" w:line="240" w:lineRule="auto"/>
              <w:jc w:val="center"/>
              <w:rPr>
                <w:rFonts w:ascii="Arial" w:eastAsia="Times New Roman" w:hAnsi="Arial" w:cs="Arial"/>
                <w:color w:val="000000"/>
                <w:kern w:val="0"/>
                <w:sz w:val="20"/>
                <w:szCs w:val="20"/>
                <w14:ligatures w14:val="none"/>
              </w:rPr>
            </w:pPr>
            <w:r w:rsidRPr="00FD5FFA">
              <w:rPr>
                <w:rFonts w:ascii="Arial" w:eastAsia="Times New Roman" w:hAnsi="Arial" w:cs="Arial"/>
                <w:color w:val="000000"/>
                <w:kern w:val="0"/>
                <w:sz w:val="20"/>
                <w:szCs w:val="20"/>
                <w14:ligatures w14:val="none"/>
              </w:rPr>
              <w:t>159</w:t>
            </w:r>
          </w:p>
        </w:tc>
        <w:tc>
          <w:tcPr>
            <w:tcW w:w="0" w:type="auto"/>
            <w:noWrap/>
            <w:hideMark/>
          </w:tcPr>
          <w:p w14:paraId="0453820E"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BP-2.2</w:t>
            </w:r>
          </w:p>
        </w:tc>
        <w:tc>
          <w:tcPr>
            <w:tcW w:w="0" w:type="auto"/>
            <w:shd w:val="clear" w:color="000000" w:fill="FFFFFF"/>
            <w:hideMark/>
          </w:tcPr>
          <w:p w14:paraId="12B113E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Program and Servi</w:t>
            </w:r>
            <w:r>
              <w:rPr>
                <w:rFonts w:ascii="Arial" w:eastAsia="Times New Roman" w:hAnsi="Arial" w:cs="Arial"/>
                <w:kern w:val="0"/>
                <w:sz w:val="20"/>
                <w:szCs w:val="20"/>
                <w14:ligatures w14:val="none"/>
              </w:rPr>
              <w:t>ce Management</w:t>
            </w:r>
          </w:p>
        </w:tc>
        <w:tc>
          <w:tcPr>
            <w:tcW w:w="0" w:type="auto"/>
            <w:shd w:val="clear" w:color="000000" w:fill="FFFFFF"/>
            <w:hideMark/>
          </w:tcPr>
          <w:p w14:paraId="2E553CF7"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Management</w:t>
            </w:r>
          </w:p>
        </w:tc>
        <w:tc>
          <w:tcPr>
            <w:tcW w:w="0" w:type="auto"/>
            <w:shd w:val="clear" w:color="000000" w:fill="FFFFFF"/>
            <w:hideMark/>
          </w:tcPr>
          <w:p w14:paraId="1710A47A" w14:textId="77777777" w:rsidR="000A24CD" w:rsidRDefault="00120DC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Business Partner Information Sharing</w:t>
            </w:r>
          </w:p>
        </w:tc>
        <w:tc>
          <w:tcPr>
            <w:tcW w:w="0" w:type="auto"/>
            <w:shd w:val="clear" w:color="000000" w:fill="002060"/>
            <w:hideMark/>
          </w:tcPr>
          <w:p w14:paraId="7482A081" w14:textId="52C9DA31" w:rsidR="000A24CD" w:rsidRDefault="00120DC3">
            <w:pPr>
              <w:spacing w:after="0" w:line="240" w:lineRule="auto"/>
              <w:rPr>
                <w:rFonts w:ascii="Arial" w:eastAsia="Times New Roman" w:hAnsi="Arial" w:cs="Arial"/>
                <w:b/>
                <w:bCs/>
                <w:color w:val="FFFFFF"/>
                <w:kern w:val="0"/>
                <w:sz w:val="20"/>
                <w:szCs w:val="20"/>
                <w14:ligatures w14:val="none"/>
              </w:rPr>
            </w:pPr>
            <w:r>
              <w:rPr>
                <w:rFonts w:ascii="Arial" w:eastAsia="Times New Roman" w:hAnsi="Arial" w:cs="Arial"/>
                <w:b/>
                <w:bCs/>
                <w:color w:val="FFFFFF"/>
                <w:kern w:val="0"/>
                <w:sz w:val="20"/>
                <w:szCs w:val="20"/>
                <w14:ligatures w14:val="none"/>
              </w:rPr>
              <w:t>Business Relationship Communications Management</w:t>
            </w:r>
          </w:p>
        </w:tc>
        <w:tc>
          <w:tcPr>
            <w:tcW w:w="0" w:type="auto"/>
            <w:shd w:val="clear" w:color="000000" w:fill="FFFFFF"/>
            <w:hideMark/>
          </w:tcPr>
          <w:p w14:paraId="525459F1" w14:textId="77777777" w:rsidR="000A24CD" w:rsidRDefault="00120DC3">
            <w:pPr>
              <w:spacing w:after="0" w:line="240" w:lineRule="auto"/>
              <w:rPr>
                <w:rFonts w:ascii="Arial" w:eastAsia="Times New Roman" w:hAnsi="Arial" w:cs="Arial"/>
                <w:color w:val="131314"/>
                <w:kern w:val="0"/>
                <w:sz w:val="20"/>
                <w:szCs w:val="20"/>
                <w14:ligatures w14:val="none"/>
              </w:rPr>
            </w:pPr>
            <w:r>
              <w:rPr>
                <w:rFonts w:ascii="Arial" w:eastAsia="Times New Roman" w:hAnsi="Arial" w:cs="Arial"/>
                <w:color w:val="131314"/>
                <w:kern w:val="0"/>
                <w:sz w:val="20"/>
                <w:szCs w:val="20"/>
                <w14:ligatures w14:val="none"/>
              </w:rPr>
              <w:t>This capability manages all communications with business partners, including receiving information requests (e.g., for SLA inquiries) via multiple channels, logging, researching, developing, approving, and delivering routine or ad hoc messages.</w:t>
            </w:r>
          </w:p>
        </w:tc>
      </w:tr>
    </w:tbl>
    <w:p w14:paraId="433D1FC8" w14:textId="77777777" w:rsidR="000A24CD" w:rsidRDefault="000A24CD">
      <w:pPr>
        <w:rPr>
          <w:rFonts w:ascii="Arial" w:hAnsi="Arial" w:cs="Arial"/>
        </w:rPr>
      </w:pPr>
    </w:p>
    <w:sectPr w:rsidR="000A24CD">
      <w:headerReference w:type="default" r:id="rId2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00634" w14:textId="77777777" w:rsidR="00257756" w:rsidRDefault="00257756">
      <w:pPr>
        <w:spacing w:after="0" w:line="240" w:lineRule="auto"/>
      </w:pPr>
      <w:r>
        <w:separator/>
      </w:r>
    </w:p>
  </w:endnote>
  <w:endnote w:type="continuationSeparator" w:id="0">
    <w:p w14:paraId="22DAAB9B" w14:textId="77777777" w:rsidR="00257756" w:rsidRDefault="00257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Apthos narrow">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5818B" w14:textId="77777777" w:rsidR="00257756" w:rsidRDefault="00257756">
      <w:pPr>
        <w:spacing w:after="0" w:line="240" w:lineRule="auto"/>
      </w:pPr>
      <w:r>
        <w:separator/>
      </w:r>
    </w:p>
  </w:footnote>
  <w:footnote w:type="continuationSeparator" w:id="0">
    <w:p w14:paraId="57BEE76D" w14:textId="77777777" w:rsidR="00257756" w:rsidRDefault="00257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7101" w14:textId="596CD0E9" w:rsidR="00F61B74" w:rsidRDefault="00120DC3">
    <w:pPr>
      <w:pStyle w:val="Header"/>
      <w:jc w:val="center"/>
    </w:pPr>
    <w:r>
      <w:rPr>
        <w:noProof/>
      </w:rPr>
      <w:drawing>
        <wp:inline distT="0" distB="0" distL="0" distR="0" wp14:anchorId="3E975934" wp14:editId="4F460292">
          <wp:extent cx="3126105" cy="893445"/>
          <wp:effectExtent l="0" t="0" r="0" b="1905"/>
          <wp:docPr id="52506924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9242"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6105" cy="8934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D3B94"/>
    <w:multiLevelType w:val="hybridMultilevel"/>
    <w:tmpl w:val="BF663368"/>
    <w:lvl w:ilvl="0" w:tplc="65E69E9E">
      <w:start w:val="1"/>
      <w:numFmt w:val="bullet"/>
      <w:lvlText w:val="•"/>
      <w:lvlJc w:val="left"/>
      <w:pPr>
        <w:tabs>
          <w:tab w:val="num" w:pos="720"/>
        </w:tabs>
        <w:ind w:left="720" w:hanging="360"/>
      </w:pPr>
      <w:rPr>
        <w:rFonts w:ascii="Arial" w:hAnsi="Arial" w:hint="default"/>
      </w:rPr>
    </w:lvl>
    <w:lvl w:ilvl="1" w:tplc="8138E1BE" w:tentative="1">
      <w:start w:val="1"/>
      <w:numFmt w:val="bullet"/>
      <w:lvlText w:val="•"/>
      <w:lvlJc w:val="left"/>
      <w:pPr>
        <w:tabs>
          <w:tab w:val="num" w:pos="1440"/>
        </w:tabs>
        <w:ind w:left="1440" w:hanging="360"/>
      </w:pPr>
      <w:rPr>
        <w:rFonts w:ascii="Arial" w:hAnsi="Arial" w:hint="default"/>
      </w:rPr>
    </w:lvl>
    <w:lvl w:ilvl="2" w:tplc="F60E02F0" w:tentative="1">
      <w:start w:val="1"/>
      <w:numFmt w:val="bullet"/>
      <w:lvlText w:val="•"/>
      <w:lvlJc w:val="left"/>
      <w:pPr>
        <w:tabs>
          <w:tab w:val="num" w:pos="2160"/>
        </w:tabs>
        <w:ind w:left="2160" w:hanging="360"/>
      </w:pPr>
      <w:rPr>
        <w:rFonts w:ascii="Arial" w:hAnsi="Arial" w:hint="default"/>
      </w:rPr>
    </w:lvl>
    <w:lvl w:ilvl="3" w:tplc="03122334" w:tentative="1">
      <w:start w:val="1"/>
      <w:numFmt w:val="bullet"/>
      <w:lvlText w:val="•"/>
      <w:lvlJc w:val="left"/>
      <w:pPr>
        <w:tabs>
          <w:tab w:val="num" w:pos="2880"/>
        </w:tabs>
        <w:ind w:left="2880" w:hanging="360"/>
      </w:pPr>
      <w:rPr>
        <w:rFonts w:ascii="Arial" w:hAnsi="Arial" w:hint="default"/>
      </w:rPr>
    </w:lvl>
    <w:lvl w:ilvl="4" w:tplc="EBA60666" w:tentative="1">
      <w:start w:val="1"/>
      <w:numFmt w:val="bullet"/>
      <w:lvlText w:val="•"/>
      <w:lvlJc w:val="left"/>
      <w:pPr>
        <w:tabs>
          <w:tab w:val="num" w:pos="3600"/>
        </w:tabs>
        <w:ind w:left="3600" w:hanging="360"/>
      </w:pPr>
      <w:rPr>
        <w:rFonts w:ascii="Arial" w:hAnsi="Arial" w:hint="default"/>
      </w:rPr>
    </w:lvl>
    <w:lvl w:ilvl="5" w:tplc="D6CA98C6" w:tentative="1">
      <w:start w:val="1"/>
      <w:numFmt w:val="bullet"/>
      <w:lvlText w:val="•"/>
      <w:lvlJc w:val="left"/>
      <w:pPr>
        <w:tabs>
          <w:tab w:val="num" w:pos="4320"/>
        </w:tabs>
        <w:ind w:left="4320" w:hanging="360"/>
      </w:pPr>
      <w:rPr>
        <w:rFonts w:ascii="Arial" w:hAnsi="Arial" w:hint="default"/>
      </w:rPr>
    </w:lvl>
    <w:lvl w:ilvl="6" w:tplc="4B243AB6" w:tentative="1">
      <w:start w:val="1"/>
      <w:numFmt w:val="bullet"/>
      <w:lvlText w:val="•"/>
      <w:lvlJc w:val="left"/>
      <w:pPr>
        <w:tabs>
          <w:tab w:val="num" w:pos="5040"/>
        </w:tabs>
        <w:ind w:left="5040" w:hanging="360"/>
      </w:pPr>
      <w:rPr>
        <w:rFonts w:ascii="Arial" w:hAnsi="Arial" w:hint="default"/>
      </w:rPr>
    </w:lvl>
    <w:lvl w:ilvl="7" w:tplc="E16ECC7C" w:tentative="1">
      <w:start w:val="1"/>
      <w:numFmt w:val="bullet"/>
      <w:lvlText w:val="•"/>
      <w:lvlJc w:val="left"/>
      <w:pPr>
        <w:tabs>
          <w:tab w:val="num" w:pos="5760"/>
        </w:tabs>
        <w:ind w:left="5760" w:hanging="360"/>
      </w:pPr>
      <w:rPr>
        <w:rFonts w:ascii="Arial" w:hAnsi="Arial" w:hint="default"/>
      </w:rPr>
    </w:lvl>
    <w:lvl w:ilvl="8" w:tplc="2EE2242A" w:tentative="1">
      <w:start w:val="1"/>
      <w:numFmt w:val="bullet"/>
      <w:lvlText w:val="•"/>
      <w:lvlJc w:val="left"/>
      <w:pPr>
        <w:tabs>
          <w:tab w:val="num" w:pos="6480"/>
        </w:tabs>
        <w:ind w:left="6480" w:hanging="360"/>
      </w:pPr>
      <w:rPr>
        <w:rFonts w:ascii="Arial" w:hAnsi="Arial" w:hint="default"/>
      </w:rPr>
    </w:lvl>
  </w:abstractNum>
  <w:num w:numId="1" w16cid:durableId="1896502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4CD"/>
    <w:rsid w:val="000A24CD"/>
    <w:rsid w:val="00155464"/>
    <w:rsid w:val="00257756"/>
    <w:rsid w:val="0030401F"/>
    <w:rsid w:val="003068C3"/>
    <w:rsid w:val="00323FFD"/>
    <w:rsid w:val="00376C87"/>
    <w:rsid w:val="003C29CC"/>
    <w:rsid w:val="00534423"/>
    <w:rsid w:val="00542AC6"/>
    <w:rsid w:val="005B02E3"/>
    <w:rsid w:val="00664D2B"/>
    <w:rsid w:val="006C2C33"/>
    <w:rsid w:val="0074295C"/>
    <w:rsid w:val="00772942"/>
    <w:rsid w:val="00820459"/>
    <w:rsid w:val="00997BBA"/>
    <w:rsid w:val="00A0740E"/>
    <w:rsid w:val="00A8309B"/>
    <w:rsid w:val="00A96702"/>
    <w:rsid w:val="00AA645F"/>
    <w:rsid w:val="00B51AC1"/>
    <w:rsid w:val="00B5594D"/>
    <w:rsid w:val="00C85A87"/>
    <w:rsid w:val="00C95BFE"/>
    <w:rsid w:val="00CA318C"/>
    <w:rsid w:val="00D44FB2"/>
    <w:rsid w:val="00DE2CF8"/>
    <w:rsid w:val="00EA6A7B"/>
    <w:rsid w:val="00EE0839"/>
    <w:rsid w:val="00F61B74"/>
    <w:rsid w:val="00FD5F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9B3C"/>
  <w15:chartTrackingRefBased/>
  <w15:docId w15:val="{26D45095-6D4D-4AF2-8CB7-70D7C6D6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5B8"/>
    <w:pPr>
      <w:keepNext/>
      <w:keepLines/>
      <w:spacing w:before="360" w:after="80"/>
      <w:outlineLvl w:val="0"/>
    </w:pPr>
    <w:rPr>
      <w:rFonts w:ascii="Arial" w:eastAsiaTheme="majorEastAsia" w:hAnsi="Arial" w:cs="Arial"/>
      <w:b/>
      <w:bCs/>
      <w:color w:val="000000" w:themeColor="text1"/>
      <w:sz w:val="40"/>
      <w:szCs w:val="40"/>
    </w:rPr>
  </w:style>
  <w:style w:type="paragraph" w:styleId="Heading2">
    <w:name w:val="heading 2"/>
    <w:basedOn w:val="Normal"/>
    <w:next w:val="Normal"/>
    <w:link w:val="Heading2Char"/>
    <w:uiPriority w:val="9"/>
    <w:unhideWhenUsed/>
    <w:qFormat/>
    <w:rsid w:val="008105B8"/>
    <w:pPr>
      <w:keepNext/>
      <w:keepLines/>
      <w:spacing w:before="160" w:after="80"/>
      <w:outlineLvl w:val="1"/>
    </w:pPr>
    <w:rPr>
      <w:rFonts w:ascii="Arial" w:eastAsiaTheme="majorEastAsia" w:hAnsi="Arial" w:cs="Arial"/>
      <w:b/>
      <w:bCs/>
      <w:color w:val="000000" w:themeColor="text1"/>
      <w:sz w:val="32"/>
      <w:szCs w:val="32"/>
    </w:rPr>
  </w:style>
  <w:style w:type="paragraph" w:styleId="Heading3">
    <w:name w:val="heading 3"/>
    <w:basedOn w:val="Normal"/>
    <w:next w:val="Normal"/>
    <w:link w:val="Heading3Char"/>
    <w:uiPriority w:val="9"/>
    <w:semiHidden/>
    <w:unhideWhenUsed/>
    <w:qFormat/>
    <w:rsid w:val="00812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5B8"/>
    <w:rPr>
      <w:rFonts w:ascii="Arial" w:eastAsiaTheme="majorEastAsia" w:hAnsi="Arial" w:cs="Arial"/>
      <w:b/>
      <w:bCs/>
      <w:color w:val="000000" w:themeColor="text1"/>
      <w:sz w:val="40"/>
      <w:szCs w:val="40"/>
    </w:rPr>
  </w:style>
  <w:style w:type="character" w:customStyle="1" w:styleId="Heading2Char">
    <w:name w:val="Heading 2 Char"/>
    <w:basedOn w:val="DefaultParagraphFont"/>
    <w:link w:val="Heading2"/>
    <w:uiPriority w:val="9"/>
    <w:rsid w:val="008105B8"/>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semiHidden/>
    <w:rsid w:val="00812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8D6"/>
    <w:rPr>
      <w:rFonts w:eastAsiaTheme="majorEastAsia" w:cstheme="majorBidi"/>
      <w:color w:val="272727" w:themeColor="text1" w:themeTint="D8"/>
    </w:rPr>
  </w:style>
  <w:style w:type="paragraph" w:styleId="Title">
    <w:name w:val="Title"/>
    <w:basedOn w:val="Normal"/>
    <w:next w:val="Normal"/>
    <w:link w:val="TitleChar"/>
    <w:uiPriority w:val="10"/>
    <w:qFormat/>
    <w:rsid w:val="00812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8D6"/>
    <w:pPr>
      <w:spacing w:before="160"/>
      <w:jc w:val="center"/>
    </w:pPr>
    <w:rPr>
      <w:i/>
      <w:iCs/>
      <w:color w:val="404040" w:themeColor="text1" w:themeTint="BF"/>
    </w:rPr>
  </w:style>
  <w:style w:type="character" w:customStyle="1" w:styleId="QuoteChar">
    <w:name w:val="Quote Char"/>
    <w:basedOn w:val="DefaultParagraphFont"/>
    <w:link w:val="Quote"/>
    <w:uiPriority w:val="29"/>
    <w:rsid w:val="008128D6"/>
    <w:rPr>
      <w:i/>
      <w:iCs/>
      <w:color w:val="404040" w:themeColor="text1" w:themeTint="BF"/>
    </w:rPr>
  </w:style>
  <w:style w:type="paragraph" w:styleId="ListParagraph">
    <w:name w:val="List Paragraph"/>
    <w:basedOn w:val="Normal"/>
    <w:uiPriority w:val="34"/>
    <w:qFormat/>
    <w:rsid w:val="008128D6"/>
    <w:pPr>
      <w:ind w:left="720"/>
      <w:contextualSpacing/>
    </w:pPr>
  </w:style>
  <w:style w:type="character" w:styleId="IntenseEmphasis">
    <w:name w:val="Intense Emphasis"/>
    <w:basedOn w:val="DefaultParagraphFont"/>
    <w:uiPriority w:val="21"/>
    <w:qFormat/>
    <w:rsid w:val="008128D6"/>
    <w:rPr>
      <w:i/>
      <w:iCs/>
      <w:color w:val="0F4761" w:themeColor="accent1" w:themeShade="BF"/>
    </w:rPr>
  </w:style>
  <w:style w:type="paragraph" w:styleId="IntenseQuote">
    <w:name w:val="Intense Quote"/>
    <w:basedOn w:val="Normal"/>
    <w:next w:val="Normal"/>
    <w:link w:val="IntenseQuoteChar"/>
    <w:uiPriority w:val="30"/>
    <w:qFormat/>
    <w:rsid w:val="00812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8D6"/>
    <w:rPr>
      <w:i/>
      <w:iCs/>
      <w:color w:val="0F4761" w:themeColor="accent1" w:themeShade="BF"/>
    </w:rPr>
  </w:style>
  <w:style w:type="character" w:styleId="IntenseReference">
    <w:name w:val="Intense Reference"/>
    <w:basedOn w:val="DefaultParagraphFont"/>
    <w:uiPriority w:val="32"/>
    <w:qFormat/>
    <w:rsid w:val="008128D6"/>
    <w:rPr>
      <w:b/>
      <w:bCs/>
      <w:smallCaps/>
      <w:color w:val="0F4761" w:themeColor="accent1" w:themeShade="BF"/>
      <w:spacing w:val="5"/>
    </w:rPr>
  </w:style>
  <w:style w:type="character" w:styleId="Hyperlink">
    <w:name w:val="Hyperlink"/>
    <w:basedOn w:val="DefaultParagraphFont"/>
    <w:uiPriority w:val="99"/>
    <w:unhideWhenUsed/>
    <w:rsid w:val="008128D6"/>
    <w:rPr>
      <w:color w:val="467886"/>
      <w:u w:val="single"/>
    </w:rPr>
  </w:style>
  <w:style w:type="character" w:styleId="FollowedHyperlink">
    <w:name w:val="FollowedHyperlink"/>
    <w:basedOn w:val="DefaultParagraphFont"/>
    <w:uiPriority w:val="99"/>
    <w:semiHidden/>
    <w:unhideWhenUsed/>
    <w:rsid w:val="008128D6"/>
    <w:rPr>
      <w:color w:val="96607D"/>
      <w:u w:val="single"/>
    </w:rPr>
  </w:style>
  <w:style w:type="paragraph" w:customStyle="1" w:styleId="msonormal0">
    <w:name w:val="msonormal"/>
    <w:basedOn w:val="Normal"/>
    <w:rsid w:val="008128D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8128D6"/>
    <w:pPr>
      <w:spacing w:before="100" w:beforeAutospacing="1" w:after="100" w:afterAutospacing="1" w:line="240" w:lineRule="auto"/>
    </w:pPr>
    <w:rPr>
      <w:rFonts w:ascii="Aptos Narrow" w:eastAsia="Times New Roman" w:hAnsi="Aptos Narrow" w:cs="Times New Roman"/>
      <w:b/>
      <w:bCs/>
      <w:color w:val="FFFFFF"/>
      <w:kern w:val="0"/>
      <w:sz w:val="20"/>
      <w:szCs w:val="20"/>
      <w14:ligatures w14:val="none"/>
    </w:rPr>
  </w:style>
  <w:style w:type="paragraph" w:customStyle="1" w:styleId="font6">
    <w:name w:val="font6"/>
    <w:basedOn w:val="Normal"/>
    <w:rsid w:val="008128D6"/>
    <w:pPr>
      <w:spacing w:before="100" w:beforeAutospacing="1" w:after="100" w:afterAutospacing="1" w:line="240" w:lineRule="auto"/>
    </w:pPr>
    <w:rPr>
      <w:rFonts w:ascii="Aptos Narrow" w:eastAsia="Times New Roman" w:hAnsi="Aptos Narrow" w:cs="Times New Roman"/>
      <w:b/>
      <w:bCs/>
      <w:color w:val="FFFFFF"/>
      <w:kern w:val="0"/>
      <w:sz w:val="20"/>
      <w:szCs w:val="20"/>
      <w14:ligatures w14:val="none"/>
    </w:rPr>
  </w:style>
  <w:style w:type="paragraph" w:customStyle="1" w:styleId="xl65">
    <w:name w:val="xl65"/>
    <w:basedOn w:val="Normal"/>
    <w:rsid w:val="008128D6"/>
    <w:pPr>
      <w:spacing w:before="100" w:beforeAutospacing="1" w:after="100" w:afterAutospacing="1" w:line="240" w:lineRule="auto"/>
      <w:textAlignment w:val="top"/>
    </w:pPr>
    <w:rPr>
      <w:rFonts w:ascii="Apthos narrow" w:eastAsia="Times New Roman" w:hAnsi="Apthos narrow" w:cs="Times New Roman"/>
      <w:kern w:val="0"/>
      <w:sz w:val="20"/>
      <w:szCs w:val="20"/>
      <w14:ligatures w14:val="none"/>
    </w:rPr>
  </w:style>
  <w:style w:type="paragraph" w:customStyle="1" w:styleId="xl66">
    <w:name w:val="xl66"/>
    <w:basedOn w:val="Normal"/>
    <w:rsid w:val="008128D6"/>
    <w:pPr>
      <w:spacing w:before="100" w:beforeAutospacing="1" w:after="100" w:afterAutospacing="1" w:line="240" w:lineRule="auto"/>
      <w:textAlignment w:val="top"/>
    </w:pPr>
    <w:rPr>
      <w:rFonts w:ascii="Apthos narrow" w:eastAsia="Times New Roman" w:hAnsi="Apthos narrow" w:cs="Times New Roman"/>
      <w:kern w:val="0"/>
      <w:sz w:val="20"/>
      <w:szCs w:val="20"/>
      <w14:ligatures w14:val="none"/>
    </w:rPr>
  </w:style>
  <w:style w:type="paragraph" w:customStyle="1" w:styleId="xl67">
    <w:name w:val="xl67"/>
    <w:basedOn w:val="Normal"/>
    <w:rsid w:val="008128D6"/>
    <w:pPr>
      <w:spacing w:before="100" w:beforeAutospacing="1" w:after="100" w:afterAutospacing="1" w:line="240" w:lineRule="auto"/>
      <w:textAlignment w:val="top"/>
    </w:pPr>
    <w:rPr>
      <w:rFonts w:ascii="Apthos narrow" w:eastAsia="Times New Roman" w:hAnsi="Apthos narrow" w:cs="Times New Roman"/>
      <w:kern w:val="0"/>
      <w:sz w:val="20"/>
      <w:szCs w:val="20"/>
      <w14:ligatures w14:val="none"/>
    </w:rPr>
  </w:style>
  <w:style w:type="paragraph" w:customStyle="1" w:styleId="xl68">
    <w:name w:val="xl68"/>
    <w:basedOn w:val="Normal"/>
    <w:rsid w:val="008128D6"/>
    <w:pPr>
      <w:spacing w:before="100" w:beforeAutospacing="1" w:after="100" w:afterAutospacing="1" w:line="240" w:lineRule="auto"/>
      <w:textAlignment w:val="top"/>
    </w:pPr>
    <w:rPr>
      <w:rFonts w:ascii="Apthos narrow" w:eastAsia="Times New Roman" w:hAnsi="Apthos narrow" w:cs="Times New Roman"/>
      <w:b/>
      <w:bCs/>
      <w:kern w:val="0"/>
      <w:sz w:val="20"/>
      <w:szCs w:val="20"/>
      <w14:ligatures w14:val="none"/>
    </w:rPr>
  </w:style>
  <w:style w:type="paragraph" w:customStyle="1" w:styleId="xl69">
    <w:name w:val="xl69"/>
    <w:basedOn w:val="Normal"/>
    <w:rsid w:val="008128D6"/>
    <w:pPr>
      <w:pBdr>
        <w:top w:val="single" w:sz="4" w:space="0" w:color="auto"/>
        <w:left w:val="single" w:sz="4" w:space="0" w:color="auto"/>
        <w:right w:val="single" w:sz="4" w:space="0" w:color="auto"/>
      </w:pBdr>
      <w:shd w:val="clear" w:color="000000" w:fill="43285D"/>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70">
    <w:name w:val="xl70"/>
    <w:basedOn w:val="Normal"/>
    <w:rsid w:val="008128D6"/>
    <w:pPr>
      <w:pBdr>
        <w:top w:val="single" w:sz="4" w:space="0" w:color="auto"/>
        <w:left w:val="single" w:sz="4" w:space="0" w:color="auto"/>
        <w:right w:val="single" w:sz="4" w:space="0" w:color="auto"/>
      </w:pBdr>
      <w:shd w:val="clear" w:color="000000" w:fill="43285D"/>
      <w:spacing w:before="100" w:beforeAutospacing="1" w:after="100" w:afterAutospacing="1" w:line="240" w:lineRule="auto"/>
      <w:jc w:val="center"/>
      <w:textAlignment w:val="top"/>
    </w:pPr>
    <w:rPr>
      <w:rFonts w:ascii="Times New Roman" w:eastAsia="Times New Roman" w:hAnsi="Times New Roman" w:cs="Times New Roman"/>
      <w:b/>
      <w:bCs/>
      <w:color w:val="FFFFFF"/>
      <w:kern w:val="0"/>
      <w:sz w:val="20"/>
      <w:szCs w:val="20"/>
      <w14:ligatures w14:val="none"/>
    </w:rPr>
  </w:style>
  <w:style w:type="paragraph" w:customStyle="1" w:styleId="xl71">
    <w:name w:val="xl71"/>
    <w:basedOn w:val="Normal"/>
    <w:rsid w:val="008128D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72">
    <w:name w:val="xl72"/>
    <w:basedOn w:val="Normal"/>
    <w:rsid w:val="008128D6"/>
    <w:pPr>
      <w:pBdr>
        <w:top w:val="single" w:sz="8"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73">
    <w:name w:val="xl73"/>
    <w:basedOn w:val="Normal"/>
    <w:rsid w:val="008128D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131314"/>
      <w:kern w:val="0"/>
      <w:sz w:val="20"/>
      <w:szCs w:val="20"/>
      <w14:ligatures w14:val="none"/>
    </w:rPr>
  </w:style>
  <w:style w:type="paragraph" w:customStyle="1" w:styleId="xl74">
    <w:name w:val="xl74"/>
    <w:basedOn w:val="Normal"/>
    <w:rsid w:val="008128D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75">
    <w:name w:val="xl75"/>
    <w:basedOn w:val="Normal"/>
    <w:rsid w:val="008128D6"/>
    <w:pPr>
      <w:pBdr>
        <w:top w:val="single" w:sz="4" w:space="0" w:color="auto"/>
        <w:left w:val="single" w:sz="4" w:space="0" w:color="auto"/>
        <w:bottom w:val="single" w:sz="8"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76">
    <w:name w:val="xl76"/>
    <w:basedOn w:val="Normal"/>
    <w:rsid w:val="008128D6"/>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131314"/>
      <w:kern w:val="0"/>
      <w:sz w:val="20"/>
      <w:szCs w:val="20"/>
      <w14:ligatures w14:val="none"/>
    </w:rPr>
  </w:style>
  <w:style w:type="paragraph" w:customStyle="1" w:styleId="xl77">
    <w:name w:val="xl77"/>
    <w:basedOn w:val="Normal"/>
    <w:rsid w:val="008128D6"/>
    <w:pPr>
      <w:pBdr>
        <w:top w:val="single" w:sz="4" w:space="0" w:color="auto"/>
        <w:left w:val="single" w:sz="4" w:space="0" w:color="auto"/>
        <w:bottom w:val="single" w:sz="8"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78">
    <w:name w:val="xl78"/>
    <w:basedOn w:val="Normal"/>
    <w:rsid w:val="008128D6"/>
    <w:pPr>
      <w:pBdr>
        <w:top w:val="single" w:sz="8"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79">
    <w:name w:val="xl79"/>
    <w:basedOn w:val="Normal"/>
    <w:rsid w:val="00812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80">
    <w:name w:val="xl80"/>
    <w:basedOn w:val="Normal"/>
    <w:rsid w:val="008128D6"/>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81">
    <w:name w:val="xl81"/>
    <w:basedOn w:val="Normal"/>
    <w:rsid w:val="008128D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131314"/>
      <w:kern w:val="0"/>
      <w:sz w:val="20"/>
      <w:szCs w:val="20"/>
      <w14:ligatures w14:val="none"/>
    </w:rPr>
  </w:style>
  <w:style w:type="paragraph" w:customStyle="1" w:styleId="xl82">
    <w:name w:val="xl82"/>
    <w:basedOn w:val="Normal"/>
    <w:rsid w:val="008128D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83">
    <w:name w:val="xl83"/>
    <w:basedOn w:val="Normal"/>
    <w:rsid w:val="008128D6"/>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84">
    <w:name w:val="xl84"/>
    <w:basedOn w:val="Normal"/>
    <w:rsid w:val="008128D6"/>
    <w:pPr>
      <w:pBdr>
        <w:top w:val="single" w:sz="8"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85">
    <w:name w:val="xl85"/>
    <w:basedOn w:val="Normal"/>
    <w:rsid w:val="008128D6"/>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86">
    <w:name w:val="xl86"/>
    <w:basedOn w:val="Normal"/>
    <w:rsid w:val="008128D6"/>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87">
    <w:name w:val="xl87"/>
    <w:basedOn w:val="Normal"/>
    <w:rsid w:val="00812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88">
    <w:name w:val="xl88"/>
    <w:basedOn w:val="Normal"/>
    <w:rsid w:val="008128D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89">
    <w:name w:val="xl89"/>
    <w:basedOn w:val="Normal"/>
    <w:rsid w:val="008128D6"/>
    <w:pPr>
      <w:pBdr>
        <w:top w:val="single" w:sz="4" w:space="0" w:color="auto"/>
        <w:left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131314"/>
      <w:kern w:val="0"/>
      <w:sz w:val="20"/>
      <w:szCs w:val="20"/>
      <w14:ligatures w14:val="none"/>
    </w:rPr>
  </w:style>
  <w:style w:type="paragraph" w:customStyle="1" w:styleId="xl90">
    <w:name w:val="xl90"/>
    <w:basedOn w:val="Normal"/>
    <w:rsid w:val="008128D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0"/>
      <w:szCs w:val="20"/>
      <w14:ligatures w14:val="none"/>
    </w:rPr>
  </w:style>
  <w:style w:type="paragraph" w:customStyle="1" w:styleId="xl91">
    <w:name w:val="xl91"/>
    <w:basedOn w:val="Normal"/>
    <w:rsid w:val="008128D6"/>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131314"/>
      <w:kern w:val="0"/>
      <w:sz w:val="20"/>
      <w:szCs w:val="20"/>
      <w14:ligatures w14:val="none"/>
    </w:rPr>
  </w:style>
  <w:style w:type="paragraph" w:customStyle="1" w:styleId="xl92">
    <w:name w:val="xl92"/>
    <w:basedOn w:val="Normal"/>
    <w:rsid w:val="00812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0"/>
      <w:szCs w:val="20"/>
      <w14:ligatures w14:val="none"/>
    </w:rPr>
  </w:style>
  <w:style w:type="paragraph" w:customStyle="1" w:styleId="xl93">
    <w:name w:val="xl93"/>
    <w:basedOn w:val="Normal"/>
    <w:rsid w:val="008128D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0"/>
      <w:szCs w:val="20"/>
      <w14:ligatures w14:val="none"/>
    </w:rPr>
  </w:style>
  <w:style w:type="paragraph" w:customStyle="1" w:styleId="xl94">
    <w:name w:val="xl94"/>
    <w:basedOn w:val="Normal"/>
    <w:rsid w:val="008128D6"/>
    <w:pPr>
      <w:pBdr>
        <w:top w:val="single" w:sz="4" w:space="0" w:color="auto"/>
        <w:left w:val="single" w:sz="4" w:space="0" w:color="auto"/>
        <w:bottom w:val="single" w:sz="8" w:space="0" w:color="auto"/>
        <w:right w:val="single" w:sz="4" w:space="0" w:color="auto"/>
      </w:pBdr>
      <w:shd w:val="clear" w:color="000000" w:fill="ADADAD"/>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95">
    <w:name w:val="xl95"/>
    <w:basedOn w:val="Normal"/>
    <w:rsid w:val="008128D6"/>
    <w:pPr>
      <w:pBdr>
        <w:top w:val="single" w:sz="4" w:space="0" w:color="auto"/>
        <w:left w:val="single" w:sz="4" w:space="0" w:color="auto"/>
        <w:bottom w:val="single" w:sz="4" w:space="0" w:color="auto"/>
        <w:right w:val="single" w:sz="4" w:space="0" w:color="auto"/>
      </w:pBdr>
      <w:shd w:val="clear" w:color="000000" w:fill="ADADAD"/>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96">
    <w:name w:val="xl96"/>
    <w:basedOn w:val="Normal"/>
    <w:rsid w:val="008128D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97">
    <w:name w:val="xl97"/>
    <w:basedOn w:val="Normal"/>
    <w:rsid w:val="008128D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0"/>
      <w:szCs w:val="20"/>
      <w14:ligatures w14:val="none"/>
    </w:rPr>
  </w:style>
  <w:style w:type="paragraph" w:customStyle="1" w:styleId="xl98">
    <w:name w:val="xl98"/>
    <w:basedOn w:val="Normal"/>
    <w:rsid w:val="008128D6"/>
    <w:pPr>
      <w:pBdr>
        <w:top w:val="single" w:sz="4" w:space="0" w:color="auto"/>
        <w:left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99">
    <w:name w:val="xl99"/>
    <w:basedOn w:val="Normal"/>
    <w:rsid w:val="008128D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00">
    <w:name w:val="xl100"/>
    <w:basedOn w:val="Normal"/>
    <w:rsid w:val="008128D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01">
    <w:name w:val="xl101"/>
    <w:basedOn w:val="Normal"/>
    <w:rsid w:val="008128D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02">
    <w:name w:val="xl102"/>
    <w:basedOn w:val="Normal"/>
    <w:rsid w:val="008128D6"/>
    <w:pPr>
      <w:pBdr>
        <w:top w:val="single" w:sz="4" w:space="0" w:color="auto"/>
        <w:left w:val="single" w:sz="4"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03">
    <w:name w:val="xl103"/>
    <w:basedOn w:val="Normal"/>
    <w:rsid w:val="008128D6"/>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04">
    <w:name w:val="xl104"/>
    <w:basedOn w:val="Normal"/>
    <w:rsid w:val="008128D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0"/>
      <w:szCs w:val="20"/>
      <w14:ligatures w14:val="none"/>
    </w:rPr>
  </w:style>
  <w:style w:type="paragraph" w:customStyle="1" w:styleId="xl105">
    <w:name w:val="xl105"/>
    <w:basedOn w:val="Normal"/>
    <w:rsid w:val="008128D6"/>
    <w:pPr>
      <w:pBdr>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06">
    <w:name w:val="xl106"/>
    <w:basedOn w:val="Normal"/>
    <w:rsid w:val="008128D6"/>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07">
    <w:name w:val="xl107"/>
    <w:basedOn w:val="Normal"/>
    <w:rsid w:val="008128D6"/>
    <w:pP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08">
    <w:name w:val="xl108"/>
    <w:basedOn w:val="Normal"/>
    <w:rsid w:val="008128D6"/>
    <w:pPr>
      <w:pBdr>
        <w:top w:val="single" w:sz="8"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09">
    <w:name w:val="xl109"/>
    <w:basedOn w:val="Normal"/>
    <w:rsid w:val="008128D6"/>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10">
    <w:name w:val="xl110"/>
    <w:basedOn w:val="Normal"/>
    <w:rsid w:val="008128D6"/>
    <w:pPr>
      <w:pBdr>
        <w:top w:val="single" w:sz="4" w:space="0" w:color="auto"/>
        <w:left w:val="single" w:sz="4" w:space="0" w:color="auto"/>
        <w:bottom w:val="single" w:sz="8"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11">
    <w:name w:val="xl111"/>
    <w:basedOn w:val="Normal"/>
    <w:rsid w:val="008128D6"/>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12">
    <w:name w:val="xl112"/>
    <w:basedOn w:val="Normal"/>
    <w:rsid w:val="008128D6"/>
    <w:pPr>
      <w:pBdr>
        <w:left w:val="single" w:sz="4" w:space="0" w:color="auto"/>
        <w:bottom w:val="single" w:sz="8"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13">
    <w:name w:val="xl113"/>
    <w:basedOn w:val="Normal"/>
    <w:rsid w:val="008128D6"/>
    <w:pPr>
      <w:pBdr>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131314"/>
      <w:kern w:val="0"/>
      <w:sz w:val="20"/>
      <w:szCs w:val="20"/>
      <w14:ligatures w14:val="none"/>
    </w:rPr>
  </w:style>
  <w:style w:type="paragraph" w:customStyle="1" w:styleId="xl114">
    <w:name w:val="xl114"/>
    <w:basedOn w:val="Normal"/>
    <w:rsid w:val="008128D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15">
    <w:name w:val="xl115"/>
    <w:basedOn w:val="Normal"/>
    <w:rsid w:val="008128D6"/>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kern w:val="0"/>
      <w:sz w:val="20"/>
      <w:szCs w:val="20"/>
      <w14:ligatures w14:val="none"/>
    </w:rPr>
  </w:style>
  <w:style w:type="paragraph" w:customStyle="1" w:styleId="xl116">
    <w:name w:val="xl116"/>
    <w:basedOn w:val="Normal"/>
    <w:rsid w:val="008128D6"/>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17">
    <w:name w:val="xl117"/>
    <w:basedOn w:val="Normal"/>
    <w:rsid w:val="008128D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18">
    <w:name w:val="xl118"/>
    <w:basedOn w:val="Normal"/>
    <w:rsid w:val="008128D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19">
    <w:name w:val="xl119"/>
    <w:basedOn w:val="Normal"/>
    <w:rsid w:val="008128D6"/>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20">
    <w:name w:val="xl120"/>
    <w:basedOn w:val="Normal"/>
    <w:rsid w:val="008128D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21">
    <w:name w:val="xl121"/>
    <w:basedOn w:val="Normal"/>
    <w:rsid w:val="008128D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22">
    <w:name w:val="xl122"/>
    <w:basedOn w:val="Normal"/>
    <w:rsid w:val="008128D6"/>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23">
    <w:name w:val="xl123"/>
    <w:basedOn w:val="Normal"/>
    <w:rsid w:val="008128D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24">
    <w:name w:val="xl124"/>
    <w:basedOn w:val="Normal"/>
    <w:rsid w:val="008128D6"/>
    <w:pPr>
      <w:pBdr>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25">
    <w:name w:val="xl125"/>
    <w:basedOn w:val="Normal"/>
    <w:rsid w:val="008128D6"/>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26">
    <w:name w:val="xl126"/>
    <w:basedOn w:val="Normal"/>
    <w:rsid w:val="008128D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27">
    <w:name w:val="xl127"/>
    <w:basedOn w:val="Normal"/>
    <w:rsid w:val="008128D6"/>
    <w:pPr>
      <w:pBdr>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28">
    <w:name w:val="xl128"/>
    <w:basedOn w:val="Normal"/>
    <w:rsid w:val="008128D6"/>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29">
    <w:name w:val="xl129"/>
    <w:basedOn w:val="Normal"/>
    <w:rsid w:val="008128D6"/>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0">
    <w:name w:val="xl130"/>
    <w:basedOn w:val="Normal"/>
    <w:rsid w:val="008128D6"/>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1">
    <w:name w:val="xl131"/>
    <w:basedOn w:val="Normal"/>
    <w:rsid w:val="008128D6"/>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2">
    <w:name w:val="xl132"/>
    <w:basedOn w:val="Normal"/>
    <w:rsid w:val="00812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3">
    <w:name w:val="xl133"/>
    <w:basedOn w:val="Normal"/>
    <w:rsid w:val="008128D6"/>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4">
    <w:name w:val="xl134"/>
    <w:basedOn w:val="Normal"/>
    <w:rsid w:val="008128D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5">
    <w:name w:val="xl135"/>
    <w:basedOn w:val="Normal"/>
    <w:rsid w:val="008128D6"/>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6">
    <w:name w:val="xl136"/>
    <w:basedOn w:val="Normal"/>
    <w:rsid w:val="008128D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7">
    <w:name w:val="xl137"/>
    <w:basedOn w:val="Normal"/>
    <w:rsid w:val="008128D6"/>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38">
    <w:name w:val="xl138"/>
    <w:basedOn w:val="Normal"/>
    <w:rsid w:val="00812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9">
    <w:name w:val="xl139"/>
    <w:basedOn w:val="Normal"/>
    <w:rsid w:val="008128D6"/>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40">
    <w:name w:val="xl140"/>
    <w:basedOn w:val="Normal"/>
    <w:rsid w:val="008128D6"/>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41">
    <w:name w:val="xl141"/>
    <w:basedOn w:val="Normal"/>
    <w:rsid w:val="008128D6"/>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42">
    <w:name w:val="xl142"/>
    <w:basedOn w:val="Normal"/>
    <w:rsid w:val="008128D6"/>
    <w:pPr>
      <w:pBdr>
        <w:top w:val="single" w:sz="4" w:space="0" w:color="auto"/>
        <w:left w:val="single" w:sz="4" w:space="0" w:color="auto"/>
        <w:bottom w:val="single" w:sz="8"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43">
    <w:name w:val="xl143"/>
    <w:basedOn w:val="Normal"/>
    <w:rsid w:val="008128D6"/>
    <w:pPr>
      <w:pBdr>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44">
    <w:name w:val="xl144"/>
    <w:basedOn w:val="Normal"/>
    <w:rsid w:val="008128D6"/>
    <w:pPr>
      <w:pBdr>
        <w:top w:val="single" w:sz="8" w:space="0" w:color="auto"/>
        <w:left w:val="single" w:sz="4" w:space="0" w:color="auto"/>
        <w:bottom w:val="single" w:sz="8"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45">
    <w:name w:val="xl145"/>
    <w:basedOn w:val="Normal"/>
    <w:rsid w:val="008128D6"/>
    <w:pPr>
      <w:pBdr>
        <w:top w:val="single" w:sz="8" w:space="0" w:color="auto"/>
        <w:left w:val="single" w:sz="4" w:space="0" w:color="auto"/>
        <w:right w:val="single" w:sz="4" w:space="0" w:color="auto"/>
      </w:pBdr>
      <w:shd w:val="clear" w:color="000000" w:fill="002060"/>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46">
    <w:name w:val="xl146"/>
    <w:basedOn w:val="Normal"/>
    <w:rsid w:val="008128D6"/>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47">
    <w:name w:val="xl147"/>
    <w:basedOn w:val="Normal"/>
    <w:rsid w:val="008128D6"/>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48">
    <w:name w:val="xl148"/>
    <w:basedOn w:val="Normal"/>
    <w:rsid w:val="008128D6"/>
    <w:pPr>
      <w:pBdr>
        <w:left w:val="single" w:sz="4" w:space="0" w:color="auto"/>
        <w:right w:val="single" w:sz="4" w:space="0" w:color="auto"/>
      </w:pBdr>
      <w:shd w:val="clear" w:color="000000" w:fill="4D93D9"/>
      <w:spacing w:before="100" w:beforeAutospacing="1" w:after="100" w:afterAutospacing="1" w:line="240" w:lineRule="auto"/>
      <w:textAlignment w:val="top"/>
    </w:pPr>
    <w:rPr>
      <w:rFonts w:ascii="Times New Roman" w:eastAsia="Times New Roman" w:hAnsi="Times New Roman" w:cs="Times New Roman"/>
      <w:b/>
      <w:bCs/>
      <w:color w:val="FFFFFF"/>
      <w:kern w:val="0"/>
      <w:sz w:val="20"/>
      <w:szCs w:val="20"/>
      <w14:ligatures w14:val="none"/>
    </w:rPr>
  </w:style>
  <w:style w:type="paragraph" w:customStyle="1" w:styleId="xl149">
    <w:name w:val="xl149"/>
    <w:basedOn w:val="Normal"/>
    <w:rsid w:val="008128D6"/>
    <w:pPr>
      <w:pBdr>
        <w:left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131314"/>
      <w:kern w:val="0"/>
      <w:sz w:val="20"/>
      <w:szCs w:val="20"/>
      <w14:ligatures w14:val="none"/>
    </w:rPr>
  </w:style>
  <w:style w:type="paragraph" w:customStyle="1" w:styleId="xl150">
    <w:name w:val="xl150"/>
    <w:basedOn w:val="Normal"/>
    <w:rsid w:val="008128D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1">
    <w:name w:val="xl151"/>
    <w:basedOn w:val="Normal"/>
    <w:rsid w:val="008128D6"/>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2">
    <w:name w:val="xl152"/>
    <w:basedOn w:val="Normal"/>
    <w:rsid w:val="008128D6"/>
    <w:pPr>
      <w:pBdr>
        <w:top w:val="single" w:sz="4" w:space="0" w:color="auto"/>
        <w:left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3">
    <w:name w:val="xl153"/>
    <w:basedOn w:val="Normal"/>
    <w:rsid w:val="008128D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4">
    <w:name w:val="xl154"/>
    <w:basedOn w:val="Normal"/>
    <w:rsid w:val="008128D6"/>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5">
    <w:name w:val="xl155"/>
    <w:basedOn w:val="Normal"/>
    <w:rsid w:val="008128D6"/>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6">
    <w:name w:val="xl156"/>
    <w:basedOn w:val="Normal"/>
    <w:rsid w:val="008128D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7">
    <w:name w:val="xl157"/>
    <w:basedOn w:val="Normal"/>
    <w:rsid w:val="008128D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8">
    <w:name w:val="xl158"/>
    <w:basedOn w:val="Normal"/>
    <w:rsid w:val="008128D6"/>
    <w:pPr>
      <w:pBdr>
        <w:top w:val="single" w:sz="4" w:space="0" w:color="auto"/>
        <w:left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59">
    <w:name w:val="xl159"/>
    <w:basedOn w:val="Normal"/>
    <w:rsid w:val="008128D6"/>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60">
    <w:name w:val="xl160"/>
    <w:basedOn w:val="Normal"/>
    <w:rsid w:val="008128D6"/>
    <w:pPr>
      <w:pBdr>
        <w:top w:val="single" w:sz="8" w:space="0" w:color="auto"/>
        <w:left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A70BD3"/>
    <w:pPr>
      <w:spacing w:after="0" w:line="240" w:lineRule="auto"/>
    </w:pPr>
  </w:style>
  <w:style w:type="character" w:styleId="CommentReference">
    <w:name w:val="annotation reference"/>
    <w:basedOn w:val="DefaultParagraphFont"/>
    <w:uiPriority w:val="99"/>
    <w:semiHidden/>
    <w:unhideWhenUsed/>
    <w:rsid w:val="00986D38"/>
    <w:rPr>
      <w:sz w:val="16"/>
      <w:szCs w:val="16"/>
    </w:rPr>
  </w:style>
  <w:style w:type="paragraph" w:styleId="CommentText">
    <w:name w:val="annotation text"/>
    <w:basedOn w:val="Normal"/>
    <w:link w:val="CommentTextChar"/>
    <w:uiPriority w:val="99"/>
    <w:unhideWhenUsed/>
    <w:rsid w:val="00986D38"/>
    <w:pPr>
      <w:spacing w:line="240" w:lineRule="auto"/>
    </w:pPr>
    <w:rPr>
      <w:sz w:val="20"/>
      <w:szCs w:val="20"/>
    </w:rPr>
  </w:style>
  <w:style w:type="character" w:customStyle="1" w:styleId="CommentTextChar">
    <w:name w:val="Comment Text Char"/>
    <w:basedOn w:val="DefaultParagraphFont"/>
    <w:link w:val="CommentText"/>
    <w:uiPriority w:val="99"/>
    <w:rsid w:val="00986D38"/>
    <w:rPr>
      <w:sz w:val="20"/>
      <w:szCs w:val="20"/>
    </w:rPr>
  </w:style>
  <w:style w:type="paragraph" w:styleId="CommentSubject">
    <w:name w:val="annotation subject"/>
    <w:basedOn w:val="CommentText"/>
    <w:next w:val="CommentText"/>
    <w:link w:val="CommentSubjectChar"/>
    <w:uiPriority w:val="99"/>
    <w:semiHidden/>
    <w:unhideWhenUsed/>
    <w:rsid w:val="00986D38"/>
    <w:rPr>
      <w:b/>
      <w:bCs/>
    </w:rPr>
  </w:style>
  <w:style w:type="character" w:customStyle="1" w:styleId="CommentSubjectChar">
    <w:name w:val="Comment Subject Char"/>
    <w:basedOn w:val="CommentTextChar"/>
    <w:link w:val="CommentSubject"/>
    <w:uiPriority w:val="99"/>
    <w:semiHidden/>
    <w:rsid w:val="00986D38"/>
    <w:rPr>
      <w:b/>
      <w:bCs/>
      <w:sz w:val="20"/>
      <w:szCs w:val="20"/>
    </w:rPr>
  </w:style>
  <w:style w:type="paragraph" w:styleId="Header">
    <w:name w:val="header"/>
    <w:basedOn w:val="Normal"/>
    <w:link w:val="HeaderChar"/>
    <w:uiPriority w:val="99"/>
    <w:unhideWhenUsed/>
    <w:rsid w:val="00B93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234"/>
  </w:style>
  <w:style w:type="paragraph" w:styleId="Footer">
    <w:name w:val="footer"/>
    <w:basedOn w:val="Normal"/>
    <w:link w:val="FooterChar"/>
    <w:uiPriority w:val="99"/>
    <w:unhideWhenUsed/>
    <w:rsid w:val="00B93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234"/>
  </w:style>
  <w:style w:type="character" w:styleId="UnresolvedMention">
    <w:name w:val="Unresolved Mention"/>
    <w:basedOn w:val="DefaultParagraphFont"/>
    <w:uiPriority w:val="99"/>
    <w:semiHidden/>
    <w:unhideWhenUsed/>
    <w:rsid w:val="00B93234"/>
    <w:rPr>
      <w:color w:val="605E5C"/>
      <w:shd w:val="clear" w:color="auto" w:fill="E1DFDD"/>
    </w:rPr>
  </w:style>
  <w:style w:type="paragraph" w:customStyle="1" w:styleId="paragraph">
    <w:name w:val="paragraph"/>
    <w:basedOn w:val="Normal"/>
    <w:rsid w:val="00B9323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93234"/>
  </w:style>
  <w:style w:type="character" w:customStyle="1" w:styleId="eop">
    <w:name w:val="eop"/>
    <w:basedOn w:val="DefaultParagraphFont"/>
    <w:rsid w:val="00B93234"/>
  </w:style>
  <w:style w:type="character" w:customStyle="1" w:styleId="contentcontrolboundarysink">
    <w:name w:val="contentcontrolboundarysink"/>
    <w:basedOn w:val="DefaultParagraphFont"/>
    <w:rsid w:val="00B93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700568">
      <w:bodyDiv w:val="1"/>
      <w:marLeft w:val="0"/>
      <w:marRight w:val="0"/>
      <w:marTop w:val="0"/>
      <w:marBottom w:val="0"/>
      <w:divBdr>
        <w:top w:val="none" w:sz="0" w:space="0" w:color="auto"/>
        <w:left w:val="none" w:sz="0" w:space="0" w:color="auto"/>
        <w:bottom w:val="none" w:sz="0" w:space="0" w:color="auto"/>
        <w:right w:val="none" w:sz="0" w:space="0" w:color="auto"/>
      </w:divBdr>
    </w:div>
    <w:div w:id="856313134">
      <w:bodyDiv w:val="1"/>
      <w:marLeft w:val="0"/>
      <w:marRight w:val="0"/>
      <w:marTop w:val="0"/>
      <w:marBottom w:val="0"/>
      <w:divBdr>
        <w:top w:val="none" w:sz="0" w:space="0" w:color="auto"/>
        <w:left w:val="none" w:sz="0" w:space="0" w:color="auto"/>
        <w:bottom w:val="none" w:sz="0" w:space="0" w:color="auto"/>
        <w:right w:val="none" w:sz="0" w:space="0" w:color="auto"/>
      </w:divBdr>
    </w:div>
    <w:div w:id="1173301181">
      <w:bodyDiv w:val="1"/>
      <w:marLeft w:val="0"/>
      <w:marRight w:val="0"/>
      <w:marTop w:val="0"/>
      <w:marBottom w:val="0"/>
      <w:divBdr>
        <w:top w:val="none" w:sz="0" w:space="0" w:color="auto"/>
        <w:left w:val="none" w:sz="0" w:space="0" w:color="auto"/>
        <w:bottom w:val="none" w:sz="0" w:space="0" w:color="auto"/>
        <w:right w:val="none" w:sz="0" w:space="0" w:color="auto"/>
      </w:divBdr>
    </w:div>
    <w:div w:id="1192961645">
      <w:bodyDiv w:val="1"/>
      <w:marLeft w:val="0"/>
      <w:marRight w:val="0"/>
      <w:marTop w:val="0"/>
      <w:marBottom w:val="0"/>
      <w:divBdr>
        <w:top w:val="none" w:sz="0" w:space="0" w:color="auto"/>
        <w:left w:val="none" w:sz="0" w:space="0" w:color="auto"/>
        <w:bottom w:val="none" w:sz="0" w:space="0" w:color="auto"/>
        <w:right w:val="none" w:sz="0" w:space="0" w:color="auto"/>
      </w:divBdr>
    </w:div>
    <w:div w:id="1924215022">
      <w:bodyDiv w:val="1"/>
      <w:marLeft w:val="0"/>
      <w:marRight w:val="0"/>
      <w:marTop w:val="0"/>
      <w:marBottom w:val="0"/>
      <w:divBdr>
        <w:top w:val="none" w:sz="0" w:space="0" w:color="auto"/>
        <w:left w:val="none" w:sz="0" w:space="0" w:color="auto"/>
        <w:bottom w:val="none" w:sz="0" w:space="0" w:color="auto"/>
        <w:right w:val="none" w:sz="0" w:space="0" w:color="auto"/>
      </w:divBdr>
    </w:div>
    <w:div w:id="205777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97A7D-13C5-4541-8E58-879FD12E34EE}">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2.xml><?xml version="1.0" encoding="utf-8"?>
<ds:datastoreItem xmlns:ds="http://schemas.openxmlformats.org/officeDocument/2006/customXml" ds:itemID="{8D57157F-DA4A-40D9-9E97-E618C1515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08448-2AF0-4777-9E59-E539F27590AB}">
  <ds:schemaRefs>
    <ds:schemaRef ds:uri="http://schemas.microsoft.com/sharepoint/v3/contenttype/forms"/>
  </ds:schemaRefs>
</ds:datastoreItem>
</file>

<file path=customXml/itemProps4.xml><?xml version="1.0" encoding="utf-8"?>
<ds:datastoreItem xmlns:ds="http://schemas.openxmlformats.org/officeDocument/2006/customXml" ds:itemID="{EDB1D7D2-BF54-4056-BFAD-D97FE9EA311F}">
  <ds:schemaRefs>
    <ds:schemaRef ds:uri="http://schemas.openxmlformats.org/officeDocument/2006/bibliography"/>
  </ds:schemaRefs>
</ds:datastoreItem>
</file>

<file path=docMetadata/LabelInfo.xml><?xml version="1.0" encoding="utf-8"?>
<clbl:labelList xmlns:clbl="http://schemas.microsoft.com/office/2020/mipLabelMetadata">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Normal.dotm</Template>
  <TotalTime>40</TotalTime>
  <Pages>1</Pages>
  <Words>8718</Words>
  <Characters>49696</Characters>
  <Application>Microsoft Office Word</Application>
  <DocSecurity>4</DocSecurity>
  <Lines>414</Lines>
  <Paragraphs>116</Paragraphs>
  <ScaleCrop>false</ScaleCrop>
  <HeadingPairs>
    <vt:vector size="2" baseType="variant">
      <vt:variant>
        <vt:lpstr>Title</vt:lpstr>
      </vt:variant>
      <vt:variant>
        <vt:i4>1</vt:i4>
      </vt:variant>
    </vt:vector>
  </HeadingPairs>
  <TitlesOfParts>
    <vt:vector size="1" baseType="lpstr">
      <vt:lpstr>TAS_E&amp;E 015_Exhibit G.24 - Converged E&amp;E System and AMS Capability Model Heat Map and Definitions_DRAFT_Redacted</vt:lpstr>
    </vt:vector>
  </TitlesOfParts>
  <Manager/>
  <Company/>
  <LinksUpToDate>false</LinksUpToDate>
  <CharactersWithSpaces>58298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TAS_E&amp;E 015_Exhibit G.24 - Converged E&amp;E System and AMS Capability Model Heat Map and Definitions_DRAFT_Redacted</dc:title>
  <dc:subject/>
  <dc:creator/>
  <cp:keywords/>
  <dc:description/>
  <cp:lastModifiedBy>Gregory, Jennifer (HEALTH)</cp:lastModifiedBy>
  <cp:revision>19</cp:revision>
  <dcterms:created xsi:type="dcterms:W3CDTF">2026-08-27T21:16:00Z</dcterms:created>
  <dcterms:modified xsi:type="dcterms:W3CDTF">2026-09-30T20:15:00Z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MediaServiceImageTags">
    <vt:lpwstr/>
  </property>
</Properties>
</file>