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D13FC0" w14:textId="77777777" w:rsidR="00A2626C" w:rsidRDefault="00A2626C" w:rsidP="00A2626C">
      <w:pPr>
        <w:tabs>
          <w:tab w:val="left" w:pos="5400"/>
        </w:tabs>
        <w:spacing w:line="300" w:lineRule="exact"/>
        <w:rPr>
          <w:rFonts w:ascii="Proxima Nova Rg" w:hAnsi="Proxima Nova Rg" w:cs="Times New Roman (Body CS)"/>
        </w:rPr>
        <w:sectPr w:rsidR="00A2626C" w:rsidSect="00A2626C">
          <w:pgSz w:w="12240" w:h="15840"/>
          <w:pgMar w:top="720" w:right="720" w:bottom="720" w:left="720" w:header="720" w:footer="720" w:gutter="0"/>
          <w:cols w:space="720"/>
          <w:docGrid w:linePitch="360"/>
        </w:sectPr>
      </w:pPr>
    </w:p>
    <w:p w14:paraId="0A876A17" w14:textId="77777777" w:rsidR="00A2626C" w:rsidRPr="00476C38" w:rsidRDefault="00A2626C" w:rsidP="00A2626C">
      <w:pPr>
        <w:pStyle w:val="NoSpacing"/>
        <w:sectPr w:rsidR="00A2626C" w:rsidRPr="00476C38" w:rsidSect="00A2626C">
          <w:headerReference w:type="default" r:id="rId7"/>
          <w:footerReference w:type="default" r:id="rId8"/>
          <w:type w:val="continuous"/>
          <w:pgSz w:w="12240" w:h="15840"/>
          <w:pgMar w:top="720" w:right="720" w:bottom="720" w:left="720" w:header="720" w:footer="720" w:gutter="0"/>
          <w:cols w:space="720"/>
          <w:docGrid w:linePitch="360"/>
        </w:sectPr>
      </w:pPr>
    </w:p>
    <w:p w14:paraId="07FDB6D2" w14:textId="77777777" w:rsidR="00A2626C" w:rsidRPr="00476C38" w:rsidRDefault="00A2626C" w:rsidP="00A2626C">
      <w:pPr>
        <w:pStyle w:val="NoSpacing"/>
        <w:jc w:val="center"/>
        <w:rPr>
          <w:rFonts w:ascii="Times New Roman" w:hAnsi="Times New Roman"/>
          <w:b/>
          <w:bCs/>
        </w:rPr>
      </w:pPr>
      <w:bookmarkStart w:id="0" w:name="_Hlk53150601"/>
      <w:r w:rsidRPr="00476C38">
        <w:rPr>
          <w:rFonts w:ascii="Times New Roman" w:hAnsi="Times New Roman"/>
          <w:b/>
          <w:bCs/>
        </w:rPr>
        <w:t>Non-Patient Specific Standing Order for the Administration of the</w:t>
      </w:r>
    </w:p>
    <w:p w14:paraId="2B5B4E30" w14:textId="0D920C41" w:rsidR="00A2626C" w:rsidRDefault="00A2626C" w:rsidP="00A2626C">
      <w:pPr>
        <w:spacing w:line="256" w:lineRule="auto"/>
        <w:jc w:val="center"/>
        <w:rPr>
          <w:rFonts w:ascii="Times New Roman" w:eastAsia="Arial" w:hAnsi="Times New Roman"/>
          <w:b/>
          <w:bCs/>
        </w:rPr>
      </w:pPr>
      <w:r>
        <w:rPr>
          <w:rFonts w:ascii="Times New Roman" w:eastAsia="Arial" w:hAnsi="Times New Roman"/>
          <w:b/>
          <w:bCs/>
        </w:rPr>
        <w:t xml:space="preserve">JYNNEOS vaccine via </w:t>
      </w:r>
      <w:r>
        <w:rPr>
          <w:rFonts w:ascii="Times New Roman" w:eastAsia="Arial" w:hAnsi="Times New Roman"/>
          <w:b/>
          <w:bCs/>
          <w:u w:val="single"/>
        </w:rPr>
        <w:t>Subcutaneous</w:t>
      </w:r>
      <w:r>
        <w:rPr>
          <w:rFonts w:ascii="Times New Roman" w:eastAsia="Arial" w:hAnsi="Times New Roman"/>
          <w:b/>
          <w:bCs/>
        </w:rPr>
        <w:t xml:space="preserve"> Administration for Persons Aged 18 and Older (Updated 09/5/2025)</w:t>
      </w:r>
    </w:p>
    <w:p w14:paraId="68D34E3E" w14:textId="77777777" w:rsidR="00A2626C" w:rsidRDefault="00A2626C" w:rsidP="00A2626C">
      <w:pPr>
        <w:spacing w:line="256" w:lineRule="auto"/>
        <w:jc w:val="center"/>
        <w:rPr>
          <w:rFonts w:ascii="Times New Roman" w:eastAsia="Arial" w:hAnsi="Times New Roman"/>
          <w:b/>
          <w:bCs/>
        </w:rPr>
      </w:pPr>
    </w:p>
    <w:bookmarkEnd w:id="0"/>
    <w:p w14:paraId="0D6D9351" w14:textId="116B61BB" w:rsidR="00A2626C" w:rsidRDefault="00A2626C" w:rsidP="00A2626C">
      <w:pPr>
        <w:rPr>
          <w:rFonts w:ascii="Times New Roman" w:eastAsia="Times New Roman" w:hAnsi="Times New Roman"/>
        </w:rPr>
      </w:pPr>
      <w:r>
        <w:rPr>
          <w:rFonts w:ascii="Times New Roman" w:eastAsia="Times New Roman" w:hAnsi="Times New Roman"/>
          <w:b/>
          <w:bCs/>
        </w:rPr>
        <w:t>Purpose:</w:t>
      </w:r>
      <w:r>
        <w:rPr>
          <w:rFonts w:ascii="Times New Roman" w:eastAsia="Times New Roman" w:hAnsi="Times New Roman"/>
        </w:rPr>
        <w:t xml:space="preserve"> </w:t>
      </w:r>
      <w:bookmarkStart w:id="1" w:name="_Hlk46685667"/>
      <w:bookmarkStart w:id="2" w:name="_Hlk57209724"/>
      <w:r>
        <w:rPr>
          <w:rStyle w:val="normaltextrun"/>
          <w:rFonts w:ascii="Times New Roman" w:hAnsi="Times New Roman"/>
          <w:color w:val="000000"/>
          <w:shd w:val="clear" w:color="auto" w:fill="FFFFFF"/>
        </w:rPr>
        <w:t xml:space="preserve">To reduce morbidity and mortality from mpox (previously referred to as ‘monkeypox’) by administering the JYNNEOS vaccine as permitted by the policy and order sections of this Order. </w:t>
      </w:r>
      <w:bookmarkEnd w:id="1"/>
      <w:bookmarkEnd w:id="2"/>
    </w:p>
    <w:p w14:paraId="3FB94864" w14:textId="77777777" w:rsidR="00A2626C" w:rsidRDefault="00A2626C" w:rsidP="00A2626C">
      <w:pPr>
        <w:rPr>
          <w:rStyle w:val="normaltextrun"/>
          <w:rFonts w:ascii="Times New Roman" w:hAnsi="Times New Roman"/>
          <w:color w:val="000000"/>
          <w:shd w:val="clear" w:color="auto" w:fill="FFFFFF"/>
        </w:rPr>
      </w:pPr>
    </w:p>
    <w:p w14:paraId="248E7A09" w14:textId="31307EE3" w:rsidR="00A2626C" w:rsidRPr="006E657A" w:rsidRDefault="00A2626C" w:rsidP="00A2626C">
      <w:pPr>
        <w:rPr>
          <w:rFonts w:ascii="Times New Roman" w:eastAsia="Times New Roman" w:hAnsi="Times New Roman"/>
        </w:rPr>
      </w:pPr>
      <w:r w:rsidRPr="006A50B7">
        <w:rPr>
          <w:rFonts w:ascii="Times New Roman" w:eastAsia="Times New Roman" w:hAnsi="Times New Roman"/>
          <w:b/>
          <w:bCs/>
          <w:color w:val="000000" w:themeColor="text1"/>
        </w:rPr>
        <w:t>Policy:</w:t>
      </w:r>
      <w:r w:rsidRPr="006A50B7">
        <w:rPr>
          <w:rFonts w:ascii="Times New Roman" w:eastAsia="Times New Roman" w:hAnsi="Times New Roman"/>
          <w:color w:val="000000" w:themeColor="text1"/>
        </w:rPr>
        <w:t xml:space="preserve"> </w:t>
      </w:r>
      <w:r w:rsidRPr="40527557">
        <w:rPr>
          <w:rFonts w:ascii="Times New Roman" w:eastAsia="Times New Roman" w:hAnsi="Times New Roman"/>
        </w:rPr>
        <w:t xml:space="preserve">Under this non-patient specific standing order, </w:t>
      </w:r>
      <w:r w:rsidRPr="0052140F">
        <w:rPr>
          <w:rFonts w:ascii="Times New Roman" w:eastAsia="Times New Roman" w:hAnsi="Times New Roman"/>
          <w:shd w:val="clear" w:color="auto" w:fill="D9D9D9" w:themeFill="background1" w:themeFillShade="D9"/>
        </w:rPr>
        <w:t>[insert clinical staff titles]</w:t>
      </w:r>
      <w:r w:rsidRPr="40527557">
        <w:rPr>
          <w:rFonts w:ascii="Times New Roman" w:eastAsia="Times New Roman" w:hAnsi="Times New Roman"/>
        </w:rPr>
        <w:t xml:space="preserve"> who are [</w:t>
      </w:r>
      <w:r w:rsidRPr="0052140F">
        <w:rPr>
          <w:rFonts w:ascii="Times New Roman" w:eastAsia="Times New Roman" w:hAnsi="Times New Roman"/>
          <w:shd w:val="clear" w:color="auto" w:fill="D9D9D9" w:themeFill="background1" w:themeFillShade="D9"/>
        </w:rPr>
        <w:t>employees, volunteers, [and/or] contractors]</w:t>
      </w:r>
      <w:r w:rsidRPr="40527557">
        <w:rPr>
          <w:rFonts w:ascii="Times New Roman" w:eastAsia="Times New Roman" w:hAnsi="Times New Roman"/>
        </w:rPr>
        <w:t xml:space="preserve"> of the </w:t>
      </w:r>
      <w:r w:rsidRPr="0052140F">
        <w:rPr>
          <w:rFonts w:ascii="Times New Roman" w:eastAsia="Times New Roman" w:hAnsi="Times New Roman"/>
          <w:shd w:val="clear" w:color="auto" w:fill="D9D9D9" w:themeFill="background1" w:themeFillShade="D9"/>
        </w:rPr>
        <w:t>[Insert Organization Name]</w:t>
      </w:r>
      <w:r w:rsidRPr="40527557">
        <w:rPr>
          <w:rFonts w:ascii="Times New Roman" w:eastAsia="Times New Roman" w:hAnsi="Times New Roman"/>
        </w:rPr>
        <w:t xml:space="preserve"> and are </w:t>
      </w:r>
      <w:r>
        <w:rPr>
          <w:rFonts w:ascii="Times New Roman" w:eastAsia="Times New Roman" w:hAnsi="Times New Roman"/>
        </w:rPr>
        <w:t xml:space="preserve">pharmacists or </w:t>
      </w:r>
      <w:r w:rsidRPr="40527557">
        <w:rPr>
          <w:rFonts w:ascii="Times New Roman" w:eastAsia="Times New Roman" w:hAnsi="Times New Roman"/>
        </w:rPr>
        <w:t>registered nurses authorized to administer vaccines pursuant to a certificate of administration from the Department of Education and under non-patient specific standing orders in New York State</w:t>
      </w:r>
      <w:r>
        <w:rPr>
          <w:rFonts w:ascii="Times New Roman" w:eastAsia="Times New Roman" w:hAnsi="Times New Roman"/>
        </w:rPr>
        <w:t xml:space="preserve"> (NYS)</w:t>
      </w:r>
      <w:r w:rsidRPr="40527557">
        <w:rPr>
          <w:rFonts w:ascii="Times New Roman" w:eastAsia="Times New Roman" w:hAnsi="Times New Roman"/>
        </w:rPr>
        <w:t xml:space="preserve"> and who are certified in cardio-pulmonary resuscitation may administer the </w:t>
      </w:r>
      <w:r>
        <w:rPr>
          <w:rFonts w:ascii="Times New Roman" w:eastAsia="Times New Roman" w:hAnsi="Times New Roman"/>
        </w:rPr>
        <w:t>JYNNEOS</w:t>
      </w:r>
      <w:r w:rsidRPr="40527557">
        <w:rPr>
          <w:rFonts w:ascii="Times New Roman" w:eastAsia="Times New Roman" w:hAnsi="Times New Roman"/>
        </w:rPr>
        <w:t xml:space="preserve"> </w:t>
      </w:r>
      <w:r>
        <w:rPr>
          <w:rFonts w:ascii="Times New Roman" w:eastAsia="Times New Roman" w:hAnsi="Times New Roman"/>
        </w:rPr>
        <w:t xml:space="preserve">vaccination to </w:t>
      </w:r>
      <w:r w:rsidRPr="003724B9">
        <w:rPr>
          <w:rFonts w:ascii="Times New Roman" w:eastAsia="Times New Roman" w:hAnsi="Times New Roman"/>
        </w:rPr>
        <w:t xml:space="preserve">eligible individuals, as permitted by its Biologics License Application (BLA) </w:t>
      </w:r>
      <w:r w:rsidRPr="00E6737D">
        <w:rPr>
          <w:rFonts w:ascii="Times New Roman" w:eastAsia="Times New Roman" w:hAnsi="Times New Roman"/>
        </w:rPr>
        <w:t xml:space="preserve">approval or Emergency Use Authorization </w:t>
      </w:r>
      <w:r>
        <w:rPr>
          <w:rFonts w:ascii="Times New Roman" w:eastAsia="Times New Roman" w:hAnsi="Times New Roman"/>
        </w:rPr>
        <w:t>(if</w:t>
      </w:r>
      <w:r w:rsidRPr="00E6737D">
        <w:rPr>
          <w:rFonts w:ascii="Times New Roman" w:eastAsia="Times New Roman" w:hAnsi="Times New Roman"/>
        </w:rPr>
        <w:t xml:space="preserve"> applicable</w:t>
      </w:r>
      <w:r>
        <w:rPr>
          <w:rFonts w:ascii="Times New Roman" w:eastAsia="Times New Roman" w:hAnsi="Times New Roman"/>
        </w:rPr>
        <w:t>)</w:t>
      </w:r>
      <w:r w:rsidRPr="00E6737D">
        <w:rPr>
          <w:rFonts w:ascii="Times New Roman" w:eastAsia="Times New Roman" w:hAnsi="Times New Roman"/>
        </w:rPr>
        <w:t xml:space="preserve"> by the U.S. Food and Drug Administration (FDA), state and federal laws, Executive Orders, COVID-19 Public Health Readiness and Emergency Preparedness (PREP) Act declarations, and the recommendations of the Advisory Committee on Immunization Practices (ACIP). </w:t>
      </w:r>
    </w:p>
    <w:p w14:paraId="21D49AF1" w14:textId="77777777" w:rsidR="00A2626C" w:rsidRPr="00297280" w:rsidRDefault="00A2626C" w:rsidP="00A2626C">
      <w:pPr>
        <w:rPr>
          <w:rFonts w:ascii="Arial" w:hAnsi="Arial" w:cs="Arial"/>
          <w:color w:val="2E74B5"/>
          <w:sz w:val="20"/>
          <w:szCs w:val="20"/>
        </w:rPr>
      </w:pPr>
    </w:p>
    <w:p w14:paraId="7448C57F" w14:textId="77777777" w:rsidR="00A2626C" w:rsidRDefault="00A2626C" w:rsidP="00A2626C">
      <w:pPr>
        <w:pStyle w:val="paragraph"/>
        <w:spacing w:before="0" w:beforeAutospacing="0" w:after="0" w:afterAutospacing="0"/>
        <w:rPr>
          <w:b/>
          <w:bCs/>
        </w:rPr>
      </w:pPr>
      <w:r>
        <w:rPr>
          <w:b/>
          <w:bCs/>
        </w:rPr>
        <w:t>Target Population:</w:t>
      </w:r>
    </w:p>
    <w:p w14:paraId="26CD90F3" w14:textId="77777777" w:rsidR="00A2626C" w:rsidRDefault="00A2626C" w:rsidP="00A2626C">
      <w:pPr>
        <w:pStyle w:val="paragraph"/>
        <w:spacing w:before="0" w:beforeAutospacing="0" w:after="0" w:afterAutospacing="0"/>
        <w:rPr>
          <w:b/>
          <w:bCs/>
        </w:rPr>
      </w:pPr>
      <w:r>
        <w:rPr>
          <w:color w:val="000000"/>
          <w:shd w:val="clear" w:color="auto" w:fill="FFFFFF"/>
        </w:rPr>
        <w:t>JYNNEOS</w:t>
      </w:r>
      <w:r>
        <w:rPr>
          <w:color w:val="000000"/>
          <w:shd w:val="clear" w:color="auto" w:fill="FFFFFF"/>
          <w:vertAlign w:val="superscript"/>
        </w:rPr>
        <w:t>®</w:t>
      </w:r>
      <w:r>
        <w:rPr>
          <w:color w:val="000000"/>
          <w:shd w:val="clear" w:color="auto" w:fill="FFFFFF"/>
        </w:rPr>
        <w:t> vaccine is licensed to prevent mpox and recommended by the ACIP for certain people at risk for exposure to mpox.</w:t>
      </w:r>
      <w:r>
        <w:rPr>
          <w:rStyle w:val="FootnoteReference"/>
          <w:color w:val="000000"/>
          <w:shd w:val="clear" w:color="auto" w:fill="FFFFFF"/>
        </w:rPr>
        <w:footnoteReference w:id="1"/>
      </w:r>
      <w:r>
        <w:rPr>
          <w:color w:val="000000"/>
          <w:shd w:val="clear" w:color="auto" w:fill="FFFFFF"/>
        </w:rPr>
        <w:t xml:space="preserve"> The ACIP recommends the 2-dose JYNNEOS series to several populations and for different indications:</w:t>
      </w:r>
    </w:p>
    <w:p w14:paraId="373E7ED6" w14:textId="77777777" w:rsidR="00A2626C" w:rsidRDefault="00A2626C" w:rsidP="00A2626C">
      <w:pPr>
        <w:numPr>
          <w:ilvl w:val="0"/>
          <w:numId w:val="1"/>
        </w:numPr>
        <w:shd w:val="clear" w:color="auto" w:fill="FFFFFF"/>
        <w:spacing w:before="100" w:beforeAutospacing="1" w:after="100" w:afterAutospacing="1"/>
        <w:rPr>
          <w:rFonts w:ascii="Times New Roman" w:hAnsi="Times New Roman"/>
          <w:color w:val="000000"/>
        </w:rPr>
      </w:pPr>
      <w:r>
        <w:rPr>
          <w:rFonts w:ascii="Times New Roman" w:hAnsi="Times New Roman"/>
          <w:color w:val="000000"/>
        </w:rPr>
        <w:t>For people aged 18 years and older at risk of mpox during an mpox outbreak.</w:t>
      </w:r>
      <w:r>
        <w:rPr>
          <w:rStyle w:val="FootnoteReference"/>
          <w:rFonts w:ascii="Times New Roman" w:hAnsi="Times New Roman"/>
          <w:color w:val="000000"/>
        </w:rPr>
        <w:footnoteReference w:id="2"/>
      </w:r>
      <w:r>
        <w:rPr>
          <w:rFonts w:ascii="Times New Roman" w:hAnsi="Times New Roman"/>
          <w:color w:val="000000"/>
        </w:rPr>
        <w:t xml:space="preserve"> </w:t>
      </w:r>
    </w:p>
    <w:p w14:paraId="7394B94C" w14:textId="77777777" w:rsidR="00A2626C" w:rsidRDefault="00A2626C" w:rsidP="00A2626C">
      <w:pPr>
        <w:numPr>
          <w:ilvl w:val="0"/>
          <w:numId w:val="1"/>
        </w:numPr>
        <w:shd w:val="clear" w:color="auto" w:fill="FFFFFF"/>
        <w:spacing w:before="100" w:beforeAutospacing="1"/>
        <w:rPr>
          <w:rFonts w:ascii="Times New Roman" w:hAnsi="Times New Roman"/>
          <w:color w:val="000000"/>
        </w:rPr>
      </w:pPr>
      <w:r>
        <w:rPr>
          <w:rFonts w:ascii="Times New Roman" w:hAnsi="Times New Roman"/>
          <w:color w:val="000000"/>
        </w:rPr>
        <w:t>For people aged 18 years and older with the following risks for acquiring mpox</w:t>
      </w:r>
      <w:r>
        <w:rPr>
          <w:rStyle w:val="FootnoteReference"/>
          <w:rFonts w:ascii="Times New Roman" w:hAnsi="Times New Roman"/>
          <w:color w:val="000000"/>
        </w:rPr>
        <w:footnoteReference w:id="3"/>
      </w:r>
      <w:r>
        <w:rPr>
          <w:rFonts w:ascii="Times New Roman" w:hAnsi="Times New Roman"/>
          <w:color w:val="000000"/>
        </w:rPr>
        <w:t>:</w:t>
      </w:r>
    </w:p>
    <w:p w14:paraId="2B95857B" w14:textId="77777777" w:rsidR="00A2626C" w:rsidRDefault="00A2626C" w:rsidP="00A2626C">
      <w:pPr>
        <w:numPr>
          <w:ilvl w:val="1"/>
          <w:numId w:val="1"/>
        </w:numPr>
        <w:shd w:val="clear" w:color="auto" w:fill="FFFFFF"/>
        <w:spacing w:before="100" w:beforeAutospacing="1" w:after="100" w:afterAutospacing="1"/>
        <w:rPr>
          <w:rFonts w:ascii="Times New Roman" w:hAnsi="Times New Roman"/>
          <w:color w:val="000000"/>
        </w:rPr>
      </w:pPr>
      <w:r>
        <w:rPr>
          <w:rFonts w:ascii="Times New Roman" w:hAnsi="Times New Roman"/>
          <w:color w:val="000000"/>
        </w:rPr>
        <w:t>Gay, bisexual, and other men who have sex with men, transgender or nonbinary people who in the past 6 months have had one of the following:</w:t>
      </w:r>
    </w:p>
    <w:p w14:paraId="222E96AD" w14:textId="77777777" w:rsidR="00A2626C" w:rsidRDefault="00A2626C" w:rsidP="00A2626C">
      <w:pPr>
        <w:numPr>
          <w:ilvl w:val="2"/>
          <w:numId w:val="1"/>
        </w:numPr>
        <w:shd w:val="clear" w:color="auto" w:fill="FFFFFF"/>
        <w:spacing w:before="100" w:beforeAutospacing="1" w:after="100" w:afterAutospacing="1"/>
        <w:rPr>
          <w:rFonts w:ascii="Times New Roman" w:hAnsi="Times New Roman"/>
          <w:color w:val="000000"/>
        </w:rPr>
      </w:pPr>
      <w:r>
        <w:rPr>
          <w:rFonts w:ascii="Times New Roman" w:hAnsi="Times New Roman"/>
          <w:color w:val="000000"/>
        </w:rPr>
        <w:t>A new diagnosis of ≥1 sexually transmitted disease,</w:t>
      </w:r>
    </w:p>
    <w:p w14:paraId="70574043" w14:textId="77777777" w:rsidR="00A2626C" w:rsidRDefault="00A2626C" w:rsidP="00A2626C">
      <w:pPr>
        <w:numPr>
          <w:ilvl w:val="2"/>
          <w:numId w:val="1"/>
        </w:numPr>
        <w:shd w:val="clear" w:color="auto" w:fill="FFFFFF"/>
        <w:spacing w:before="100" w:beforeAutospacing="1" w:after="100" w:afterAutospacing="1"/>
        <w:rPr>
          <w:rFonts w:ascii="Times New Roman" w:hAnsi="Times New Roman"/>
          <w:color w:val="000000"/>
        </w:rPr>
      </w:pPr>
      <w:r>
        <w:rPr>
          <w:rFonts w:ascii="Times New Roman" w:hAnsi="Times New Roman"/>
          <w:color w:val="000000"/>
        </w:rPr>
        <w:t>More than one sex partner,</w:t>
      </w:r>
    </w:p>
    <w:p w14:paraId="5E494D3D" w14:textId="77777777" w:rsidR="00A2626C" w:rsidRDefault="00A2626C" w:rsidP="00A2626C">
      <w:pPr>
        <w:numPr>
          <w:ilvl w:val="2"/>
          <w:numId w:val="1"/>
        </w:numPr>
        <w:shd w:val="clear" w:color="auto" w:fill="FFFFFF"/>
        <w:spacing w:before="100" w:beforeAutospacing="1" w:after="100" w:afterAutospacing="1"/>
        <w:rPr>
          <w:rFonts w:ascii="Times New Roman" w:hAnsi="Times New Roman"/>
          <w:color w:val="000000"/>
        </w:rPr>
      </w:pPr>
      <w:r>
        <w:rPr>
          <w:rFonts w:ascii="Times New Roman" w:hAnsi="Times New Roman"/>
          <w:color w:val="000000"/>
        </w:rPr>
        <w:t>Sex at a commercial sex venue, and/or</w:t>
      </w:r>
    </w:p>
    <w:p w14:paraId="3D250396" w14:textId="77777777" w:rsidR="00A2626C" w:rsidRDefault="00A2626C" w:rsidP="00A2626C">
      <w:pPr>
        <w:numPr>
          <w:ilvl w:val="2"/>
          <w:numId w:val="1"/>
        </w:numPr>
        <w:shd w:val="clear" w:color="auto" w:fill="FFFFFF"/>
        <w:spacing w:before="100" w:beforeAutospacing="1"/>
        <w:rPr>
          <w:rFonts w:ascii="Times New Roman" w:hAnsi="Times New Roman"/>
          <w:color w:val="000000"/>
        </w:rPr>
      </w:pPr>
      <w:r>
        <w:rPr>
          <w:rFonts w:ascii="Times New Roman" w:hAnsi="Times New Roman"/>
          <w:color w:val="000000"/>
        </w:rPr>
        <w:t>Sex in association with a large public event in a geographic area where mpox transmission is occurring.</w:t>
      </w:r>
    </w:p>
    <w:p w14:paraId="500776F2" w14:textId="77777777" w:rsidR="00A2626C" w:rsidRDefault="00A2626C" w:rsidP="00A2626C">
      <w:pPr>
        <w:numPr>
          <w:ilvl w:val="1"/>
          <w:numId w:val="1"/>
        </w:numPr>
        <w:shd w:val="clear" w:color="auto" w:fill="FFFFFF"/>
        <w:spacing w:before="100" w:beforeAutospacing="1" w:after="100" w:afterAutospacing="1"/>
        <w:rPr>
          <w:rFonts w:ascii="Times New Roman" w:hAnsi="Times New Roman"/>
          <w:color w:val="000000"/>
        </w:rPr>
      </w:pPr>
      <w:r>
        <w:rPr>
          <w:rFonts w:ascii="Times New Roman" w:hAnsi="Times New Roman"/>
          <w:color w:val="000000"/>
        </w:rPr>
        <w:t>Sexual partners of people with the risks described above.</w:t>
      </w:r>
    </w:p>
    <w:p w14:paraId="496AF981" w14:textId="77777777" w:rsidR="00A2626C" w:rsidRPr="00D0534F" w:rsidRDefault="00A2626C" w:rsidP="00A2626C">
      <w:pPr>
        <w:numPr>
          <w:ilvl w:val="1"/>
          <w:numId w:val="1"/>
        </w:numPr>
        <w:shd w:val="clear" w:color="auto" w:fill="FFFFFF"/>
        <w:spacing w:before="100" w:beforeAutospacing="1"/>
        <w:rPr>
          <w:rFonts w:ascii="Times New Roman" w:hAnsi="Times New Roman"/>
          <w:color w:val="000000"/>
        </w:rPr>
      </w:pPr>
      <w:r>
        <w:rPr>
          <w:rFonts w:ascii="Times New Roman" w:hAnsi="Times New Roman"/>
          <w:color w:val="000000"/>
        </w:rPr>
        <w:t>People who anticipate experiencing or participating in any of the above.</w:t>
      </w:r>
    </w:p>
    <w:p w14:paraId="27F2B0AB" w14:textId="77777777" w:rsidR="00A2626C" w:rsidRPr="006E5068" w:rsidRDefault="00A2626C" w:rsidP="00A2626C">
      <w:pPr>
        <w:pStyle w:val="ListParagraph"/>
        <w:numPr>
          <w:ilvl w:val="0"/>
          <w:numId w:val="15"/>
        </w:numPr>
        <w:rPr>
          <w:rFonts w:ascii="Times New Roman" w:hAnsi="Times New Roman"/>
        </w:rPr>
      </w:pPr>
      <w:r w:rsidRPr="006E5068">
        <w:rPr>
          <w:rFonts w:ascii="Times New Roman" w:hAnsi="Times New Roman"/>
          <w:color w:val="000000"/>
        </w:rPr>
        <w:t>Travelers to countries with ongoing outbreaks. The Center for Disease Control and Prevention</w:t>
      </w:r>
      <w:r w:rsidRPr="004F20AE">
        <w:rPr>
          <w:rFonts w:ascii="Times New Roman" w:hAnsi="Times New Roman"/>
          <w:color w:val="000000"/>
        </w:rPr>
        <w:t xml:space="preserve"> </w:t>
      </w:r>
      <w:r w:rsidRPr="006E5068">
        <w:rPr>
          <w:rFonts w:ascii="Times New Roman" w:hAnsi="Times New Roman"/>
        </w:rPr>
        <w:t xml:space="preserve">has determined that ongoing human-to-human transmission of clade I </w:t>
      </w:r>
      <w:r>
        <w:rPr>
          <w:rFonts w:ascii="Times New Roman" w:hAnsi="Times New Roman"/>
        </w:rPr>
        <w:t xml:space="preserve">mpox virus </w:t>
      </w:r>
      <w:r w:rsidRPr="006E5068">
        <w:rPr>
          <w:rFonts w:ascii="Times New Roman" w:hAnsi="Times New Roman"/>
        </w:rPr>
        <w:t>in Central and East Africa</w:t>
      </w:r>
      <w:r w:rsidRPr="004F20AE">
        <w:rPr>
          <w:rStyle w:val="FootnoteReference"/>
          <w:rFonts w:ascii="Times New Roman" w:hAnsi="Times New Roman"/>
        </w:rPr>
        <w:footnoteReference w:id="4"/>
      </w:r>
      <w:r w:rsidRPr="006E5068">
        <w:rPr>
          <w:rFonts w:ascii="Times New Roman" w:hAnsi="Times New Roman"/>
        </w:rPr>
        <w:t xml:space="preserve"> meets the criteria to be considered </w:t>
      </w:r>
      <w:r w:rsidRPr="006E5068">
        <w:rPr>
          <w:rFonts w:ascii="Times New Roman" w:hAnsi="Times New Roman"/>
        </w:rPr>
        <w:lastRenderedPageBreak/>
        <w:t>an outbreak and is issuing recommendations for vaccine use among travelers at increased risk of mpox exposure who are planning to travel to t</w:t>
      </w:r>
      <w:hyperlink r:id="rId9" w:history="1">
        <w:r w:rsidRPr="004F20AE">
          <w:rPr>
            <w:rStyle w:val="Hyperlink"/>
            <w:rFonts w:ascii="Times New Roman" w:hAnsi="Times New Roman"/>
          </w:rPr>
          <w:t>hose specific countries</w:t>
        </w:r>
      </w:hyperlink>
      <w:r w:rsidRPr="006E5068">
        <w:rPr>
          <w:rFonts w:ascii="Times New Roman" w:hAnsi="Times New Roman"/>
        </w:rPr>
        <w:t>.</w:t>
      </w:r>
    </w:p>
    <w:p w14:paraId="24704BB1" w14:textId="77777777" w:rsidR="00A2626C" w:rsidRPr="006E5068" w:rsidRDefault="00A2626C" w:rsidP="00A2626C">
      <w:pPr>
        <w:pStyle w:val="FootnoteText"/>
        <w:numPr>
          <w:ilvl w:val="0"/>
          <w:numId w:val="14"/>
        </w:numPr>
        <w:rPr>
          <w:rFonts w:ascii="Times New Roman" w:hAnsi="Times New Roman"/>
          <w:sz w:val="24"/>
          <w:szCs w:val="24"/>
        </w:rPr>
      </w:pPr>
      <w:r w:rsidRPr="006E5068">
        <w:rPr>
          <w:rFonts w:ascii="Times New Roman" w:hAnsi="Times New Roman"/>
          <w:sz w:val="24"/>
          <w:szCs w:val="24"/>
        </w:rPr>
        <w:t>Travelers to affected countries who anticipate the following activities should be offered vaccination with the 2-dose JYNNEOS series: sex with a new partner; sex at a commercial sex venue (e.g., sex club or bathhouse); sex in exchange for money, good, drugs, or other trade; or sex in association with a large public event (e.g., rave, party, or festival).</w:t>
      </w:r>
    </w:p>
    <w:p w14:paraId="0314884A" w14:textId="77777777" w:rsidR="00A2626C" w:rsidRDefault="00A2626C" w:rsidP="00A2626C">
      <w:pPr>
        <w:pStyle w:val="paragraph"/>
        <w:spacing w:before="0" w:beforeAutospacing="0" w:after="0" w:afterAutospacing="0"/>
        <w:rPr>
          <w:b/>
          <w:bCs/>
        </w:rPr>
      </w:pPr>
    </w:p>
    <w:p w14:paraId="45BD4132" w14:textId="3672A6C5" w:rsidR="00A2626C" w:rsidRDefault="00A2626C" w:rsidP="00A2626C">
      <w:pPr>
        <w:pStyle w:val="paragraph"/>
        <w:spacing w:before="0" w:beforeAutospacing="0" w:after="0" w:afterAutospacing="0"/>
        <w:rPr>
          <w:b/>
          <w:bCs/>
        </w:rPr>
      </w:pPr>
      <w:r w:rsidRPr="00CB0059">
        <w:rPr>
          <w:rStyle w:val="normaltextrun"/>
          <w:rFonts w:eastAsiaTheme="majorEastAsia"/>
          <w:b/>
          <w:bCs/>
          <w:color w:val="000000"/>
          <w:shd w:val="clear" w:color="auto" w:fill="FFFFFF"/>
        </w:rPr>
        <w:t>NOTE:</w:t>
      </w:r>
      <w:r>
        <w:rPr>
          <w:rStyle w:val="normaltextrun"/>
          <w:rFonts w:eastAsiaTheme="majorEastAsia"/>
          <w:color w:val="000000"/>
          <w:shd w:val="clear" w:color="auto" w:fill="FFFFFF"/>
        </w:rPr>
        <w:t xml:space="preserve"> </w:t>
      </w:r>
      <w:r>
        <w:t>Pharmacists and registered nurses must follow the requirements set forth in 8 NYCRR sections 63.9 &amp; 64.7 respectively, including providing patients with requisite information, maintaining adequate records and adhering to reporting requirements.</w:t>
      </w:r>
    </w:p>
    <w:p w14:paraId="087AEB7E" w14:textId="77777777" w:rsidR="00A2626C" w:rsidRDefault="00A2626C" w:rsidP="00A2626C">
      <w:pPr>
        <w:pStyle w:val="paragraph"/>
        <w:spacing w:before="0" w:beforeAutospacing="0" w:after="0" w:afterAutospacing="0"/>
        <w:rPr>
          <w:b/>
          <w:bCs/>
        </w:rPr>
      </w:pPr>
    </w:p>
    <w:p w14:paraId="6EA90076" w14:textId="77777777" w:rsidR="00A2626C" w:rsidRPr="009E37B6" w:rsidRDefault="00A2626C" w:rsidP="00A2626C">
      <w:pPr>
        <w:pStyle w:val="paragraph"/>
        <w:spacing w:before="0" w:beforeAutospacing="0" w:after="0" w:afterAutospacing="0"/>
        <w:rPr>
          <w:b/>
          <w:bCs/>
        </w:rPr>
      </w:pPr>
      <w:r w:rsidRPr="009E37B6">
        <w:rPr>
          <w:b/>
          <w:bCs/>
        </w:rPr>
        <w:t>Procedure:</w:t>
      </w:r>
    </w:p>
    <w:p w14:paraId="648397D7" w14:textId="77777777" w:rsidR="00A2626C" w:rsidRDefault="00A2626C" w:rsidP="00A2626C">
      <w:pPr>
        <w:pStyle w:val="paragraph"/>
        <w:spacing w:before="0" w:beforeAutospacing="0" w:after="0" w:afterAutospacing="0"/>
      </w:pPr>
      <w:r>
        <w:rPr>
          <w:rStyle w:val="normaltextrun"/>
          <w:rFonts w:eastAsiaTheme="majorEastAsia"/>
          <w:color w:val="000000" w:themeColor="text1"/>
        </w:rPr>
        <w:t xml:space="preserve">This standing order is for use of JYNNEOS vaccine </w:t>
      </w:r>
      <w:r>
        <w:t xml:space="preserve">for subcutaneous injection in two doses (0.5 mL each) to be given 28 days or more apart in all persons determined to be at risk for mpox infection. Administration of additional JYNNEOS vaccine doses (more than 2 doses) is currently not recommended. </w:t>
      </w:r>
    </w:p>
    <w:p w14:paraId="2764FF61" w14:textId="77777777" w:rsidR="00A2626C" w:rsidRDefault="00A2626C" w:rsidP="00A2626C">
      <w:pPr>
        <w:pStyle w:val="ListParagraph"/>
        <w:numPr>
          <w:ilvl w:val="0"/>
          <w:numId w:val="2"/>
        </w:numPr>
        <w:rPr>
          <w:rFonts w:ascii="Times New Roman" w:hAnsi="Times New Roman"/>
        </w:rPr>
      </w:pPr>
      <w:r w:rsidRPr="006E5068">
        <w:rPr>
          <w:rFonts w:ascii="Times New Roman" w:eastAsia="Times New Roman" w:hAnsi="Times New Roman"/>
        </w:rPr>
        <w:t>Assess for eligibility of vaccination</w:t>
      </w:r>
      <w:r>
        <w:rPr>
          <w:rFonts w:ascii="Times New Roman" w:eastAsia="Times New Roman" w:hAnsi="Times New Roman"/>
          <w:b/>
          <w:bCs/>
        </w:rPr>
        <w:t xml:space="preserve"> </w:t>
      </w:r>
      <w:r>
        <w:rPr>
          <w:rFonts w:ascii="Times New Roman" w:hAnsi="Times New Roman"/>
        </w:rPr>
        <w:t xml:space="preserve">against mpox. </w:t>
      </w:r>
      <w:r>
        <w:rPr>
          <w:rStyle w:val="normaltextrun"/>
          <w:rFonts w:ascii="Times New Roman" w:hAnsi="Times New Roman"/>
        </w:rPr>
        <w:t>Assess eligible persons</w:t>
      </w:r>
      <w:r>
        <w:rPr>
          <w:rStyle w:val="normaltextrun"/>
          <w:rFonts w:ascii="Times New Roman" w:hAnsi="Times New Roman"/>
          <w:b/>
          <w:bCs/>
        </w:rPr>
        <w:t xml:space="preserve"> </w:t>
      </w:r>
      <w:r>
        <w:rPr>
          <w:rStyle w:val="normaltextrun"/>
          <w:rFonts w:ascii="Times New Roman" w:hAnsi="Times New Roman"/>
        </w:rPr>
        <w:t xml:space="preserve">for the </w:t>
      </w:r>
      <w:r>
        <w:rPr>
          <w:rStyle w:val="normaltextrun"/>
          <w:rFonts w:ascii="Times New Roman" w:hAnsi="Times New Roman"/>
          <w:color w:val="000000" w:themeColor="text1"/>
        </w:rPr>
        <w:t xml:space="preserve">JYNNEOS vaccine subcutaneous injection </w:t>
      </w:r>
      <w:r>
        <w:rPr>
          <w:rStyle w:val="normaltextrun"/>
          <w:rFonts w:ascii="Times New Roman" w:hAnsi="Times New Roman"/>
        </w:rPr>
        <w:t>based on the following criteria:  </w:t>
      </w:r>
      <w:r>
        <w:rPr>
          <w:rStyle w:val="eop"/>
          <w:rFonts w:ascii="Times New Roman" w:hAnsi="Times New Roman"/>
        </w:rPr>
        <w:t> </w:t>
      </w:r>
    </w:p>
    <w:p w14:paraId="68A5F1C5" w14:textId="77777777" w:rsidR="00A2626C" w:rsidRDefault="00A2626C" w:rsidP="00A2626C">
      <w:pPr>
        <w:pStyle w:val="paragraph"/>
        <w:numPr>
          <w:ilvl w:val="0"/>
          <w:numId w:val="10"/>
        </w:numPr>
        <w:spacing w:before="0" w:beforeAutospacing="0" w:after="0" w:afterAutospacing="0"/>
        <w:textAlignment w:val="baseline"/>
      </w:pPr>
      <w:r>
        <w:rPr>
          <w:rStyle w:val="normaltextrun"/>
          <w:rFonts w:eastAsiaTheme="majorEastAsia"/>
        </w:rPr>
        <w:t xml:space="preserve">No </w:t>
      </w:r>
      <w:r>
        <w:rPr>
          <w:rStyle w:val="normaltextrun"/>
          <w:rFonts w:eastAsiaTheme="majorEastAsia"/>
          <w:color w:val="000000" w:themeColor="text1"/>
        </w:rPr>
        <w:t xml:space="preserve">JYNNEOS </w:t>
      </w:r>
      <w:r>
        <w:rPr>
          <w:rStyle w:val="normaltextrun"/>
          <w:rFonts w:eastAsiaTheme="majorEastAsia"/>
        </w:rPr>
        <w:t>vaccine: Administer the first dose of JYNNEOS vaccine according to the procedure described herein.</w:t>
      </w:r>
      <w:r>
        <w:rPr>
          <w:rStyle w:val="eop"/>
        </w:rPr>
        <w:t> </w:t>
      </w:r>
    </w:p>
    <w:p w14:paraId="413901FC" w14:textId="77777777" w:rsidR="00A2626C" w:rsidRDefault="00A2626C" w:rsidP="00A2626C">
      <w:pPr>
        <w:pStyle w:val="paragraph"/>
        <w:numPr>
          <w:ilvl w:val="0"/>
          <w:numId w:val="10"/>
        </w:numPr>
        <w:spacing w:before="0" w:beforeAutospacing="0" w:after="0" w:afterAutospacing="0"/>
        <w:textAlignment w:val="baseline"/>
      </w:pPr>
      <w:r>
        <w:rPr>
          <w:rStyle w:val="normaltextrun"/>
          <w:rFonts w:eastAsiaTheme="majorEastAsia"/>
        </w:rPr>
        <w:t xml:space="preserve">One (1) previous dose of JYNNEOS vaccine: Administer the second JYNNEOS vaccine </w:t>
      </w:r>
      <w:r>
        <w:rPr>
          <w:rStyle w:val="normaltextrun"/>
          <w:rFonts w:eastAsiaTheme="majorEastAsia"/>
          <w:u w:val="single"/>
        </w:rPr>
        <w:t xml:space="preserve">28 or more days </w:t>
      </w:r>
      <w:r>
        <w:rPr>
          <w:rStyle w:val="normaltextrun"/>
          <w:rFonts w:eastAsiaTheme="majorEastAsia"/>
        </w:rPr>
        <w:t xml:space="preserve">after the date of administration of the first vaccine: </w:t>
      </w:r>
    </w:p>
    <w:p w14:paraId="430DFE35" w14:textId="77777777" w:rsidR="00A2626C" w:rsidRPr="00634B31" w:rsidRDefault="00A2626C" w:rsidP="00A2626C">
      <w:pPr>
        <w:pStyle w:val="paragraph"/>
        <w:numPr>
          <w:ilvl w:val="0"/>
          <w:numId w:val="10"/>
        </w:numPr>
        <w:spacing w:before="0" w:beforeAutospacing="0" w:after="0" w:afterAutospacing="0"/>
        <w:textAlignment w:val="baseline"/>
      </w:pPr>
      <w:r>
        <w:rPr>
          <w:rStyle w:val="normaltextrun"/>
          <w:rFonts w:eastAsiaTheme="majorEastAsia"/>
          <w:color w:val="000000"/>
          <w:shd w:val="clear" w:color="auto" w:fill="FFFFFF"/>
        </w:rPr>
        <w:t>JYNNEOS is safe to administer to persons with immunocompromising conditions; however, persons with immunocompromising conditions might be less likely to mount an effective response after any vaccination.</w:t>
      </w:r>
    </w:p>
    <w:p w14:paraId="0ADE130B" w14:textId="77777777" w:rsidR="00A2626C" w:rsidRPr="006E5068" w:rsidRDefault="00A2626C" w:rsidP="00A2626C">
      <w:pPr>
        <w:pStyle w:val="ListParagraph"/>
        <w:numPr>
          <w:ilvl w:val="0"/>
          <w:numId w:val="2"/>
        </w:numPr>
        <w:rPr>
          <w:rFonts w:ascii="Times New Roman" w:hAnsi="Times New Roman"/>
        </w:rPr>
      </w:pPr>
      <w:r w:rsidRPr="006E5068">
        <w:rPr>
          <w:rFonts w:ascii="Times New Roman" w:hAnsi="Times New Roman"/>
        </w:rPr>
        <w:t xml:space="preserve">Screen for Contraindications and Precautions: </w:t>
      </w:r>
    </w:p>
    <w:p w14:paraId="048D5408" w14:textId="77777777" w:rsidR="00A2626C" w:rsidRPr="00B95B89" w:rsidRDefault="00A2626C" w:rsidP="00A2626C">
      <w:pPr>
        <w:pStyle w:val="ListParagraph"/>
        <w:numPr>
          <w:ilvl w:val="0"/>
          <w:numId w:val="11"/>
        </w:numPr>
        <w:ind w:left="1080"/>
        <w:rPr>
          <w:rFonts w:ascii="Times New Roman" w:eastAsia="Times New Roman" w:hAnsi="Times New Roman"/>
          <w:b/>
          <w:bCs/>
        </w:rPr>
      </w:pPr>
      <w:r w:rsidRPr="00B95B89">
        <w:rPr>
          <w:rFonts w:ascii="Times New Roman" w:hAnsi="Times New Roman"/>
          <w:b/>
          <w:bCs/>
        </w:rPr>
        <w:t xml:space="preserve">Contraindications: </w:t>
      </w:r>
      <w:r w:rsidRPr="00B95B89">
        <w:rPr>
          <w:rFonts w:ascii="Times New Roman" w:eastAsia="Times New Roman" w:hAnsi="Times New Roman"/>
        </w:rPr>
        <w:t>Do not administer the JYNNEOS vaccine to anyone who has had:</w:t>
      </w:r>
    </w:p>
    <w:p w14:paraId="3CDD71E0" w14:textId="77777777" w:rsidR="00A2626C" w:rsidRPr="005E1D25" w:rsidRDefault="00A2626C" w:rsidP="00A2626C">
      <w:pPr>
        <w:pStyle w:val="ListParagraph"/>
        <w:numPr>
          <w:ilvl w:val="0"/>
          <w:numId w:val="12"/>
        </w:numPr>
        <w:rPr>
          <w:rFonts w:ascii="Times New Roman" w:eastAsia="Times New Roman" w:hAnsi="Times New Roman"/>
        </w:rPr>
      </w:pPr>
      <w:r w:rsidRPr="005E1D25">
        <w:rPr>
          <w:rFonts w:ascii="Times New Roman" w:hAnsi="Times New Roman"/>
        </w:rPr>
        <w:t xml:space="preserve">Severe allergic reaction (e.g., anaphylaxis) after a previous dose of JYNNEOS vaccine. </w:t>
      </w:r>
    </w:p>
    <w:p w14:paraId="16667658" w14:textId="77777777" w:rsidR="00A2626C" w:rsidRPr="00B95B89" w:rsidRDefault="00A2626C" w:rsidP="00A2626C">
      <w:pPr>
        <w:pStyle w:val="ListParagraph"/>
        <w:numPr>
          <w:ilvl w:val="0"/>
          <w:numId w:val="11"/>
        </w:numPr>
        <w:ind w:left="1080"/>
        <w:rPr>
          <w:rFonts w:ascii="Times New Roman" w:eastAsia="Times New Roman" w:hAnsi="Times New Roman"/>
          <w:b/>
          <w:bCs/>
        </w:rPr>
      </w:pPr>
      <w:r w:rsidRPr="00B95B89">
        <w:rPr>
          <w:rFonts w:ascii="Times New Roman" w:hAnsi="Times New Roman"/>
          <w:b/>
          <w:bCs/>
        </w:rPr>
        <w:t xml:space="preserve">Precautions: </w:t>
      </w:r>
      <w:r w:rsidRPr="00B95B89">
        <w:rPr>
          <w:rFonts w:ascii="Times New Roman" w:hAnsi="Times New Roman"/>
        </w:rPr>
        <w:t>Consider deferral of vaccination with JYNNEOS vaccine in anyone with:</w:t>
      </w:r>
    </w:p>
    <w:p w14:paraId="73D6CAE2" w14:textId="77777777" w:rsidR="00A2626C" w:rsidRPr="005E1D25" w:rsidRDefault="00A2626C" w:rsidP="00A2626C">
      <w:pPr>
        <w:pStyle w:val="ListParagraph"/>
        <w:numPr>
          <w:ilvl w:val="0"/>
          <w:numId w:val="13"/>
        </w:numPr>
        <w:rPr>
          <w:rFonts w:ascii="Times New Roman" w:eastAsia="Times New Roman" w:hAnsi="Times New Roman"/>
        </w:rPr>
      </w:pPr>
      <w:r w:rsidRPr="005E1D25">
        <w:rPr>
          <w:rFonts w:ascii="Times New Roman" w:hAnsi="Times New Roman"/>
        </w:rPr>
        <w:t xml:space="preserve">History of severe allergic reaction (e.g., anaphylaxis) to gentamicin or ciprofloxacin. </w:t>
      </w:r>
    </w:p>
    <w:p w14:paraId="123233CB" w14:textId="77777777" w:rsidR="00A2626C" w:rsidRPr="005E1D25" w:rsidRDefault="00A2626C" w:rsidP="00A2626C">
      <w:pPr>
        <w:pStyle w:val="ListParagraph"/>
        <w:numPr>
          <w:ilvl w:val="0"/>
          <w:numId w:val="13"/>
        </w:numPr>
        <w:rPr>
          <w:rFonts w:ascii="Times New Roman" w:eastAsia="Times New Roman" w:hAnsi="Times New Roman"/>
        </w:rPr>
      </w:pPr>
      <w:r w:rsidRPr="005E1D25">
        <w:rPr>
          <w:rFonts w:ascii="Times New Roman" w:hAnsi="Times New Roman"/>
        </w:rPr>
        <w:t xml:space="preserve">History of severe allergic reaction (e.g., anaphylaxis) to chicken or egg protein AND currently avoiding all chicken and egg products. </w:t>
      </w:r>
    </w:p>
    <w:p w14:paraId="2AF9B79B" w14:textId="77777777" w:rsidR="00A2626C" w:rsidRPr="005E1D25" w:rsidRDefault="00A2626C" w:rsidP="00A2626C">
      <w:pPr>
        <w:pStyle w:val="ListParagraph"/>
        <w:numPr>
          <w:ilvl w:val="0"/>
          <w:numId w:val="13"/>
        </w:numPr>
        <w:rPr>
          <w:rFonts w:ascii="Times New Roman" w:eastAsia="Times New Roman" w:hAnsi="Times New Roman"/>
        </w:rPr>
      </w:pPr>
      <w:r w:rsidRPr="005E1D25">
        <w:rPr>
          <w:rFonts w:ascii="Times New Roman" w:hAnsi="Times New Roman"/>
        </w:rPr>
        <w:t>Moderate or severe acute illness with or without fever.</w:t>
      </w:r>
    </w:p>
    <w:p w14:paraId="49058C60" w14:textId="77777777" w:rsidR="00A2626C" w:rsidRDefault="00A2626C" w:rsidP="00A2626C">
      <w:pPr>
        <w:ind w:left="360" w:firstLine="1800"/>
        <w:rPr>
          <w:rFonts w:ascii="Times New Roman" w:hAnsi="Times New Roman"/>
        </w:rPr>
      </w:pPr>
    </w:p>
    <w:p w14:paraId="74E71B42" w14:textId="77777777" w:rsidR="00A2626C" w:rsidRDefault="00A2626C" w:rsidP="00A2626C">
      <w:pPr>
        <w:ind w:left="1440"/>
        <w:rPr>
          <w:rFonts w:ascii="Times New Roman" w:hAnsi="Times New Roman"/>
        </w:rPr>
      </w:pPr>
      <w:r w:rsidRPr="00AB1C22">
        <w:rPr>
          <w:rFonts w:ascii="Times New Roman" w:hAnsi="Times New Roman"/>
        </w:rPr>
        <w:t xml:space="preserve">After discussing risks and benefits with the patient, persons with a precaution </w:t>
      </w:r>
      <w:r w:rsidRPr="00B95B89">
        <w:rPr>
          <w:rFonts w:ascii="Times New Roman" w:hAnsi="Times New Roman"/>
        </w:rPr>
        <w:t>to vaccination may be vaccinated with a 30-minute observation period or referred for allergist-immunologist consultation prior to vaccination.</w:t>
      </w:r>
    </w:p>
    <w:p w14:paraId="610DB1C1" w14:textId="77777777" w:rsidR="00A2626C" w:rsidRPr="00B95B89" w:rsidRDefault="00A2626C" w:rsidP="00A2626C">
      <w:pPr>
        <w:pStyle w:val="ListParagraph"/>
        <w:numPr>
          <w:ilvl w:val="0"/>
          <w:numId w:val="11"/>
        </w:numPr>
        <w:ind w:left="1080"/>
        <w:textAlignment w:val="baseline"/>
        <w:rPr>
          <w:rFonts w:ascii="Times New Roman" w:hAnsi="Times New Roman"/>
        </w:rPr>
      </w:pPr>
      <w:r w:rsidRPr="00B95B89">
        <w:rPr>
          <w:rStyle w:val="normaltextrun"/>
          <w:rFonts w:ascii="Times New Roman" w:hAnsi="Times New Roman"/>
          <w:b/>
        </w:rPr>
        <w:t>Defer</w:t>
      </w:r>
      <w:r w:rsidRPr="00B95B89">
        <w:rPr>
          <w:rStyle w:val="normaltextrun"/>
          <w:rFonts w:ascii="Times New Roman" w:hAnsi="Times New Roman"/>
        </w:rPr>
        <w:t xml:space="preserve"> vaccination in persons previously diagnosed with mpox </w:t>
      </w:r>
      <w:r w:rsidRPr="00B95B89">
        <w:rPr>
          <w:rFonts w:ascii="Times New Roman" w:hAnsi="Times New Roman"/>
        </w:rPr>
        <w:t xml:space="preserve">because mpox infection likely confers immune protection. </w:t>
      </w:r>
    </w:p>
    <w:p w14:paraId="65691FD7" w14:textId="77777777" w:rsidR="00A2626C" w:rsidRPr="006E5068" w:rsidRDefault="00A2626C" w:rsidP="00A2626C">
      <w:pPr>
        <w:pStyle w:val="ListParagraph"/>
        <w:numPr>
          <w:ilvl w:val="0"/>
          <w:numId w:val="2"/>
        </w:numPr>
        <w:rPr>
          <w:rFonts w:ascii="Times New Roman" w:hAnsi="Times New Roman"/>
        </w:rPr>
      </w:pPr>
      <w:r w:rsidRPr="006E5068">
        <w:rPr>
          <w:rFonts w:ascii="Times New Roman" w:hAnsi="Times New Roman"/>
        </w:rPr>
        <w:t>Assess Persons for Vaccine Dose and Route:</w:t>
      </w:r>
    </w:p>
    <w:p w14:paraId="0CF75612" w14:textId="77777777" w:rsidR="00A2626C" w:rsidRDefault="00A2626C" w:rsidP="00A2626C">
      <w:pPr>
        <w:pStyle w:val="ListParagraph"/>
        <w:numPr>
          <w:ilvl w:val="0"/>
          <w:numId w:val="4"/>
        </w:numPr>
        <w:rPr>
          <w:rFonts w:ascii="Times New Roman" w:hAnsi="Times New Roman"/>
        </w:rPr>
      </w:pPr>
      <w:r>
        <w:rPr>
          <w:rFonts w:ascii="Times New Roman" w:hAnsi="Times New Roman"/>
        </w:rPr>
        <w:lastRenderedPageBreak/>
        <w:t xml:space="preserve">JYNNEOS vaccine can be administered subcutaneously or intradermally, however the standard regimen is to give it subcutaneously. </w:t>
      </w:r>
      <w:r>
        <w:rPr>
          <w:rFonts w:ascii="Times New Roman" w:hAnsi="Times New Roman"/>
          <w:color w:val="000000"/>
          <w:shd w:val="clear" w:color="auto" w:fill="FFFFFF"/>
        </w:rPr>
        <w:t xml:space="preserve">The standard regimen is the FDA-approved dosing regimen. </w:t>
      </w:r>
    </w:p>
    <w:p w14:paraId="07ADB7A6" w14:textId="77777777" w:rsidR="00A2626C" w:rsidRPr="00EC680D" w:rsidRDefault="00A2626C" w:rsidP="00A2626C">
      <w:pPr>
        <w:pStyle w:val="ListParagraph"/>
        <w:numPr>
          <w:ilvl w:val="0"/>
          <w:numId w:val="4"/>
        </w:numPr>
        <w:rPr>
          <w:rFonts w:ascii="Times New Roman" w:hAnsi="Times New Roman"/>
        </w:rPr>
      </w:pPr>
      <w:r>
        <w:rPr>
          <w:rFonts w:ascii="Times New Roman" w:hAnsi="Times New Roman"/>
          <w:b/>
          <w:bCs/>
        </w:rPr>
        <w:t>Please note that this document addresses subcutaneous administration (standard regimen) only.</w:t>
      </w:r>
    </w:p>
    <w:p w14:paraId="2E6B1D3E" w14:textId="77777777" w:rsidR="00A2626C" w:rsidRPr="006E5068" w:rsidRDefault="00A2626C" w:rsidP="00A2626C">
      <w:pPr>
        <w:pStyle w:val="ListParagraph"/>
        <w:numPr>
          <w:ilvl w:val="0"/>
          <w:numId w:val="2"/>
        </w:numPr>
        <w:rPr>
          <w:rFonts w:ascii="Times New Roman" w:hAnsi="Times New Roman"/>
        </w:rPr>
      </w:pPr>
      <w:r w:rsidRPr="006E5068">
        <w:rPr>
          <w:rFonts w:ascii="Times New Roman" w:hAnsi="Times New Roman"/>
        </w:rPr>
        <w:t>Provide information on the JYNNEOS vaccine and obtain consent:</w:t>
      </w:r>
    </w:p>
    <w:p w14:paraId="5E4DA75E" w14:textId="77777777" w:rsidR="00A2626C" w:rsidRDefault="00A2626C" w:rsidP="00A2626C">
      <w:pPr>
        <w:pStyle w:val="ListParagraph"/>
        <w:numPr>
          <w:ilvl w:val="0"/>
          <w:numId w:val="5"/>
        </w:numPr>
        <w:rPr>
          <w:rFonts w:ascii="Times New Roman" w:hAnsi="Times New Roman"/>
        </w:rPr>
      </w:pPr>
      <w:r>
        <w:rPr>
          <w:rFonts w:ascii="Times New Roman" w:hAnsi="Times New Roman"/>
        </w:rPr>
        <w:t>Inform each patient or a patient’s legal guardian, as applicable, of the risks, benefits, and alternatives of receiving the JYNNEOS vaccine.</w:t>
      </w:r>
    </w:p>
    <w:p w14:paraId="641AA4CD" w14:textId="77777777" w:rsidR="00A2626C" w:rsidRDefault="00A2626C" w:rsidP="00A2626C">
      <w:pPr>
        <w:pStyle w:val="ListParagraph"/>
        <w:numPr>
          <w:ilvl w:val="0"/>
          <w:numId w:val="5"/>
        </w:numPr>
        <w:rPr>
          <w:rFonts w:ascii="Times New Roman" w:hAnsi="Times New Roman"/>
        </w:rPr>
      </w:pPr>
      <w:r>
        <w:rPr>
          <w:rFonts w:ascii="Times New Roman" w:hAnsi="Times New Roman"/>
          <w:color w:val="000000" w:themeColor="text1"/>
        </w:rPr>
        <w:t>As the vaccination provider, you must communicate to the recipient or their caregiver, information consistent with the Vaccine Information Statement for JYNNEOS</w:t>
      </w:r>
      <w:r>
        <w:rPr>
          <w:rFonts w:ascii="Times New Roman" w:hAnsi="Times New Roman"/>
          <w:strike/>
          <w:color w:val="000000" w:themeColor="text1"/>
        </w:rPr>
        <w:t xml:space="preserve"> </w:t>
      </w:r>
      <w:r>
        <w:rPr>
          <w:rFonts w:ascii="Times New Roman" w:hAnsi="Times New Roman"/>
          <w:color w:val="000000" w:themeColor="text1"/>
        </w:rPr>
        <w:t xml:space="preserve">and provide a copy of the “Vaccine Information Statement or direct the individual to: </w:t>
      </w:r>
      <w:r w:rsidRPr="00E706DD">
        <w:rPr>
          <w:rFonts w:ascii="Times New Roman" w:hAnsi="Times New Roman"/>
          <w:color w:val="000000" w:themeColor="text1"/>
        </w:rPr>
        <w:t>https://www.cdc.gov/vaccines/hcp/current-vis/smallpox-monkeypox.html</w:t>
      </w:r>
    </w:p>
    <w:p w14:paraId="6D313CA3" w14:textId="77777777" w:rsidR="00A2626C" w:rsidRDefault="00A2626C" w:rsidP="00A2626C">
      <w:pPr>
        <w:pStyle w:val="ListParagraph"/>
        <w:numPr>
          <w:ilvl w:val="0"/>
          <w:numId w:val="5"/>
        </w:numPr>
        <w:rPr>
          <w:rFonts w:ascii="Times New Roman" w:eastAsia="Times New Roman" w:hAnsi="Times New Roman"/>
        </w:rPr>
      </w:pPr>
      <w:r>
        <w:rPr>
          <w:rFonts w:ascii="Times New Roman" w:hAnsi="Times New Roman"/>
        </w:rPr>
        <w:t xml:space="preserve">For the Spanish version of the Vaccine Information Statement, use this link: </w:t>
      </w:r>
      <w:hyperlink r:id="rId10" w:history="1">
        <w:r w:rsidRPr="00B818E3">
          <w:rPr>
            <w:rStyle w:val="Hyperlink"/>
            <w:rFonts w:ascii="Times New Roman" w:eastAsia="Calibri" w:hAnsi="Times New Roman"/>
          </w:rPr>
          <w:t>https://www.immunize.org/vis/pdf/spanish_smallpox_monkeypox.pdf</w:t>
        </w:r>
      </w:hyperlink>
    </w:p>
    <w:p w14:paraId="14F03633" w14:textId="2023DE63" w:rsidR="00A2626C" w:rsidRPr="006E5068" w:rsidRDefault="00A2626C" w:rsidP="00A2626C">
      <w:pPr>
        <w:pStyle w:val="ListParagraph"/>
        <w:numPr>
          <w:ilvl w:val="0"/>
          <w:numId w:val="5"/>
        </w:numPr>
        <w:rPr>
          <w:rFonts w:ascii="Times New Roman" w:eastAsiaTheme="minorEastAsia" w:hAnsi="Times New Roman"/>
          <w:color w:val="000000" w:themeColor="text1"/>
        </w:rPr>
      </w:pPr>
      <w:bookmarkStart w:id="3" w:name="_Hlk109717493"/>
      <w:r w:rsidRPr="006A50B7">
        <w:rPr>
          <w:rFonts w:ascii="Times New Roman" w:hAnsi="Times New Roman"/>
          <w:color w:val="000000" w:themeColor="text1"/>
        </w:rPr>
        <w:t>Obtain consent to administer the vaccine from the patient or the patient’s legal guardian, as applicable</w:t>
      </w:r>
      <w:r>
        <w:rPr>
          <w:rFonts w:ascii="Times New Roman" w:hAnsi="Times New Roman"/>
          <w:color w:val="000000" w:themeColor="text1"/>
        </w:rPr>
        <w:t xml:space="preserve">, following the </w:t>
      </w:r>
      <w:r w:rsidR="00577C82">
        <w:rPr>
          <w:rFonts w:ascii="Times New Roman" w:hAnsi="Times New Roman"/>
          <w:color w:val="000000" w:themeColor="text1"/>
        </w:rPr>
        <w:t>organization</w:t>
      </w:r>
      <w:r>
        <w:rPr>
          <w:rFonts w:ascii="Times New Roman" w:hAnsi="Times New Roman"/>
          <w:color w:val="000000" w:themeColor="text1"/>
        </w:rPr>
        <w:t>’s policies for consent.</w:t>
      </w:r>
    </w:p>
    <w:p w14:paraId="5E5BF51A" w14:textId="77777777" w:rsidR="00A2626C" w:rsidRPr="00634B31" w:rsidRDefault="00A2626C" w:rsidP="00A2626C">
      <w:pPr>
        <w:pStyle w:val="ListParagraph"/>
        <w:numPr>
          <w:ilvl w:val="0"/>
          <w:numId w:val="5"/>
        </w:numPr>
        <w:rPr>
          <w:rStyle w:val="normaltextrun"/>
          <w:rFonts w:ascii="Times New Roman" w:eastAsiaTheme="minorEastAsia" w:hAnsi="Times New Roman"/>
          <w:color w:val="000000" w:themeColor="text1"/>
        </w:rPr>
      </w:pPr>
      <w:r w:rsidRPr="002F7D67">
        <w:rPr>
          <w:rFonts w:ascii="Times New Roman" w:eastAsiaTheme="minorEastAsia" w:hAnsi="Times New Roman"/>
          <w:color w:val="000000" w:themeColor="text1"/>
        </w:rPr>
        <w:t>Provide written instructions to the</w:t>
      </w:r>
      <w:r>
        <w:rPr>
          <w:rFonts w:ascii="Times New Roman" w:eastAsiaTheme="minorEastAsia" w:hAnsi="Times New Roman"/>
          <w:color w:val="000000" w:themeColor="text1"/>
        </w:rPr>
        <w:t xml:space="preserve"> vaccine recipient or the</w:t>
      </w:r>
      <w:r w:rsidRPr="002F7D67">
        <w:rPr>
          <w:rFonts w:ascii="Times New Roman" w:eastAsiaTheme="minorEastAsia" w:hAnsi="Times New Roman"/>
          <w:color w:val="000000" w:themeColor="text1"/>
        </w:rPr>
        <w:t xml:space="preserve"> legal guardian</w:t>
      </w:r>
      <w:r>
        <w:rPr>
          <w:rFonts w:ascii="Times New Roman" w:eastAsiaTheme="minorEastAsia" w:hAnsi="Times New Roman"/>
          <w:color w:val="000000" w:themeColor="text1"/>
        </w:rPr>
        <w:t xml:space="preserve"> of the vaccine recipient</w:t>
      </w:r>
      <w:r w:rsidRPr="002F7D67">
        <w:rPr>
          <w:rFonts w:ascii="Times New Roman" w:eastAsiaTheme="minorEastAsia" w:hAnsi="Times New Roman"/>
          <w:color w:val="000000" w:themeColor="text1"/>
        </w:rPr>
        <w:t xml:space="preserve"> regarding appropriate course of action in the event of adverse reactions.</w:t>
      </w:r>
      <w:bookmarkEnd w:id="3"/>
    </w:p>
    <w:p w14:paraId="08D6D797" w14:textId="77777777" w:rsidR="00A2626C" w:rsidRPr="006E5068" w:rsidRDefault="00A2626C" w:rsidP="00A2626C">
      <w:pPr>
        <w:pStyle w:val="paragraph"/>
        <w:numPr>
          <w:ilvl w:val="0"/>
          <w:numId w:val="2"/>
        </w:numPr>
        <w:spacing w:before="0" w:beforeAutospacing="0" w:after="0" w:afterAutospacing="0"/>
        <w:textAlignment w:val="baseline"/>
        <w:rPr>
          <w:rStyle w:val="normaltextrun"/>
          <w:rFonts w:eastAsiaTheme="majorEastAsia"/>
        </w:rPr>
      </w:pPr>
      <w:r w:rsidRPr="006E5068">
        <w:rPr>
          <w:rStyle w:val="normaltextrun"/>
          <w:rFonts w:eastAsiaTheme="majorEastAsia"/>
        </w:rPr>
        <w:t xml:space="preserve">Prepare to Administer Vaccine: </w:t>
      </w:r>
    </w:p>
    <w:p w14:paraId="351979F9" w14:textId="77777777" w:rsidR="00A2626C" w:rsidRDefault="00A2626C" w:rsidP="00A2626C">
      <w:pPr>
        <w:pStyle w:val="paragraph"/>
        <w:numPr>
          <w:ilvl w:val="0"/>
          <w:numId w:val="3"/>
        </w:numPr>
        <w:spacing w:before="0" w:beforeAutospacing="0" w:after="0" w:afterAutospacing="0"/>
        <w:textAlignment w:val="baseline"/>
      </w:pPr>
      <w:r>
        <w:t xml:space="preserve">JYNNEOS is supplied in two presentations: </w:t>
      </w:r>
      <w:r w:rsidRPr="00820491">
        <w:t>The one-vial presentation contains JYNNEOS in a single vial with a yellow cap and does not require reconstitution before use</w:t>
      </w:r>
      <w:r>
        <w:t xml:space="preserve">. </w:t>
      </w:r>
      <w:r w:rsidRPr="00A0161E">
        <w:t xml:space="preserve">The two-vial presentation includes a vial with a yellow cap containing </w:t>
      </w:r>
      <w:r>
        <w:t>L</w:t>
      </w:r>
      <w:r w:rsidRPr="00A0161E">
        <w:t xml:space="preserve">yophilized </w:t>
      </w:r>
      <w:r>
        <w:t>A</w:t>
      </w:r>
      <w:r w:rsidRPr="00A0161E">
        <w:t xml:space="preserve">ntigen </w:t>
      </w:r>
      <w:r>
        <w:t>C</w:t>
      </w:r>
      <w:r w:rsidRPr="00A0161E">
        <w:t xml:space="preserve">omponent and a vial with a blue cap containing </w:t>
      </w:r>
      <w:r>
        <w:t>d</w:t>
      </w:r>
      <w:r w:rsidRPr="00A0161E">
        <w:t xml:space="preserve">iluent </w:t>
      </w:r>
      <w:r>
        <w:t>c</w:t>
      </w:r>
      <w:r w:rsidRPr="00A0161E">
        <w:t xml:space="preserve">omponent. The </w:t>
      </w:r>
      <w:r>
        <w:t>L</w:t>
      </w:r>
      <w:r w:rsidRPr="00A0161E">
        <w:t xml:space="preserve">yophilized </w:t>
      </w:r>
      <w:r>
        <w:t>A</w:t>
      </w:r>
      <w:r w:rsidRPr="00A0161E">
        <w:t xml:space="preserve">ntigen </w:t>
      </w:r>
      <w:r>
        <w:t>C</w:t>
      </w:r>
      <w:r w:rsidRPr="00A0161E">
        <w:t xml:space="preserve">omponent must be reconstituted with the </w:t>
      </w:r>
      <w:r>
        <w:t>d</w:t>
      </w:r>
      <w:r w:rsidRPr="00A0161E">
        <w:t xml:space="preserve">iluent </w:t>
      </w:r>
      <w:r>
        <w:t>c</w:t>
      </w:r>
      <w:r w:rsidRPr="00A0161E">
        <w:t>omponent to form JYNNEOS prior to administration.</w:t>
      </w:r>
    </w:p>
    <w:p w14:paraId="2D690F30" w14:textId="77777777" w:rsidR="00A2626C" w:rsidRDefault="00A2626C" w:rsidP="00A2626C">
      <w:pPr>
        <w:pStyle w:val="paragraph"/>
        <w:numPr>
          <w:ilvl w:val="0"/>
          <w:numId w:val="3"/>
        </w:numPr>
        <w:spacing w:before="0" w:beforeAutospacing="0" w:after="0" w:afterAutospacing="0"/>
        <w:textAlignment w:val="baseline"/>
      </w:pPr>
      <w:r>
        <w:t>Allow JYNNEOS vaccine to thaw and reach room temperature before use. A frozen vial will take less than 10 minutes to thaw at room temperature.</w:t>
      </w:r>
    </w:p>
    <w:p w14:paraId="32787416" w14:textId="77777777" w:rsidR="00A2626C" w:rsidRDefault="00A2626C" w:rsidP="00A2626C">
      <w:pPr>
        <w:pStyle w:val="paragraph"/>
        <w:numPr>
          <w:ilvl w:val="0"/>
          <w:numId w:val="3"/>
        </w:numPr>
        <w:spacing w:before="0" w:beforeAutospacing="0" w:after="0" w:afterAutospacing="0"/>
        <w:textAlignment w:val="baseline"/>
      </w:pPr>
      <w:r>
        <w:t xml:space="preserve">When thawed, JYNNEOS is a milky, light yellow to pale, white colored suspension. </w:t>
      </w:r>
    </w:p>
    <w:p w14:paraId="520A4D0D" w14:textId="77777777" w:rsidR="00A2626C" w:rsidRDefault="00A2626C" w:rsidP="00A2626C">
      <w:pPr>
        <w:pStyle w:val="paragraph"/>
        <w:numPr>
          <w:ilvl w:val="1"/>
          <w:numId w:val="3"/>
        </w:numPr>
        <w:spacing w:before="0" w:beforeAutospacing="0" w:after="0" w:afterAutospacing="0"/>
        <w:textAlignment w:val="baseline"/>
        <w:rPr>
          <w:rFonts w:eastAsiaTheme="minorEastAsia"/>
        </w:rPr>
      </w:pPr>
      <w:r w:rsidRPr="006E5068">
        <w:t>Carefully inspect the vial prior to preparation:</w:t>
      </w:r>
      <w:r>
        <w:rPr>
          <w:b/>
          <w:bCs/>
        </w:rPr>
        <w:t xml:space="preserve"> </w:t>
      </w:r>
      <w:r>
        <w:t xml:space="preserve">Parenteral drug products should be inspected visually for particulate matter and discoloration prior to administration, whenever solution and container permit. If either of these conditions exists, the vaccine should not be administered. </w:t>
      </w:r>
      <w:r>
        <w:rPr>
          <w:rStyle w:val="normaltextrun"/>
          <w:rFonts w:eastAsiaTheme="majorEastAsia"/>
        </w:rPr>
        <w:t>Call the manufacturer and the New York State Department of Health (NYSDOH) if the vaccine is discolored or contains particulate matter.</w:t>
      </w:r>
      <w:r>
        <w:rPr>
          <w:rStyle w:val="eop"/>
        </w:rPr>
        <w:t> </w:t>
      </w:r>
    </w:p>
    <w:p w14:paraId="703ADC7D" w14:textId="77777777" w:rsidR="00A2626C" w:rsidRDefault="00A2626C" w:rsidP="00A2626C">
      <w:pPr>
        <w:pStyle w:val="paragraph"/>
        <w:numPr>
          <w:ilvl w:val="0"/>
          <w:numId w:val="3"/>
        </w:numPr>
        <w:spacing w:before="0" w:beforeAutospacing="0" w:after="0" w:afterAutospacing="0"/>
        <w:textAlignment w:val="baseline"/>
      </w:pPr>
      <w:r>
        <w:t xml:space="preserve">For the two-vial presentation, follow instructions on the package insert for reconstitution. Then withdraw a dose of 0,5 mL using a </w:t>
      </w:r>
      <w:proofErr w:type="gramStart"/>
      <w:r>
        <w:t>23-25 gauge</w:t>
      </w:r>
      <w:proofErr w:type="gramEnd"/>
      <w:r>
        <w:t>, 5/8 inch needle into a sterile syringe for injection.</w:t>
      </w:r>
    </w:p>
    <w:p w14:paraId="1D298F6A" w14:textId="77777777" w:rsidR="00A2626C" w:rsidRDefault="00A2626C" w:rsidP="00A2626C">
      <w:pPr>
        <w:pStyle w:val="paragraph"/>
        <w:numPr>
          <w:ilvl w:val="0"/>
          <w:numId w:val="3"/>
        </w:numPr>
        <w:spacing w:before="0" w:beforeAutospacing="0" w:after="0" w:afterAutospacing="0"/>
        <w:textAlignment w:val="baseline"/>
      </w:pPr>
      <w:r>
        <w:t xml:space="preserve">For one-vial presentation. swirl the vial gently for at least 30 seconds. </w:t>
      </w:r>
      <w:r>
        <w:rPr>
          <w:u w:val="single"/>
        </w:rPr>
        <w:t>Do not shake.</w:t>
      </w:r>
    </w:p>
    <w:p w14:paraId="5E6F8D7A" w14:textId="77777777" w:rsidR="00A2626C" w:rsidRPr="00B03D8F" w:rsidRDefault="00A2626C" w:rsidP="00A2626C">
      <w:pPr>
        <w:pStyle w:val="paragraph"/>
        <w:numPr>
          <w:ilvl w:val="0"/>
          <w:numId w:val="3"/>
        </w:numPr>
        <w:spacing w:before="0" w:beforeAutospacing="0" w:after="0" w:afterAutospacing="0"/>
        <w:textAlignment w:val="baseline"/>
        <w:rPr>
          <w:b/>
          <w:bCs/>
        </w:rPr>
      </w:pPr>
      <w:r>
        <w:t xml:space="preserve">Withdraw dose of </w:t>
      </w:r>
      <w:r>
        <w:rPr>
          <w:u w:val="single"/>
        </w:rPr>
        <w:t>0.5 mL</w:t>
      </w:r>
      <w:r>
        <w:t xml:space="preserve"> using a 23–</w:t>
      </w:r>
      <w:proofErr w:type="gramStart"/>
      <w:r>
        <w:t>25 gauge</w:t>
      </w:r>
      <w:proofErr w:type="gramEnd"/>
      <w:r>
        <w:t>, 5/8 inch needle into a sterile syringe for injection.</w:t>
      </w:r>
    </w:p>
    <w:p w14:paraId="78937575" w14:textId="77777777" w:rsidR="00A2626C" w:rsidRPr="006E5068" w:rsidRDefault="00A2626C" w:rsidP="00A2626C">
      <w:pPr>
        <w:pStyle w:val="paragraph"/>
        <w:numPr>
          <w:ilvl w:val="0"/>
          <w:numId w:val="2"/>
        </w:numPr>
        <w:spacing w:before="0" w:beforeAutospacing="0" w:after="0" w:afterAutospacing="0"/>
        <w:textAlignment w:val="baseline"/>
      </w:pPr>
      <w:r w:rsidRPr="006E5068">
        <w:t>Administer Vaccine:</w:t>
      </w:r>
    </w:p>
    <w:p w14:paraId="4C0DF82C" w14:textId="77777777" w:rsidR="00A2626C" w:rsidRPr="006E5068" w:rsidRDefault="00A2626C" w:rsidP="00A2626C">
      <w:pPr>
        <w:pStyle w:val="ListParagraph"/>
        <w:numPr>
          <w:ilvl w:val="1"/>
          <w:numId w:val="9"/>
        </w:numPr>
        <w:rPr>
          <w:rFonts w:ascii="Times New Roman" w:hAnsi="Times New Roman"/>
          <w:color w:val="000000" w:themeColor="text1"/>
        </w:rPr>
      </w:pPr>
      <w:r w:rsidRPr="006E5068">
        <w:rPr>
          <w:rFonts w:ascii="Times New Roman" w:hAnsi="Times New Roman"/>
          <w:color w:val="000000" w:themeColor="text1"/>
        </w:rPr>
        <w:t>Visually inspect each dose in the dosing syringe prior to administration.</w:t>
      </w:r>
    </w:p>
    <w:p w14:paraId="4EF694C3" w14:textId="77777777" w:rsidR="00A2626C" w:rsidRDefault="00A2626C" w:rsidP="00A2626C">
      <w:pPr>
        <w:numPr>
          <w:ilvl w:val="2"/>
          <w:numId w:val="9"/>
        </w:numPr>
        <w:rPr>
          <w:rFonts w:ascii="Times New Roman" w:hAnsi="Times New Roman"/>
          <w:color w:val="000000" w:themeColor="text1"/>
        </w:rPr>
      </w:pPr>
      <w:r>
        <w:rPr>
          <w:rFonts w:ascii="Times New Roman" w:hAnsi="Times New Roman"/>
          <w:color w:val="000000" w:themeColor="text1"/>
        </w:rPr>
        <w:t xml:space="preserve">Verify the final dosing volume of </w:t>
      </w:r>
      <w:r>
        <w:rPr>
          <w:rFonts w:ascii="Times New Roman" w:hAnsi="Times New Roman"/>
          <w:color w:val="000000" w:themeColor="text1"/>
          <w:u w:val="single"/>
        </w:rPr>
        <w:t xml:space="preserve">0.5 </w:t>
      </w:r>
      <w:proofErr w:type="spellStart"/>
      <w:r>
        <w:rPr>
          <w:rFonts w:ascii="Times New Roman" w:hAnsi="Times New Roman"/>
          <w:color w:val="000000" w:themeColor="text1"/>
          <w:u w:val="single"/>
        </w:rPr>
        <w:t>mL</w:t>
      </w:r>
      <w:r>
        <w:rPr>
          <w:rFonts w:ascii="Times New Roman" w:hAnsi="Times New Roman"/>
          <w:color w:val="000000" w:themeColor="text1"/>
        </w:rPr>
        <w:t>.</w:t>
      </w:r>
      <w:proofErr w:type="spellEnd"/>
      <w:r>
        <w:rPr>
          <w:rFonts w:ascii="Times New Roman" w:hAnsi="Times New Roman"/>
          <w:color w:val="000000" w:themeColor="text1"/>
        </w:rPr>
        <w:t xml:space="preserve"> </w:t>
      </w:r>
    </w:p>
    <w:p w14:paraId="64B5E271" w14:textId="77777777" w:rsidR="00A2626C" w:rsidRPr="00634B31" w:rsidRDefault="00A2626C" w:rsidP="00A2626C">
      <w:pPr>
        <w:numPr>
          <w:ilvl w:val="2"/>
          <w:numId w:val="9"/>
        </w:numPr>
        <w:rPr>
          <w:rFonts w:ascii="Times New Roman" w:hAnsi="Times New Roman"/>
          <w:color w:val="000000" w:themeColor="text1"/>
        </w:rPr>
      </w:pPr>
      <w:r>
        <w:rPr>
          <w:rFonts w:ascii="Times New Roman" w:hAnsi="Times New Roman"/>
        </w:rPr>
        <w:t>Administer JYNNEOS subcutaneously by pinching up fatty tissue over the triceps area in the upper arm and insert the needle at a 45-degree angle.</w:t>
      </w:r>
    </w:p>
    <w:p w14:paraId="30BCEE94" w14:textId="77777777" w:rsidR="00A2626C" w:rsidRPr="006E5068" w:rsidRDefault="00A2626C" w:rsidP="00A2626C">
      <w:pPr>
        <w:pStyle w:val="paragraph"/>
        <w:numPr>
          <w:ilvl w:val="0"/>
          <w:numId w:val="2"/>
        </w:numPr>
        <w:spacing w:before="0" w:beforeAutospacing="0" w:after="0" w:afterAutospacing="0"/>
      </w:pPr>
      <w:r w:rsidRPr="006E5068">
        <w:lastRenderedPageBreak/>
        <w:t>Observe Patients after Vaccination:</w:t>
      </w:r>
    </w:p>
    <w:p w14:paraId="5B198253" w14:textId="77777777" w:rsidR="00A2626C" w:rsidRDefault="00A2626C" w:rsidP="00A2626C">
      <w:pPr>
        <w:pStyle w:val="paragraph"/>
        <w:spacing w:before="0" w:beforeAutospacing="0" w:after="0" w:afterAutospacing="0"/>
        <w:ind w:left="720"/>
      </w:pPr>
      <w:r>
        <w:t xml:space="preserve">Vaccination providers should observe patients after vaccination to monitor for the occurrence of immediate adverse reactions, including syncope for 15 minutes. </w:t>
      </w:r>
    </w:p>
    <w:p w14:paraId="7CA98CD4" w14:textId="77777777" w:rsidR="00A2626C" w:rsidRPr="006E5068" w:rsidRDefault="00A2626C" w:rsidP="00A2626C">
      <w:pPr>
        <w:pStyle w:val="paragraph"/>
        <w:numPr>
          <w:ilvl w:val="0"/>
          <w:numId w:val="2"/>
        </w:numPr>
        <w:spacing w:before="0" w:beforeAutospacing="0" w:after="0" w:afterAutospacing="0"/>
      </w:pPr>
      <w:r w:rsidRPr="006E5068">
        <w:t>Document Vaccination</w:t>
      </w:r>
    </w:p>
    <w:p w14:paraId="0F8CA9B0" w14:textId="77777777" w:rsidR="00A2626C" w:rsidRDefault="00A2626C" w:rsidP="00A2626C">
      <w:pPr>
        <w:pStyle w:val="ListParagraph"/>
        <w:rPr>
          <w:rFonts w:ascii="Times New Roman" w:hAnsi="Times New Roman"/>
        </w:rPr>
      </w:pPr>
      <w:r>
        <w:rPr>
          <w:rFonts w:ascii="Times New Roman" w:hAnsi="Times New Roman"/>
        </w:rPr>
        <w:t>Document each patient’s vaccine administration information and follow-up in the following places:</w:t>
      </w:r>
    </w:p>
    <w:p w14:paraId="22568467" w14:textId="77777777" w:rsidR="00A2626C" w:rsidRDefault="00A2626C" w:rsidP="00A2626C">
      <w:pPr>
        <w:pStyle w:val="ListParagraph"/>
        <w:rPr>
          <w:rFonts w:ascii="Times New Roman" w:hAnsi="Times New Roman"/>
          <w:b/>
          <w:bCs/>
          <w:color w:val="000000" w:themeColor="text1"/>
        </w:rPr>
      </w:pPr>
    </w:p>
    <w:p w14:paraId="6C22377C" w14:textId="77777777" w:rsidR="00A2626C" w:rsidRPr="00E93967" w:rsidRDefault="00A2626C" w:rsidP="00A2626C">
      <w:pPr>
        <w:ind w:left="720"/>
        <w:rPr>
          <w:rFonts w:ascii="Times New Roman" w:hAnsi="Times New Roman"/>
        </w:rPr>
      </w:pPr>
      <w:r w:rsidRPr="00E93967">
        <w:rPr>
          <w:rFonts w:ascii="Times New Roman" w:hAnsi="Times New Roman"/>
          <w:b/>
        </w:rPr>
        <w:t xml:space="preserve">Medical Record System </w:t>
      </w:r>
      <w:bookmarkStart w:id="4" w:name="_Hlk80259278"/>
      <w:r w:rsidRPr="00E93967">
        <w:rPr>
          <w:rFonts w:ascii="Times New Roman" w:hAnsi="Times New Roman"/>
          <w:b/>
        </w:rPr>
        <w:t xml:space="preserve">(including Countermeasure Data Management System [CDMS], as applicable) </w:t>
      </w:r>
      <w:bookmarkEnd w:id="4"/>
      <w:r w:rsidRPr="00E93967">
        <w:rPr>
          <w:rFonts w:ascii="Times New Roman" w:hAnsi="Times New Roman"/>
          <w:b/>
        </w:rPr>
        <w:t xml:space="preserve">: </w:t>
      </w:r>
      <w:r w:rsidRPr="00E93967">
        <w:rPr>
          <w:rFonts w:ascii="Times New Roman" w:hAnsi="Times New Roman"/>
        </w:rPr>
        <w:t xml:space="preserve">Ensure that the patient’s name, the date the vaccine was administered, the name of the vaccine, the manufacturer and lot number, the vaccination site and route, address of administering site, and the name and title of the authorized person administering the vaccine, and the date it was given to the patient is documented in the patient’s medical record or on a separate form retained by the authorized vaccinator who has administered the immunization, and in a retrievable format available to the State Education Department and the patient.  If vaccine was not administered, record the reason(s) for non-receipt of the vaccine (e.g., medical contraindication, refusal).  Documentation must be completed within 24 hours of administration. This information, whether in a medical record or separately kept, must be recorded and maintained in accordance with 8 NYCRR </w:t>
      </w:r>
      <w:r w:rsidRPr="00E93967">
        <w:rPr>
          <w:rStyle w:val="normaltextrun"/>
          <w:bdr w:val="none" w:sz="0" w:space="0" w:color="auto" w:frame="1"/>
        </w:rPr>
        <w:t>§</w:t>
      </w:r>
      <w:r w:rsidRPr="00E93967">
        <w:rPr>
          <w:rFonts w:ascii="Times New Roman" w:hAnsi="Times New Roman"/>
        </w:rPr>
        <w:t xml:space="preserve"> 29.2(a)(3).</w:t>
      </w:r>
    </w:p>
    <w:p w14:paraId="77B7889A" w14:textId="77777777" w:rsidR="00A2626C" w:rsidRPr="006A50B7" w:rsidRDefault="00A2626C" w:rsidP="00A2626C">
      <w:pPr>
        <w:pStyle w:val="ListParagraph"/>
        <w:rPr>
          <w:rFonts w:ascii="Times New Roman" w:hAnsi="Times New Roman"/>
          <w:color w:val="000000" w:themeColor="text1"/>
        </w:rPr>
      </w:pPr>
    </w:p>
    <w:p w14:paraId="57008630" w14:textId="26C9C252" w:rsidR="00A2626C" w:rsidRPr="006A50B7" w:rsidRDefault="00A2626C" w:rsidP="00A2626C">
      <w:pPr>
        <w:pStyle w:val="ListParagraph"/>
        <w:rPr>
          <w:rFonts w:ascii="Times New Roman" w:hAnsi="Times New Roman"/>
          <w:color w:val="000000" w:themeColor="text1"/>
        </w:rPr>
      </w:pPr>
      <w:r w:rsidRPr="006A50B7">
        <w:rPr>
          <w:rFonts w:ascii="Times New Roman" w:hAnsi="Times New Roman"/>
          <w:b/>
          <w:color w:val="000000" w:themeColor="text1"/>
        </w:rPr>
        <w:t xml:space="preserve">Signed Certificate of Immunization </w:t>
      </w:r>
      <w:r w:rsidRPr="006A50B7">
        <w:rPr>
          <w:rFonts w:ascii="Times New Roman" w:hAnsi="Times New Roman"/>
          <w:color w:val="000000" w:themeColor="text1"/>
        </w:rPr>
        <w:t>(given to the patient)</w:t>
      </w:r>
      <w:r w:rsidRPr="006A50B7">
        <w:rPr>
          <w:rFonts w:ascii="Times New Roman" w:hAnsi="Times New Roman"/>
          <w:b/>
          <w:color w:val="000000" w:themeColor="text1"/>
        </w:rPr>
        <w:t xml:space="preserve">: </w:t>
      </w:r>
      <w:r w:rsidRPr="006A50B7">
        <w:rPr>
          <w:rFonts w:ascii="Times New Roman" w:hAnsi="Times New Roman"/>
          <w:color w:val="000000" w:themeColor="text1"/>
        </w:rPr>
        <w:t xml:space="preserve">Record the patient’s name, date of vaccination, name/location of the administering clinic, administering </w:t>
      </w:r>
      <w:r w:rsidR="00AB4173">
        <w:rPr>
          <w:rFonts w:ascii="Times New Roman" w:hAnsi="Times New Roman"/>
          <w:color w:val="000000" w:themeColor="text1"/>
        </w:rPr>
        <w:t xml:space="preserve">RN or </w:t>
      </w:r>
      <w:r>
        <w:rPr>
          <w:rFonts w:ascii="Times New Roman" w:hAnsi="Times New Roman"/>
          <w:color w:val="000000" w:themeColor="text1"/>
        </w:rPr>
        <w:t>pharmacist</w:t>
      </w:r>
      <w:r w:rsidRPr="006A50B7">
        <w:rPr>
          <w:rFonts w:ascii="Times New Roman" w:hAnsi="Times New Roman"/>
          <w:color w:val="000000" w:themeColor="text1"/>
        </w:rPr>
        <w:t xml:space="preserve">, name of vaccine, manufacturer and lot number, and recommendations for future immunizations. </w:t>
      </w:r>
    </w:p>
    <w:p w14:paraId="4A28BE39" w14:textId="77777777" w:rsidR="00A2626C" w:rsidRPr="006A50B7" w:rsidRDefault="00A2626C" w:rsidP="00A2626C">
      <w:pPr>
        <w:pStyle w:val="ListParagraph"/>
        <w:rPr>
          <w:rFonts w:ascii="Times New Roman" w:hAnsi="Times New Roman"/>
          <w:color w:val="000000" w:themeColor="text1"/>
        </w:rPr>
      </w:pPr>
      <w:r w:rsidRPr="006A50B7">
        <w:rPr>
          <w:rFonts w:ascii="Times New Roman" w:hAnsi="Times New Roman"/>
          <w:color w:val="000000" w:themeColor="text1"/>
        </w:rPr>
        <w:tab/>
      </w:r>
    </w:p>
    <w:p w14:paraId="181661EF" w14:textId="77777777" w:rsidR="00A2626C" w:rsidRDefault="00A2626C" w:rsidP="00A2626C">
      <w:pPr>
        <w:pStyle w:val="ListParagraph"/>
        <w:rPr>
          <w:rStyle w:val="normaltextrun"/>
          <w:rFonts w:ascii="Times New Roman" w:hAnsi="Times New Roman"/>
          <w:color w:val="000000"/>
          <w:shd w:val="clear" w:color="auto" w:fill="FFFFFF"/>
        </w:rPr>
      </w:pPr>
      <w:r w:rsidRPr="7491B68F">
        <w:rPr>
          <w:rFonts w:ascii="Times New Roman" w:hAnsi="Times New Roman"/>
          <w:b/>
          <w:bCs/>
          <w:color w:val="000000" w:themeColor="text1"/>
        </w:rPr>
        <w:t xml:space="preserve">New York State Immunization Information System (NYSIIS) and City Immunization Registry (CIR): </w:t>
      </w:r>
      <w:r w:rsidRPr="6543A420">
        <w:rPr>
          <w:rFonts w:ascii="Times New Roman" w:eastAsia="Times New Roman" w:hAnsi="Times New Roman"/>
          <w:color w:val="000000" w:themeColor="text1"/>
        </w:rPr>
        <w:t xml:space="preserve">Report all doses administered to </w:t>
      </w:r>
      <w:r>
        <w:rPr>
          <w:rFonts w:ascii="Times New Roman" w:eastAsia="Times New Roman" w:hAnsi="Times New Roman"/>
          <w:color w:val="000000" w:themeColor="text1"/>
        </w:rPr>
        <w:t xml:space="preserve">those 18 years of age and younger to </w:t>
      </w:r>
      <w:r w:rsidRPr="6543A420">
        <w:rPr>
          <w:rFonts w:ascii="Times New Roman" w:eastAsia="Times New Roman" w:hAnsi="Times New Roman"/>
          <w:color w:val="000000" w:themeColor="text1"/>
        </w:rPr>
        <w:t xml:space="preserve">NYSIIS or CIR within </w:t>
      </w:r>
      <w:r>
        <w:rPr>
          <w:rFonts w:ascii="Times New Roman" w:eastAsia="Times New Roman" w:hAnsi="Times New Roman"/>
          <w:color w:val="000000" w:themeColor="text1"/>
        </w:rPr>
        <w:t>14 days</w:t>
      </w:r>
      <w:r w:rsidRPr="6543A420">
        <w:rPr>
          <w:rFonts w:ascii="Times New Roman" w:eastAsia="Times New Roman" w:hAnsi="Times New Roman"/>
          <w:color w:val="000000" w:themeColor="text1"/>
        </w:rPr>
        <w:t xml:space="preserve"> of administration. </w:t>
      </w:r>
      <w:r>
        <w:rPr>
          <w:rFonts w:ascii="Times New Roman" w:eastAsia="Times New Roman" w:hAnsi="Times New Roman"/>
          <w:color w:val="000000" w:themeColor="text1"/>
        </w:rPr>
        <w:t xml:space="preserve">Report all doses administered to those 19 years of age and older to NYSIIS and CIR after obtaining consent. </w:t>
      </w:r>
      <w:r w:rsidRPr="7EE59585">
        <w:rPr>
          <w:rFonts w:ascii="Times New Roman" w:eastAsia="Times New Roman" w:hAnsi="Times New Roman"/>
          <w:color w:val="000000" w:themeColor="text1"/>
        </w:rPr>
        <w:t>With respect to NYSIIS, if the dose was documented in CDMS, then the NYSDOH must transmit data from CDMS to NYSIIS for all patients</w:t>
      </w:r>
      <w:r>
        <w:rPr>
          <w:rStyle w:val="normaltextrun"/>
          <w:rFonts w:ascii="Times New Roman" w:hAnsi="Times New Roman"/>
          <w:color w:val="000000"/>
          <w:shd w:val="clear" w:color="auto" w:fill="FFFFFF"/>
        </w:rPr>
        <w:t xml:space="preserve"> ages 18 and younger and for those who are 19 and older, with consent.</w:t>
      </w:r>
    </w:p>
    <w:p w14:paraId="2DB7BD68" w14:textId="77777777" w:rsidR="00A2626C" w:rsidRDefault="00A2626C" w:rsidP="00A2626C">
      <w:pPr>
        <w:pStyle w:val="ListParagraph"/>
        <w:rPr>
          <w:rFonts w:ascii="Times New Roman" w:hAnsi="Times New Roman"/>
          <w:b/>
          <w:bCs/>
          <w:color w:val="000000" w:themeColor="text1"/>
        </w:rPr>
      </w:pPr>
    </w:p>
    <w:p w14:paraId="7CE9FF5E" w14:textId="77777777" w:rsidR="00A2626C" w:rsidRPr="006E5068" w:rsidRDefault="00A2626C" w:rsidP="00A2626C">
      <w:pPr>
        <w:pStyle w:val="paragraph"/>
        <w:numPr>
          <w:ilvl w:val="0"/>
          <w:numId w:val="2"/>
        </w:numPr>
        <w:spacing w:before="0" w:beforeAutospacing="0" w:after="0" w:afterAutospacing="0"/>
      </w:pPr>
      <w:r w:rsidRPr="006E5068">
        <w:t>Management of medical emergencies</w:t>
      </w:r>
    </w:p>
    <w:p w14:paraId="37F6A904" w14:textId="3B560F69" w:rsidR="00A2626C" w:rsidRDefault="00A2626C" w:rsidP="00A2626C">
      <w:pPr>
        <w:ind w:left="720"/>
        <w:rPr>
          <w:rFonts w:ascii="Times New Roman" w:hAnsi="Times New Roman"/>
          <w:color w:val="000000" w:themeColor="text1"/>
        </w:rPr>
      </w:pPr>
      <w:r>
        <w:rPr>
          <w:rFonts w:ascii="Times New Roman" w:hAnsi="Times New Roman"/>
          <w:color w:val="000000" w:themeColor="text1"/>
        </w:rPr>
        <w:t xml:space="preserve">Be prepared for management of a medical emergency related to the administration of vaccine by maintaining written copies of the standing orders and protocols for administration of epinephrine and diphenhydramine. RNs or pharmacists shall be responsible for having emergency anaphylaxis treatment agents, related syringes and needles at the immunization site, including sufficient epinephrine to administer at least 3 prefilled syringes or autoinjectors, H1 antihistamine, blood pressure cuff, and a stethoscope and timing device to assess pulse. To prevent syncope, vaccinate patients while they are seated or lying down and assess for signs of syncope such as extreme paleness, sweating, coldness of the hands and feet, nausea, lightheadedness, dizziness, weakness or visual disturbances. </w:t>
      </w:r>
    </w:p>
    <w:p w14:paraId="0CBEDFA3" w14:textId="77777777" w:rsidR="00A2626C" w:rsidRDefault="00A2626C" w:rsidP="00A2626C">
      <w:pPr>
        <w:rPr>
          <w:rFonts w:ascii="Times New Roman" w:hAnsi="Times New Roman"/>
          <w:color w:val="000000" w:themeColor="text1"/>
        </w:rPr>
      </w:pPr>
    </w:p>
    <w:p w14:paraId="11963A3F" w14:textId="77777777" w:rsidR="00A2626C" w:rsidRDefault="00A2626C" w:rsidP="00A2626C">
      <w:pPr>
        <w:ind w:firstLine="720"/>
        <w:rPr>
          <w:rFonts w:ascii="Times New Roman" w:hAnsi="Times New Roman"/>
          <w:color w:val="000000" w:themeColor="text1"/>
        </w:rPr>
      </w:pPr>
      <w:r>
        <w:rPr>
          <w:rFonts w:ascii="Times New Roman" w:hAnsi="Times New Roman"/>
          <w:color w:val="000000" w:themeColor="text1"/>
        </w:rPr>
        <w:t xml:space="preserve">For more information, please see: </w:t>
      </w:r>
    </w:p>
    <w:p w14:paraId="4B45480C" w14:textId="77777777" w:rsidR="00A2626C" w:rsidRPr="006E5068" w:rsidRDefault="00A2626C" w:rsidP="00A2626C">
      <w:pPr>
        <w:pStyle w:val="ListParagraph"/>
        <w:numPr>
          <w:ilvl w:val="0"/>
          <w:numId w:val="8"/>
        </w:numPr>
        <w:rPr>
          <w:rFonts w:ascii="Times New Roman" w:hAnsi="Times New Roman"/>
          <w:color w:val="000000" w:themeColor="text1"/>
        </w:rPr>
      </w:pPr>
      <w:r w:rsidRPr="00A422CF">
        <w:rPr>
          <w:rFonts w:ascii="Times New Roman" w:hAnsi="Times New Roman"/>
          <w:color w:val="000000" w:themeColor="text1"/>
        </w:rPr>
        <w:lastRenderedPageBreak/>
        <w:t xml:space="preserve">CDC’s General Best Practice Guidelines for Immunization, “Preventing and Managing Adverse Reactions,” at </w:t>
      </w:r>
      <w:hyperlink r:id="rId11" w:history="1">
        <w:r w:rsidRPr="00163B54">
          <w:rPr>
            <w:rStyle w:val="Hyperlink"/>
            <w:rFonts w:ascii="Times New Roman" w:hAnsi="Times New Roman"/>
          </w:rPr>
          <w:t>https://www.cdc.gov/vaccines/hcp/imz-best-practices/preventing-managing-adverse-reactions.html</w:t>
        </w:r>
      </w:hyperlink>
    </w:p>
    <w:p w14:paraId="3BE9C0F0" w14:textId="77777777" w:rsidR="00A2626C" w:rsidRPr="00A422CF" w:rsidRDefault="00A2626C" w:rsidP="00A2626C">
      <w:pPr>
        <w:pStyle w:val="ListParagraph"/>
        <w:numPr>
          <w:ilvl w:val="0"/>
          <w:numId w:val="8"/>
        </w:numPr>
        <w:rPr>
          <w:rFonts w:ascii="Times New Roman" w:hAnsi="Times New Roman"/>
          <w:color w:val="000000" w:themeColor="text1"/>
        </w:rPr>
      </w:pPr>
      <w:r w:rsidRPr="00A422CF">
        <w:rPr>
          <w:rFonts w:ascii="Times New Roman" w:hAnsi="Times New Roman"/>
          <w:color w:val="000000" w:themeColor="text1"/>
        </w:rPr>
        <w:t xml:space="preserve">Immunization Action Coalition’s “Medical Management of Vaccine Reactions in Adults in a Community Setting” at </w:t>
      </w:r>
      <w:hyperlink r:id="rId12" w:history="1">
        <w:r w:rsidRPr="00A422CF">
          <w:rPr>
            <w:rStyle w:val="Hyperlink"/>
            <w:rFonts w:ascii="Times New Roman" w:hAnsi="Times New Roman"/>
          </w:rPr>
          <w:t>https://www.immunize.org/catg.d/p3082.pdf</w:t>
        </w:r>
      </w:hyperlink>
      <w:r w:rsidRPr="00A422CF">
        <w:rPr>
          <w:rFonts w:ascii="Times New Roman" w:hAnsi="Times New Roman"/>
          <w:color w:val="000000" w:themeColor="text1"/>
        </w:rPr>
        <w:t>.</w:t>
      </w:r>
    </w:p>
    <w:p w14:paraId="119B8318" w14:textId="77777777" w:rsidR="00A2626C" w:rsidRPr="00634B31" w:rsidRDefault="00A2626C" w:rsidP="00A2626C">
      <w:pPr>
        <w:pStyle w:val="ListParagraph"/>
        <w:numPr>
          <w:ilvl w:val="0"/>
          <w:numId w:val="8"/>
        </w:numPr>
        <w:rPr>
          <w:rFonts w:ascii="Times New Roman" w:hAnsi="Times New Roman"/>
          <w:color w:val="000000" w:themeColor="text1"/>
        </w:rPr>
      </w:pPr>
      <w:r w:rsidRPr="00A422CF">
        <w:rPr>
          <w:rFonts w:ascii="Times New Roman" w:hAnsi="Times New Roman"/>
          <w:color w:val="000000" w:themeColor="text1"/>
        </w:rPr>
        <w:t xml:space="preserve">Immunization Action Coalition’s “Medical Management of Vaccine Reactions in Children and Teens in a Community Setting” at </w:t>
      </w:r>
      <w:hyperlink r:id="rId13" w:history="1">
        <w:r w:rsidRPr="00A422CF">
          <w:rPr>
            <w:rStyle w:val="Hyperlink"/>
            <w:rFonts w:ascii="Times New Roman" w:hAnsi="Times New Roman"/>
          </w:rPr>
          <w:t>https://www.immunize.org/catg.d/p3082a.pdf</w:t>
        </w:r>
      </w:hyperlink>
      <w:r w:rsidRPr="00A422CF">
        <w:rPr>
          <w:rFonts w:ascii="Times New Roman" w:hAnsi="Times New Roman"/>
          <w:color w:val="000000" w:themeColor="text1"/>
        </w:rPr>
        <w:t xml:space="preserve">. </w:t>
      </w:r>
    </w:p>
    <w:p w14:paraId="1600E346" w14:textId="77777777" w:rsidR="00A2626C" w:rsidRDefault="00A2626C" w:rsidP="00A2626C">
      <w:pPr>
        <w:pStyle w:val="paragraph"/>
        <w:numPr>
          <w:ilvl w:val="0"/>
          <w:numId w:val="2"/>
        </w:numPr>
        <w:spacing w:before="0" w:beforeAutospacing="0" w:after="0" w:afterAutospacing="0"/>
        <w:rPr>
          <w:b/>
          <w:bCs/>
        </w:rPr>
      </w:pPr>
      <w:r w:rsidRPr="005E2707">
        <w:t>Reporting of adverse events</w:t>
      </w:r>
    </w:p>
    <w:p w14:paraId="3B1BA6B5" w14:textId="77777777" w:rsidR="00A2626C" w:rsidRPr="005D746C" w:rsidRDefault="00A2626C" w:rsidP="00A2626C">
      <w:pPr>
        <w:pStyle w:val="ListParagraph"/>
        <w:numPr>
          <w:ilvl w:val="0"/>
          <w:numId w:val="6"/>
        </w:numPr>
        <w:rPr>
          <w:rStyle w:val="Hyperlink"/>
          <w:rFonts w:ascii="Times New Roman" w:eastAsia="Times New Roman" w:hAnsi="Times New Roman"/>
          <w:color w:val="000000" w:themeColor="text1"/>
        </w:rPr>
      </w:pPr>
      <w:r w:rsidRPr="005D746C">
        <w:rPr>
          <w:rFonts w:ascii="Times New Roman" w:eastAsia="Times New Roman" w:hAnsi="Times New Roman"/>
          <w:color w:val="000000" w:themeColor="text1"/>
        </w:rPr>
        <w:t xml:space="preserve">Report any vaccine adverse events or administration errors to the US Department of Health and Human Services. Visit </w:t>
      </w:r>
      <w:hyperlink r:id="rId14" w:history="1">
        <w:r w:rsidRPr="005D746C">
          <w:rPr>
            <w:rStyle w:val="Hyperlink"/>
            <w:rFonts w:ascii="Times New Roman" w:eastAsia="Times New Roman" w:hAnsi="Times New Roman"/>
          </w:rPr>
          <w:t>https://vaers.hhs.gov/</w:t>
        </w:r>
      </w:hyperlink>
      <w:r w:rsidRPr="005D746C">
        <w:rPr>
          <w:rFonts w:ascii="Times New Roman" w:eastAsia="Times New Roman" w:hAnsi="Times New Roman"/>
          <w:color w:val="000000" w:themeColor="text1"/>
        </w:rPr>
        <w:t xml:space="preserve"> to file a report or call 1-800-822-7967.  </w:t>
      </w:r>
    </w:p>
    <w:p w14:paraId="2ED74306" w14:textId="77777777" w:rsidR="00A2626C" w:rsidRPr="005D746C" w:rsidRDefault="00A2626C" w:rsidP="00A2626C">
      <w:pPr>
        <w:pStyle w:val="ListParagraph"/>
        <w:numPr>
          <w:ilvl w:val="0"/>
          <w:numId w:val="6"/>
        </w:numPr>
        <w:rPr>
          <w:rFonts w:eastAsia="Arial"/>
        </w:rPr>
      </w:pPr>
      <w:r w:rsidRPr="005D746C">
        <w:rPr>
          <w:rFonts w:ascii="Times New Roman" w:eastAsia="Times New Roman" w:hAnsi="Times New Roman"/>
          <w:color w:val="000000" w:themeColor="text1"/>
        </w:rPr>
        <w:t xml:space="preserve">Conduct any follow-up requested by the U.S government, including CDC, FDA, or other designee, regarding adverse events to the extent feasible given the emergency circumstances. </w:t>
      </w:r>
    </w:p>
    <w:p w14:paraId="13330BC8" w14:textId="77777777" w:rsidR="00A2626C" w:rsidRPr="00634B31" w:rsidRDefault="00A2626C" w:rsidP="00A2626C">
      <w:pPr>
        <w:pStyle w:val="ListParagraph"/>
        <w:numPr>
          <w:ilvl w:val="0"/>
          <w:numId w:val="7"/>
        </w:numPr>
        <w:rPr>
          <w:rFonts w:ascii="Times New Roman" w:eastAsiaTheme="minorEastAsia" w:hAnsi="Times New Roman"/>
          <w:color w:val="000000" w:themeColor="text1"/>
        </w:rPr>
      </w:pPr>
      <w:r w:rsidRPr="005D746C">
        <w:rPr>
          <w:rFonts w:ascii="Times New Roman" w:eastAsia="Times New Roman" w:hAnsi="Times New Roman"/>
          <w:color w:val="000000" w:themeColor="text1"/>
        </w:rPr>
        <w:t xml:space="preserve">Complete and submit reports to VAERS online at </w:t>
      </w:r>
      <w:hyperlink r:id="rId15" w:history="1">
        <w:r w:rsidRPr="005D746C">
          <w:rPr>
            <w:rStyle w:val="Hyperlink"/>
            <w:rFonts w:ascii="Times New Roman" w:eastAsia="Times New Roman" w:hAnsi="Times New Roman"/>
          </w:rPr>
          <w:t>https://vaers.hhs.gov/reportevent.html</w:t>
        </w:r>
      </w:hyperlink>
      <w:r w:rsidRPr="005D746C">
        <w:rPr>
          <w:rFonts w:ascii="Times New Roman" w:eastAsia="Times New Roman" w:hAnsi="Times New Roman"/>
          <w:color w:val="000000" w:themeColor="text1"/>
        </w:rPr>
        <w:t xml:space="preserve"> or by calling 1-800-822-7967.  To the extent feasible, also report suspected adverse reactions to the vaccine manufacturer by contacting Bavarian Nordic at toll-free phone 1-800-675-9596.</w:t>
      </w:r>
    </w:p>
    <w:p w14:paraId="2857BFE4" w14:textId="77777777" w:rsidR="00A2626C" w:rsidRDefault="00A2626C" w:rsidP="00A2626C">
      <w:pPr>
        <w:pStyle w:val="paragraph"/>
        <w:numPr>
          <w:ilvl w:val="0"/>
          <w:numId w:val="2"/>
        </w:numPr>
        <w:spacing w:before="0" w:beforeAutospacing="0" w:after="0" w:afterAutospacing="0"/>
        <w:textAlignment w:val="baseline"/>
      </w:pPr>
      <w:r>
        <w:rPr>
          <w:rStyle w:val="normaltextrun"/>
          <w:rFonts w:eastAsiaTheme="majorEastAsia"/>
          <w:b/>
          <w:bCs/>
        </w:rPr>
        <w:t xml:space="preserve">Storage and Handling of Vaccine </w:t>
      </w:r>
      <w:r>
        <w:rPr>
          <w:rStyle w:val="normaltextrun"/>
          <w:rFonts w:eastAsiaTheme="majorEastAsia"/>
        </w:rPr>
        <w:t xml:space="preserve">For storage and handling details of JYNNEOS vaccine please refer to the package insert: </w:t>
      </w:r>
      <w:hyperlink r:id="rId16" w:history="1">
        <w:r>
          <w:rPr>
            <w:rStyle w:val="Hyperlink"/>
            <w:rFonts w:eastAsiaTheme="majorEastAsia"/>
          </w:rPr>
          <w:t>https://www.fda.gov/media/131078/download?attachment</w:t>
        </w:r>
      </w:hyperlink>
      <w:r>
        <w:t xml:space="preserve"> and </w:t>
      </w:r>
      <w:hyperlink r:id="rId17" w:history="1">
        <w:r w:rsidRPr="00163B54">
          <w:rPr>
            <w:rStyle w:val="Hyperlink"/>
            <w:rFonts w:eastAsiaTheme="majorEastAsia"/>
          </w:rPr>
          <w:t>https://www.fda.gov/media/186359/download?attachment</w:t>
        </w:r>
      </w:hyperlink>
    </w:p>
    <w:p w14:paraId="49694533" w14:textId="77777777" w:rsidR="00A2626C" w:rsidRDefault="00A2626C" w:rsidP="00A2626C">
      <w:pPr>
        <w:rPr>
          <w:rFonts w:ascii="Times New Roman" w:hAnsi="Times New Roman"/>
          <w:b/>
          <w:bCs/>
        </w:rPr>
      </w:pPr>
    </w:p>
    <w:p w14:paraId="270EBD30" w14:textId="282EB27A" w:rsidR="0007752D" w:rsidRPr="006E5068" w:rsidRDefault="00A2626C" w:rsidP="0007752D">
      <w:pPr>
        <w:rPr>
          <w:rFonts w:ascii="Times New Roman" w:eastAsia="Times New Roman" w:hAnsi="Times New Roman"/>
          <w:color w:val="000000" w:themeColor="text1"/>
        </w:rPr>
      </w:pPr>
      <w:r w:rsidRPr="00297280">
        <w:rPr>
          <w:rFonts w:ascii="Times New Roman" w:hAnsi="Times New Roman"/>
          <w:b/>
          <w:bCs/>
        </w:rPr>
        <w:t xml:space="preserve">Order: </w:t>
      </w:r>
      <w:r>
        <w:rPr>
          <w:rFonts w:ascii="Times New Roman" w:eastAsia="Times New Roman" w:hAnsi="Times New Roman"/>
          <w:color w:val="000000" w:themeColor="text1"/>
        </w:rPr>
        <w:t xml:space="preserve"> </w:t>
      </w:r>
      <w:r w:rsidR="0007752D" w:rsidRPr="6CA91989">
        <w:rPr>
          <w:rFonts w:ascii="Times New Roman" w:eastAsia="Times New Roman" w:hAnsi="Times New Roman"/>
          <w:color w:val="000000" w:themeColor="text1"/>
        </w:rPr>
        <w:t>I am hereby prescribing this non</w:t>
      </w:r>
      <w:r w:rsidR="0007752D">
        <w:rPr>
          <w:rFonts w:ascii="Times New Roman" w:eastAsia="Times New Roman" w:hAnsi="Times New Roman"/>
          <w:color w:val="000000" w:themeColor="text1"/>
        </w:rPr>
        <w:t>-</w:t>
      </w:r>
      <w:r w:rsidR="0007752D" w:rsidRPr="6CA91989">
        <w:rPr>
          <w:rFonts w:ascii="Times New Roman" w:eastAsia="Times New Roman" w:hAnsi="Times New Roman"/>
          <w:color w:val="000000" w:themeColor="text1"/>
        </w:rPr>
        <w:t>patient</w:t>
      </w:r>
      <w:r w:rsidR="0007752D">
        <w:rPr>
          <w:rFonts w:ascii="Times New Roman" w:eastAsia="Times New Roman" w:hAnsi="Times New Roman"/>
          <w:color w:val="000000" w:themeColor="text1"/>
        </w:rPr>
        <w:t xml:space="preserve"> </w:t>
      </w:r>
      <w:r w:rsidR="0007752D" w:rsidRPr="6CA91989">
        <w:rPr>
          <w:rFonts w:ascii="Times New Roman" w:eastAsia="Times New Roman" w:hAnsi="Times New Roman"/>
          <w:color w:val="000000" w:themeColor="text1"/>
        </w:rPr>
        <w:t xml:space="preserve">specific order for administration of </w:t>
      </w:r>
      <w:r w:rsidR="0007752D">
        <w:rPr>
          <w:rFonts w:ascii="Times New Roman" w:eastAsia="Times New Roman" w:hAnsi="Times New Roman"/>
          <w:color w:val="000000" w:themeColor="text1"/>
        </w:rPr>
        <w:t>mpox</w:t>
      </w:r>
      <w:r w:rsidR="0007752D" w:rsidRPr="6CA91989">
        <w:rPr>
          <w:rFonts w:ascii="Times New Roman" w:eastAsia="Times New Roman" w:hAnsi="Times New Roman"/>
          <w:color w:val="000000" w:themeColor="text1"/>
        </w:rPr>
        <w:t xml:space="preserve"> </w:t>
      </w:r>
      <w:r w:rsidR="0007752D">
        <w:rPr>
          <w:rFonts w:ascii="Times New Roman" w:eastAsia="Times New Roman" w:hAnsi="Times New Roman"/>
          <w:color w:val="000000" w:themeColor="text1"/>
        </w:rPr>
        <w:t>v</w:t>
      </w:r>
      <w:r w:rsidR="0007752D" w:rsidRPr="6CA91989">
        <w:rPr>
          <w:rFonts w:ascii="Times New Roman" w:eastAsia="Times New Roman" w:hAnsi="Times New Roman"/>
          <w:color w:val="000000" w:themeColor="text1"/>
        </w:rPr>
        <w:t>accine</w:t>
      </w:r>
      <w:r w:rsidR="0007752D">
        <w:rPr>
          <w:rFonts w:ascii="Times New Roman" w:eastAsia="Times New Roman" w:hAnsi="Times New Roman"/>
          <w:color w:val="000000" w:themeColor="text1"/>
        </w:rPr>
        <w:t xml:space="preserve"> (JYNNEOS)</w:t>
      </w:r>
      <w:r w:rsidR="0007752D" w:rsidRPr="6CA91989">
        <w:rPr>
          <w:rFonts w:ascii="Times New Roman" w:eastAsia="Times New Roman" w:hAnsi="Times New Roman"/>
          <w:color w:val="000000" w:themeColor="text1"/>
        </w:rPr>
        <w:t xml:space="preserve">. Specifically, </w:t>
      </w:r>
      <w:r w:rsidR="0049175F" w:rsidRPr="0049175F">
        <w:rPr>
          <w:rFonts w:ascii="Times New Roman" w:eastAsia="Times New Roman" w:hAnsi="Times New Roman"/>
          <w:color w:val="000000" w:themeColor="text1"/>
        </w:rPr>
        <w:t>[</w:t>
      </w:r>
      <w:r w:rsidR="0049175F" w:rsidRPr="0049175F">
        <w:rPr>
          <w:rFonts w:ascii="Times New Roman" w:eastAsia="Times New Roman" w:hAnsi="Times New Roman"/>
          <w:color w:val="000000" w:themeColor="text1"/>
          <w:highlight w:val="lightGray"/>
        </w:rPr>
        <w:t>insert staff titles</w:t>
      </w:r>
      <w:r w:rsidR="0049175F" w:rsidRPr="0049175F">
        <w:rPr>
          <w:rFonts w:ascii="Times New Roman" w:eastAsia="Times New Roman" w:hAnsi="Times New Roman"/>
          <w:color w:val="000000" w:themeColor="text1"/>
        </w:rPr>
        <w:t xml:space="preserve">] </w:t>
      </w:r>
      <w:r w:rsidR="0007752D" w:rsidRPr="6CA91989">
        <w:rPr>
          <w:rFonts w:ascii="Times New Roman" w:eastAsia="Times New Roman" w:hAnsi="Times New Roman"/>
          <w:color w:val="000000" w:themeColor="text1"/>
        </w:rPr>
        <w:t xml:space="preserve">who are employees, volunteers, or contractors of </w:t>
      </w:r>
      <w:r w:rsidR="00311F7B">
        <w:rPr>
          <w:rFonts w:ascii="Times New Roman" w:eastAsia="Times New Roman" w:hAnsi="Times New Roman"/>
          <w:color w:val="000000" w:themeColor="text1"/>
        </w:rPr>
        <w:t>[</w:t>
      </w:r>
      <w:r w:rsidR="00311F7B" w:rsidRPr="00607C97">
        <w:rPr>
          <w:rFonts w:ascii="Times New Roman" w:eastAsia="Times New Roman" w:hAnsi="Times New Roman"/>
          <w:color w:val="000000" w:themeColor="text1"/>
          <w:highlight w:val="lightGray"/>
        </w:rPr>
        <w:t>insert organization</w:t>
      </w:r>
      <w:r w:rsidR="00311F7B">
        <w:rPr>
          <w:rFonts w:ascii="Times New Roman" w:eastAsia="Times New Roman" w:hAnsi="Times New Roman"/>
          <w:color w:val="000000" w:themeColor="text1"/>
        </w:rPr>
        <w:t>]</w:t>
      </w:r>
      <w:r w:rsidR="0007752D" w:rsidRPr="6CA91989">
        <w:rPr>
          <w:rFonts w:ascii="Times New Roman" w:eastAsia="Times New Roman" w:hAnsi="Times New Roman"/>
          <w:color w:val="000000" w:themeColor="text1"/>
        </w:rPr>
        <w:t xml:space="preserve"> in New York State may administer </w:t>
      </w:r>
      <w:r w:rsidR="0007752D">
        <w:rPr>
          <w:rFonts w:ascii="Times New Roman" w:eastAsia="Times New Roman" w:hAnsi="Times New Roman"/>
          <w:color w:val="000000" w:themeColor="text1"/>
        </w:rPr>
        <w:t>mpox</w:t>
      </w:r>
      <w:r w:rsidR="0007752D" w:rsidRPr="6CA91989">
        <w:rPr>
          <w:rFonts w:ascii="Times New Roman" w:eastAsia="Times New Roman" w:hAnsi="Times New Roman"/>
          <w:color w:val="000000" w:themeColor="text1"/>
        </w:rPr>
        <w:t xml:space="preserve"> </w:t>
      </w:r>
      <w:r w:rsidR="0007752D">
        <w:rPr>
          <w:rFonts w:ascii="Times New Roman" w:eastAsia="Times New Roman" w:hAnsi="Times New Roman"/>
          <w:color w:val="000000" w:themeColor="text1"/>
        </w:rPr>
        <w:t>v</w:t>
      </w:r>
      <w:r w:rsidR="0007752D" w:rsidRPr="6CA91989">
        <w:rPr>
          <w:rFonts w:ascii="Times New Roman" w:eastAsia="Times New Roman" w:hAnsi="Times New Roman"/>
          <w:color w:val="000000" w:themeColor="text1"/>
        </w:rPr>
        <w:t>accine (</w:t>
      </w:r>
      <w:r w:rsidR="0007752D">
        <w:rPr>
          <w:rFonts w:ascii="Times New Roman" w:eastAsia="Times New Roman" w:hAnsi="Times New Roman"/>
          <w:color w:val="000000" w:themeColor="text1"/>
        </w:rPr>
        <w:t>JYNNEOS</w:t>
      </w:r>
      <w:r w:rsidR="0007752D" w:rsidRPr="6CA91989">
        <w:rPr>
          <w:rFonts w:ascii="Times New Roman" w:eastAsia="Times New Roman" w:hAnsi="Times New Roman"/>
          <w:color w:val="000000" w:themeColor="text1"/>
        </w:rPr>
        <w:t xml:space="preserve">), </w:t>
      </w:r>
      <w:r w:rsidR="0007752D" w:rsidRPr="003724B9">
        <w:rPr>
          <w:rFonts w:ascii="Times New Roman" w:eastAsia="Times New Roman" w:hAnsi="Times New Roman"/>
        </w:rPr>
        <w:t xml:space="preserve">as permitted </w:t>
      </w:r>
      <w:r w:rsidR="0007752D">
        <w:rPr>
          <w:rFonts w:ascii="Times New Roman" w:eastAsia="Times New Roman" w:hAnsi="Times New Roman"/>
        </w:rPr>
        <w:t xml:space="preserve">as applicable </w:t>
      </w:r>
      <w:r w:rsidR="0007752D" w:rsidRPr="003724B9">
        <w:rPr>
          <w:rFonts w:ascii="Times New Roman" w:eastAsia="Times New Roman" w:hAnsi="Times New Roman"/>
        </w:rPr>
        <w:t xml:space="preserve">by its Biologics License Application (BLA) </w:t>
      </w:r>
      <w:r w:rsidR="0007752D" w:rsidRPr="00E6737D">
        <w:rPr>
          <w:rFonts w:ascii="Times New Roman" w:eastAsia="Times New Roman" w:hAnsi="Times New Roman"/>
        </w:rPr>
        <w:t>approval or Emergency Use Authorization by the U.S. Food and Drug Administration (FDA), state and federal laws, Executive Orders,</w:t>
      </w:r>
      <w:r w:rsidR="0007752D">
        <w:rPr>
          <w:rFonts w:ascii="Times New Roman" w:eastAsia="Times New Roman" w:hAnsi="Times New Roman"/>
        </w:rPr>
        <w:t xml:space="preserve"> </w:t>
      </w:r>
      <w:r w:rsidR="0007752D" w:rsidRPr="00E6737D">
        <w:rPr>
          <w:rFonts w:ascii="Times New Roman" w:eastAsia="Times New Roman" w:hAnsi="Times New Roman"/>
        </w:rPr>
        <w:t>Public Health Readiness and Emergency Preparedness</w:t>
      </w:r>
      <w:r w:rsidR="0007752D">
        <w:rPr>
          <w:rFonts w:ascii="Times New Roman" w:eastAsia="Times New Roman" w:hAnsi="Times New Roman"/>
        </w:rPr>
        <w:t xml:space="preserve"> (</w:t>
      </w:r>
      <w:r w:rsidR="0007752D" w:rsidRPr="00264A8B">
        <w:rPr>
          <w:rFonts w:ascii="Times New Roman" w:eastAsia="Times New Roman" w:hAnsi="Times New Roman"/>
        </w:rPr>
        <w:t>PREP</w:t>
      </w:r>
      <w:r w:rsidR="0007752D">
        <w:rPr>
          <w:rFonts w:ascii="Times New Roman" w:eastAsia="Times New Roman" w:hAnsi="Times New Roman"/>
        </w:rPr>
        <w:t>)</w:t>
      </w:r>
      <w:r w:rsidR="0007752D" w:rsidRPr="00264A8B">
        <w:rPr>
          <w:rFonts w:ascii="Times New Roman" w:eastAsia="Times New Roman" w:hAnsi="Times New Roman"/>
        </w:rPr>
        <w:t xml:space="preserve"> Act Declaration for Coverage for Countermeasures against Smallpox, Monkeypox, and other </w:t>
      </w:r>
      <w:proofErr w:type="spellStart"/>
      <w:r w:rsidR="0007752D" w:rsidRPr="00264A8B">
        <w:rPr>
          <w:rFonts w:ascii="Times New Roman" w:eastAsia="Times New Roman" w:hAnsi="Times New Roman"/>
        </w:rPr>
        <w:t>Orthopoxviruses</w:t>
      </w:r>
      <w:proofErr w:type="spellEnd"/>
      <w:r w:rsidR="0007752D">
        <w:rPr>
          <w:rFonts w:ascii="Times New Roman" w:eastAsia="Times New Roman" w:hAnsi="Times New Roman"/>
        </w:rPr>
        <w:t>,</w:t>
      </w:r>
      <w:r w:rsidR="0007752D" w:rsidRPr="00E6737D">
        <w:rPr>
          <w:rFonts w:ascii="Times New Roman" w:eastAsia="Times New Roman" w:hAnsi="Times New Roman"/>
        </w:rPr>
        <w:t xml:space="preserve"> COVID-19 </w:t>
      </w:r>
      <w:r w:rsidR="0007752D">
        <w:rPr>
          <w:rFonts w:ascii="Times New Roman" w:eastAsia="Times New Roman" w:hAnsi="Times New Roman"/>
        </w:rPr>
        <w:t>PREP</w:t>
      </w:r>
      <w:r w:rsidR="0007752D" w:rsidRPr="00E6737D">
        <w:rPr>
          <w:rFonts w:ascii="Times New Roman" w:eastAsia="Times New Roman" w:hAnsi="Times New Roman"/>
        </w:rPr>
        <w:t xml:space="preserve"> Act declarations, </w:t>
      </w:r>
      <w:r w:rsidR="0007752D">
        <w:rPr>
          <w:rFonts w:ascii="Times New Roman" w:eastAsia="Times New Roman" w:hAnsi="Times New Roman"/>
        </w:rPr>
        <w:t>or</w:t>
      </w:r>
      <w:r w:rsidR="0007752D" w:rsidRPr="00E6737D">
        <w:rPr>
          <w:rFonts w:ascii="Times New Roman" w:eastAsia="Times New Roman" w:hAnsi="Times New Roman"/>
        </w:rPr>
        <w:t xml:space="preserve"> the recommendations of the Advisory Committee on Immunization Practices (ACIP). </w:t>
      </w:r>
    </w:p>
    <w:p w14:paraId="12310714" w14:textId="77777777" w:rsidR="00A2626C" w:rsidRPr="006A50B7" w:rsidRDefault="00A2626C" w:rsidP="00A2626C">
      <w:pPr>
        <w:rPr>
          <w:rFonts w:ascii="Times New Roman" w:hAnsi="Times New Roman"/>
          <w:color w:val="000000" w:themeColor="text1"/>
        </w:rPr>
      </w:pPr>
    </w:p>
    <w:p w14:paraId="7DE932E0" w14:textId="77777777" w:rsidR="00A2626C" w:rsidRPr="006A50B7" w:rsidRDefault="00A2626C" w:rsidP="00A2626C">
      <w:pPr>
        <w:rPr>
          <w:rFonts w:ascii="Times New Roman" w:eastAsia="Times New Roman" w:hAnsi="Times New Roman"/>
        </w:rPr>
      </w:pPr>
      <w:r w:rsidRPr="40527557">
        <w:rPr>
          <w:rFonts w:ascii="Times New Roman" w:hAnsi="Times New Roman"/>
          <w:color w:val="000000" w:themeColor="text1"/>
        </w:rPr>
        <w:t>This non-patient specific order shall remain in effect for the vaccination of any individuals as set forth herein, beginning on [</w:t>
      </w:r>
      <w:r w:rsidRPr="40527557">
        <w:rPr>
          <w:rFonts w:ascii="Times New Roman" w:eastAsia="Times New Roman" w:hAnsi="Times New Roman"/>
          <w:color w:val="000000" w:themeColor="text1"/>
          <w:highlight w:val="lightGray"/>
        </w:rPr>
        <w:t>insert date</w:t>
      </w:r>
      <w:r w:rsidRPr="40527557">
        <w:rPr>
          <w:rFonts w:ascii="Times New Roman" w:eastAsia="Times New Roman" w:hAnsi="Times New Roman"/>
          <w:color w:val="000000" w:themeColor="text1"/>
        </w:rPr>
        <w:t>] through [</w:t>
      </w:r>
      <w:r w:rsidRPr="40527557">
        <w:rPr>
          <w:rFonts w:ascii="Times New Roman" w:eastAsia="Times New Roman" w:hAnsi="Times New Roman"/>
          <w:color w:val="000000" w:themeColor="text1"/>
          <w:highlight w:val="lightGray"/>
        </w:rPr>
        <w:t>insert date</w:t>
      </w:r>
      <w:r w:rsidRPr="40527557">
        <w:rPr>
          <w:rFonts w:ascii="Times New Roman" w:eastAsia="Times New Roman" w:hAnsi="Times New Roman"/>
          <w:color w:val="000000" w:themeColor="text1"/>
        </w:rPr>
        <w:t xml:space="preserve">]. In the event that I discontinue this </w:t>
      </w:r>
      <w:proofErr w:type="gramStart"/>
      <w:r w:rsidRPr="40527557">
        <w:rPr>
          <w:rFonts w:ascii="Times New Roman" w:eastAsia="Times New Roman" w:hAnsi="Times New Roman"/>
          <w:color w:val="000000" w:themeColor="text1"/>
        </w:rPr>
        <w:t>non patient</w:t>
      </w:r>
      <w:proofErr w:type="gramEnd"/>
      <w:r w:rsidRPr="40527557">
        <w:rPr>
          <w:rFonts w:ascii="Times New Roman" w:eastAsia="Times New Roman" w:hAnsi="Times New Roman"/>
          <w:color w:val="000000" w:themeColor="text1"/>
        </w:rPr>
        <w:t>-specific order prior to [</w:t>
      </w:r>
      <w:r w:rsidRPr="40527557">
        <w:rPr>
          <w:rFonts w:ascii="Times New Roman" w:eastAsia="Times New Roman" w:hAnsi="Times New Roman"/>
          <w:color w:val="000000" w:themeColor="text1"/>
          <w:highlight w:val="lightGray"/>
        </w:rPr>
        <w:t>insert end date as listed above</w:t>
      </w:r>
      <w:r w:rsidRPr="40527557">
        <w:rPr>
          <w:rFonts w:ascii="Times New Roman" w:eastAsia="Times New Roman" w:hAnsi="Times New Roman"/>
          <w:color w:val="000000" w:themeColor="text1"/>
        </w:rPr>
        <w:t>], notice of such discontinuance shall be provided to those [</w:t>
      </w:r>
      <w:r w:rsidRPr="0052140F">
        <w:rPr>
          <w:rFonts w:ascii="Times New Roman" w:eastAsia="Times New Roman" w:hAnsi="Times New Roman"/>
          <w:color w:val="000000" w:themeColor="text1"/>
          <w:highlight w:val="lightGray"/>
        </w:rPr>
        <w:t>Insert Organization</w:t>
      </w:r>
      <w:r w:rsidRPr="40527557">
        <w:rPr>
          <w:rFonts w:ascii="Times New Roman" w:eastAsia="Times New Roman" w:hAnsi="Times New Roman"/>
          <w:color w:val="000000" w:themeColor="text1"/>
        </w:rPr>
        <w:t>] employees</w:t>
      </w:r>
      <w:r>
        <w:rPr>
          <w:rFonts w:ascii="Times New Roman" w:eastAsia="Times New Roman" w:hAnsi="Times New Roman"/>
          <w:color w:val="000000" w:themeColor="text1"/>
        </w:rPr>
        <w:t xml:space="preserve"> </w:t>
      </w:r>
      <w:r w:rsidRPr="40527557">
        <w:rPr>
          <w:rFonts w:ascii="Times New Roman" w:eastAsia="Times New Roman" w:hAnsi="Times New Roman"/>
          <w:color w:val="000000" w:themeColor="text1"/>
        </w:rPr>
        <w:t>and contractors permitted to execute under this Order via [</w:t>
      </w:r>
      <w:r w:rsidRPr="40527557">
        <w:rPr>
          <w:rFonts w:ascii="Times New Roman" w:eastAsia="Times New Roman" w:hAnsi="Times New Roman"/>
          <w:color w:val="000000" w:themeColor="text1"/>
          <w:highlight w:val="lightGray"/>
        </w:rPr>
        <w:t>insert how employees and contractors will be notified of a discontinuance</w:t>
      </w:r>
      <w:r w:rsidRPr="40527557">
        <w:rPr>
          <w:rFonts w:ascii="Times New Roman" w:eastAsia="Times New Roman" w:hAnsi="Times New Roman"/>
          <w:color w:val="000000" w:themeColor="text1"/>
        </w:rPr>
        <w:t>].</w:t>
      </w:r>
    </w:p>
    <w:p w14:paraId="7651A672" w14:textId="77777777" w:rsidR="00A2626C" w:rsidRDefault="00A2626C" w:rsidP="00A2626C">
      <w:pPr>
        <w:rPr>
          <w:rFonts w:ascii="Times New Roman" w:hAnsi="Times New Roman"/>
        </w:rPr>
      </w:pPr>
    </w:p>
    <w:p w14:paraId="356B52FC" w14:textId="77777777" w:rsidR="00A2626C" w:rsidRDefault="00A2626C" w:rsidP="00A2626C">
      <w:pPr>
        <w:rPr>
          <w:rFonts w:ascii="Times New Roman" w:eastAsia="Times New Roman" w:hAnsi="Times New Roman"/>
          <w:color w:val="000000" w:themeColor="text1"/>
        </w:rPr>
      </w:pPr>
      <w:r w:rsidRPr="6543A420">
        <w:rPr>
          <w:rFonts w:ascii="Times New Roman" w:eastAsia="Times New Roman" w:hAnsi="Times New Roman"/>
          <w:color w:val="000000" w:themeColor="text1"/>
        </w:rPr>
        <w:t>Signature: ________________________________________</w:t>
      </w:r>
      <w:r>
        <w:tab/>
      </w:r>
      <w:r w:rsidRPr="6543A420">
        <w:rPr>
          <w:rFonts w:ascii="Times New Roman" w:eastAsia="Times New Roman" w:hAnsi="Times New Roman"/>
          <w:color w:val="000000" w:themeColor="text1"/>
        </w:rPr>
        <w:t>Date: ______________</w:t>
      </w:r>
    </w:p>
    <w:p w14:paraId="715B52DA" w14:textId="77777777" w:rsidR="00A2626C" w:rsidRDefault="00A2626C" w:rsidP="00A2626C">
      <w:pPr>
        <w:rPr>
          <w:rFonts w:ascii="Times New Roman" w:eastAsia="Times New Roman" w:hAnsi="Times New Roman"/>
          <w:color w:val="000000" w:themeColor="text1"/>
        </w:rPr>
      </w:pPr>
    </w:p>
    <w:p w14:paraId="57867612" w14:textId="77777777" w:rsidR="00A2626C" w:rsidRDefault="00A2626C" w:rsidP="00A2626C">
      <w:pPr>
        <w:rPr>
          <w:rFonts w:ascii="Times New Roman" w:eastAsia="Times New Roman" w:hAnsi="Times New Roman"/>
          <w:color w:val="000000" w:themeColor="text1"/>
        </w:rPr>
      </w:pPr>
      <w:r w:rsidRPr="40527557">
        <w:rPr>
          <w:rFonts w:ascii="Times New Roman" w:eastAsia="Times New Roman" w:hAnsi="Times New Roman"/>
          <w:color w:val="000000" w:themeColor="text1"/>
        </w:rPr>
        <w:t>Name of Physician or Nurs</w:t>
      </w:r>
      <w:r>
        <w:rPr>
          <w:rFonts w:ascii="Times New Roman" w:eastAsia="Times New Roman" w:hAnsi="Times New Roman"/>
          <w:color w:val="000000" w:themeColor="text1"/>
        </w:rPr>
        <w:t xml:space="preserve">e </w:t>
      </w:r>
      <w:proofErr w:type="gramStart"/>
      <w:r w:rsidRPr="40527557">
        <w:rPr>
          <w:rFonts w:ascii="Times New Roman" w:eastAsia="Times New Roman" w:hAnsi="Times New Roman"/>
          <w:color w:val="000000" w:themeColor="text1"/>
        </w:rPr>
        <w:t>Practitioner:_</w:t>
      </w:r>
      <w:proofErr w:type="gramEnd"/>
      <w:r w:rsidRPr="40527557">
        <w:rPr>
          <w:rFonts w:ascii="Times New Roman" w:eastAsia="Times New Roman" w:hAnsi="Times New Roman"/>
          <w:color w:val="000000" w:themeColor="text1"/>
        </w:rPr>
        <w:t>_______________________________________________</w:t>
      </w:r>
      <w:r>
        <w:rPr>
          <w:rFonts w:ascii="Times New Roman" w:eastAsia="Times New Roman" w:hAnsi="Times New Roman"/>
          <w:color w:val="000000" w:themeColor="text1"/>
        </w:rPr>
        <w:t>_______________</w:t>
      </w:r>
    </w:p>
    <w:p w14:paraId="5C6C7A90" w14:textId="77777777" w:rsidR="00A2626C" w:rsidRDefault="00A2626C" w:rsidP="00A2626C">
      <w:pPr>
        <w:rPr>
          <w:rFonts w:ascii="Times New Roman" w:eastAsia="Times New Roman" w:hAnsi="Times New Roman"/>
          <w:color w:val="000000" w:themeColor="text1"/>
        </w:rPr>
      </w:pPr>
    </w:p>
    <w:p w14:paraId="48A6C0FA" w14:textId="77777777" w:rsidR="00A2626C" w:rsidRDefault="00A2626C" w:rsidP="00A2626C">
      <w:pPr>
        <w:rPr>
          <w:rFonts w:ascii="Times New Roman" w:eastAsia="Times New Roman" w:hAnsi="Times New Roman"/>
          <w:color w:val="000000" w:themeColor="text1"/>
        </w:rPr>
      </w:pPr>
      <w:r w:rsidRPr="6543A420">
        <w:rPr>
          <w:rFonts w:ascii="Times New Roman" w:eastAsia="Times New Roman" w:hAnsi="Times New Roman"/>
          <w:color w:val="000000" w:themeColor="text1"/>
        </w:rPr>
        <w:t>Title: _____________________________________________________________________</w:t>
      </w:r>
    </w:p>
    <w:p w14:paraId="4046086B" w14:textId="77777777" w:rsidR="00A2626C" w:rsidRDefault="00A2626C" w:rsidP="00A2626C">
      <w:pPr>
        <w:rPr>
          <w:rFonts w:ascii="Times New Roman" w:eastAsia="Times New Roman" w:hAnsi="Times New Roman"/>
          <w:color w:val="000000" w:themeColor="text1"/>
        </w:rPr>
      </w:pPr>
    </w:p>
    <w:p w14:paraId="59BDC34A" w14:textId="77777777" w:rsidR="00A2626C" w:rsidRDefault="00A2626C" w:rsidP="00A2626C">
      <w:pPr>
        <w:rPr>
          <w:rFonts w:ascii="Times New Roman" w:eastAsia="Times New Roman" w:hAnsi="Times New Roman"/>
          <w:color w:val="000000" w:themeColor="text1"/>
        </w:rPr>
      </w:pPr>
      <w:r w:rsidRPr="6543A420">
        <w:rPr>
          <w:rFonts w:ascii="Times New Roman" w:eastAsia="Times New Roman" w:hAnsi="Times New Roman"/>
          <w:color w:val="000000" w:themeColor="text1"/>
        </w:rPr>
        <w:t>Institution: _________________________________________________________________</w:t>
      </w:r>
    </w:p>
    <w:p w14:paraId="5FF9E697" w14:textId="77777777" w:rsidR="00A2626C" w:rsidRDefault="00A2626C" w:rsidP="00A2626C">
      <w:pPr>
        <w:rPr>
          <w:rFonts w:ascii="Times New Roman" w:eastAsia="Times New Roman" w:hAnsi="Times New Roman"/>
          <w:color w:val="000000" w:themeColor="text1"/>
        </w:rPr>
      </w:pPr>
    </w:p>
    <w:p w14:paraId="1110209A" w14:textId="77777777" w:rsidR="00A2626C" w:rsidRDefault="00A2626C" w:rsidP="00A2626C">
      <w:pPr>
        <w:rPr>
          <w:rFonts w:ascii="Times New Roman" w:eastAsia="Times New Roman" w:hAnsi="Times New Roman"/>
          <w:color w:val="000000" w:themeColor="text1"/>
        </w:rPr>
      </w:pPr>
      <w:r w:rsidRPr="6543A420">
        <w:rPr>
          <w:rFonts w:ascii="Times New Roman" w:eastAsia="Times New Roman" w:hAnsi="Times New Roman"/>
          <w:color w:val="000000" w:themeColor="text1"/>
        </w:rPr>
        <w:t>NYS License No.: ___________________________________________________________</w:t>
      </w:r>
    </w:p>
    <w:p w14:paraId="32BF5D15" w14:textId="77777777" w:rsidR="00A2626C" w:rsidRDefault="00A2626C" w:rsidP="00A2626C">
      <w:pPr>
        <w:rPr>
          <w:rFonts w:ascii="Times New Roman" w:eastAsia="Times New Roman" w:hAnsi="Times New Roman"/>
          <w:color w:val="000000" w:themeColor="text1"/>
        </w:rPr>
      </w:pPr>
    </w:p>
    <w:p w14:paraId="7262BDC0" w14:textId="77777777" w:rsidR="00A2626C" w:rsidRPr="006A50B7" w:rsidRDefault="00A2626C" w:rsidP="00A2626C">
      <w:pPr>
        <w:rPr>
          <w:rFonts w:ascii="Times New Roman" w:hAnsi="Times New Roman"/>
        </w:rPr>
      </w:pPr>
      <w:r w:rsidRPr="6543A420">
        <w:rPr>
          <w:rFonts w:ascii="Times New Roman" w:eastAsia="Times New Roman" w:hAnsi="Times New Roman"/>
          <w:color w:val="000000" w:themeColor="text1"/>
        </w:rPr>
        <w:t xml:space="preserve">Effective Date of Order: </w:t>
      </w:r>
      <w:r w:rsidRPr="008C2A1C">
        <w:rPr>
          <w:rFonts w:ascii="Times New Roman" w:eastAsia="Times New Roman" w:hAnsi="Times New Roman"/>
          <w:color w:val="000000" w:themeColor="text1"/>
        </w:rPr>
        <w:t>______________________________________________________</w:t>
      </w:r>
    </w:p>
    <w:p w14:paraId="511667C2" w14:textId="77777777" w:rsidR="00A2626C" w:rsidRDefault="00A2626C" w:rsidP="00A2626C">
      <w:pPr>
        <w:rPr>
          <w:rFonts w:ascii="Times New Roman" w:hAnsi="Times New Roman"/>
        </w:rPr>
      </w:pPr>
    </w:p>
    <w:p w14:paraId="639764CD" w14:textId="77777777" w:rsidR="00A2626C" w:rsidRDefault="00A2626C" w:rsidP="00A2626C">
      <w:pPr>
        <w:rPr>
          <w:rFonts w:ascii="Times New Roman" w:eastAsia="Times New Roman" w:hAnsi="Times New Roman"/>
          <w:color w:val="000000" w:themeColor="text1"/>
        </w:rPr>
      </w:pPr>
    </w:p>
    <w:p w14:paraId="4202F8D2" w14:textId="77777777" w:rsidR="00A2626C" w:rsidRDefault="00A2626C" w:rsidP="00A2626C">
      <w:pPr>
        <w:rPr>
          <w:rFonts w:ascii="Times New Roman" w:eastAsia="Times New Roman" w:hAnsi="Times New Roman"/>
          <w:color w:val="000000" w:themeColor="text1"/>
        </w:rPr>
      </w:pPr>
    </w:p>
    <w:p w14:paraId="07105CCB" w14:textId="77777777" w:rsidR="00A2626C" w:rsidRDefault="00A2626C" w:rsidP="00A2626C">
      <w:pPr>
        <w:rPr>
          <w:rFonts w:ascii="Times New Roman" w:eastAsia="Times New Roman" w:hAnsi="Times New Roman"/>
          <w:color w:val="000000" w:themeColor="text1"/>
        </w:rPr>
      </w:pPr>
    </w:p>
    <w:p w14:paraId="19C49CAF" w14:textId="77777777" w:rsidR="00A2626C" w:rsidRDefault="00A2626C" w:rsidP="00A2626C">
      <w:pPr>
        <w:rPr>
          <w:rFonts w:ascii="Times New Roman" w:eastAsia="Times New Roman" w:hAnsi="Times New Roman"/>
          <w:color w:val="000000" w:themeColor="text1"/>
        </w:rPr>
      </w:pPr>
    </w:p>
    <w:p w14:paraId="26BB9D3F" w14:textId="77777777" w:rsidR="00A2626C" w:rsidRDefault="00A2626C" w:rsidP="00A2626C"/>
    <w:p w14:paraId="523E33F7" w14:textId="068C5228" w:rsidR="00A2626C" w:rsidRPr="008359E8" w:rsidRDefault="00A2626C" w:rsidP="00A2626C">
      <w:pPr>
        <w:rPr>
          <w:rFonts w:ascii="Arial" w:hAnsi="Arial" w:cs="Arial"/>
          <w:sz w:val="22"/>
          <w:szCs w:val="22"/>
        </w:rPr>
      </w:pPr>
    </w:p>
    <w:p w14:paraId="2504DFC4" w14:textId="77777777" w:rsidR="00DE02E3" w:rsidRDefault="00DE02E3"/>
    <w:sectPr w:rsidR="00DE02E3" w:rsidSect="00A2626C">
      <w:headerReference w:type="default" r:id="rId18"/>
      <w:footerReference w:type="default" r:id="rId19"/>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4FC0CA" w14:textId="77777777" w:rsidR="003337CC" w:rsidRDefault="003337CC" w:rsidP="00A2626C">
      <w:r>
        <w:separator/>
      </w:r>
    </w:p>
  </w:endnote>
  <w:endnote w:type="continuationSeparator" w:id="0">
    <w:p w14:paraId="1F9D808C" w14:textId="77777777" w:rsidR="003337CC" w:rsidRDefault="003337CC" w:rsidP="00A262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Proxima Nova Rg">
    <w:altName w:val="Tahoma"/>
    <w:panose1 w:val="00000000000000000000"/>
    <w:charset w:val="00"/>
    <w:family w:val="auto"/>
    <w:notTrueType/>
    <w:pitch w:val="variable"/>
    <w:sig w:usb0="A00002EF" w:usb1="5000E0FB" w:usb2="00000000" w:usb3="00000000" w:csb0="0000019F" w:csb1="00000000"/>
  </w:font>
  <w:font w:name="Times New Roman (Body C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DDB87A" w14:textId="77777777" w:rsidR="00A2626C" w:rsidRDefault="00A262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40F45B" w14:textId="77777777" w:rsidR="00A606FB" w:rsidRDefault="00A606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8692F7" w14:textId="77777777" w:rsidR="003337CC" w:rsidRDefault="003337CC" w:rsidP="00A2626C">
      <w:r>
        <w:separator/>
      </w:r>
    </w:p>
  </w:footnote>
  <w:footnote w:type="continuationSeparator" w:id="0">
    <w:p w14:paraId="7977FE19" w14:textId="77777777" w:rsidR="003337CC" w:rsidRDefault="003337CC" w:rsidP="00A2626C">
      <w:r>
        <w:continuationSeparator/>
      </w:r>
    </w:p>
  </w:footnote>
  <w:footnote w:id="1">
    <w:p w14:paraId="375C7714" w14:textId="77777777" w:rsidR="00A2626C" w:rsidRDefault="00A2626C" w:rsidP="00A2626C">
      <w:pPr>
        <w:pStyle w:val="FootnoteText"/>
      </w:pPr>
      <w:r>
        <w:rPr>
          <w:rStyle w:val="FootnoteReference"/>
        </w:rPr>
        <w:footnoteRef/>
      </w:r>
      <w:r>
        <w:t xml:space="preserve"> </w:t>
      </w:r>
      <w:r w:rsidRPr="00212FA0">
        <w:rPr>
          <w:rFonts w:ascii="Times New Roman" w:hAnsi="Times New Roman"/>
        </w:rPr>
        <w:t xml:space="preserve">JYNNEOS is also licensed to prevent smallpox and recommended for certain people at risk for exposure to </w:t>
      </w:r>
      <w:proofErr w:type="spellStart"/>
      <w:r w:rsidRPr="00212FA0">
        <w:rPr>
          <w:rFonts w:ascii="Times New Roman" w:hAnsi="Times New Roman"/>
        </w:rPr>
        <w:t>orthopoxvirus</w:t>
      </w:r>
      <w:proofErr w:type="spellEnd"/>
      <w:r w:rsidRPr="00212FA0">
        <w:rPr>
          <w:rFonts w:ascii="Times New Roman" w:hAnsi="Times New Roman"/>
        </w:rPr>
        <w:t xml:space="preserve"> infections.</w:t>
      </w:r>
      <w:r>
        <w:t xml:space="preserve"> </w:t>
      </w:r>
    </w:p>
  </w:footnote>
  <w:footnote w:id="2">
    <w:p w14:paraId="715106C4" w14:textId="77777777" w:rsidR="00A2626C" w:rsidRPr="00BC030B" w:rsidRDefault="00A2626C" w:rsidP="00A2626C">
      <w:pPr>
        <w:pStyle w:val="FootnoteText"/>
        <w:rPr>
          <w:rFonts w:ascii="Times New Roman" w:hAnsi="Times New Roman"/>
          <w:color w:val="000000"/>
        </w:rPr>
      </w:pPr>
      <w:r>
        <w:rPr>
          <w:rStyle w:val="FootnoteReference"/>
          <w:rFonts w:ascii="Times New Roman" w:hAnsi="Times New Roman"/>
        </w:rPr>
        <w:footnoteRef/>
      </w:r>
      <w:r>
        <w:rPr>
          <w:rFonts w:ascii="Times New Roman" w:hAnsi="Times New Roman"/>
        </w:rPr>
        <w:t xml:space="preserve"> </w:t>
      </w:r>
      <w:r>
        <w:rPr>
          <w:rStyle w:val="fs0875"/>
          <w:rFonts w:ascii="Times New Roman" w:hAnsi="Times New Roman"/>
          <w:color w:val="000000"/>
        </w:rPr>
        <w:t>Public health authorities determine whether there is an mpox outbreak; a single case may be considered an mpox outbreak at the discretion of public health authorities. Other circumstances in which a public health response may be indicated include ongoing risk of introduction of mpox into a community due to disease activity in another geographic area. The mpox outbreak that started in 2022 is still ongoing.</w:t>
      </w:r>
    </w:p>
  </w:footnote>
  <w:footnote w:id="3">
    <w:p w14:paraId="4C7D7880" w14:textId="77777777" w:rsidR="00A2626C" w:rsidRDefault="00A2626C" w:rsidP="00A2626C">
      <w:pPr>
        <w:pStyle w:val="FootnoteText"/>
      </w:pPr>
      <w:r>
        <w:rPr>
          <w:rStyle w:val="FootnoteReference"/>
          <w:rFonts w:ascii="Times New Roman" w:hAnsi="Times New Roman"/>
        </w:rPr>
        <w:footnoteRef/>
      </w:r>
      <w:r>
        <w:rPr>
          <w:rFonts w:ascii="Times New Roman" w:hAnsi="Times New Roman"/>
        </w:rPr>
        <w:t xml:space="preserve"> </w:t>
      </w:r>
      <w:r>
        <w:rPr>
          <w:rStyle w:val="fs0875"/>
          <w:rFonts w:ascii="Times New Roman" w:hAnsi="Times New Roman"/>
          <w:color w:val="000000"/>
        </w:rPr>
        <w:t>This recommendation is on the CDC’s </w:t>
      </w:r>
      <w:hyperlink r:id="rId1" w:history="1">
        <w:r>
          <w:rPr>
            <w:rStyle w:val="Hyperlink"/>
            <w:rFonts w:ascii="Times New Roman" w:hAnsi="Times New Roman"/>
            <w:color w:val="075290"/>
          </w:rPr>
          <w:t>Adult Immunization Schedule</w:t>
        </w:r>
      </w:hyperlink>
      <w:r>
        <w:rPr>
          <w:rStyle w:val="fs0875"/>
          <w:rFonts w:ascii="Times New Roman" w:hAnsi="Times New Roman"/>
          <w:color w:val="000000"/>
        </w:rPr>
        <w:t> (for people 19 years of age and older) and </w:t>
      </w:r>
      <w:hyperlink r:id="rId2" w:history="1">
        <w:r>
          <w:rPr>
            <w:rStyle w:val="Hyperlink"/>
            <w:rFonts w:ascii="Times New Roman" w:hAnsi="Times New Roman"/>
            <w:color w:val="075290"/>
          </w:rPr>
          <w:t>Child &amp; Adolescent Immunization Schedule</w:t>
        </w:r>
      </w:hyperlink>
      <w:r>
        <w:rPr>
          <w:rStyle w:val="fs0875"/>
          <w:rFonts w:ascii="Times New Roman" w:hAnsi="Times New Roman"/>
          <w:color w:val="000000"/>
        </w:rPr>
        <w:t> (for people 18 years of age</w:t>
      </w:r>
      <w:r>
        <w:rPr>
          <w:rStyle w:val="fs0875"/>
          <w:rFonts w:ascii="Times New Roman" w:hAnsi="Times New Roman"/>
          <w:color w:val="000000"/>
          <w:sz w:val="27"/>
          <w:szCs w:val="27"/>
        </w:rPr>
        <w:t>).</w:t>
      </w:r>
    </w:p>
  </w:footnote>
  <w:footnote w:id="4">
    <w:p w14:paraId="0484A48A" w14:textId="77777777" w:rsidR="00A2626C" w:rsidRPr="006E5068" w:rsidRDefault="00A2626C" w:rsidP="00A2626C">
      <w:pPr>
        <w:pStyle w:val="FootnoteText"/>
        <w:rPr>
          <w:rFonts w:ascii="Times New Roman" w:hAnsi="Times New Roman"/>
        </w:rPr>
      </w:pPr>
      <w:r w:rsidRPr="006E5068">
        <w:rPr>
          <w:rStyle w:val="FootnoteReference"/>
          <w:rFonts w:ascii="Times New Roman" w:hAnsi="Times New Roman"/>
        </w:rPr>
        <w:footnoteRef/>
      </w:r>
      <w:r w:rsidRPr="006E5068">
        <w:rPr>
          <w:rFonts w:ascii="Times New Roman" w:hAnsi="Times New Roman"/>
        </w:rPr>
        <w:t xml:space="preserve"> </w:t>
      </w:r>
      <w:r w:rsidRPr="006E5068">
        <w:rPr>
          <w:rFonts w:ascii="Times New Roman" w:hAnsi="Times New Roman"/>
          <w:b/>
          <w:bCs/>
        </w:rPr>
        <w:t>As of August 6, 2025,</w:t>
      </w:r>
      <w:r w:rsidRPr="006E5068">
        <w:rPr>
          <w:rFonts w:ascii="Times New Roman" w:hAnsi="Times New Roman"/>
        </w:rPr>
        <w:t xml:space="preserve"> countries with sustained clade I mpox transmission include Burundi, Central African Republic, Democratic Republic of the Congo, Ethiopia, Kenya, Malawi, Mozambique, Republic of </w:t>
      </w:r>
      <w:proofErr w:type="gramStart"/>
      <w:r w:rsidRPr="006E5068">
        <w:rPr>
          <w:rFonts w:ascii="Times New Roman" w:hAnsi="Times New Roman"/>
        </w:rPr>
        <w:t>the Congo</w:t>
      </w:r>
      <w:proofErr w:type="gramEnd"/>
      <w:r w:rsidRPr="006E5068">
        <w:rPr>
          <w:rFonts w:ascii="Times New Roman" w:hAnsi="Times New Roman"/>
        </w:rPr>
        <w:t>, Rwanda, South Sudan, Tanzania, Uganda, and Zambia. Countries with new clade II outbreaks include </w:t>
      </w:r>
      <w:hyperlink r:id="rId3" w:history="1">
        <w:r w:rsidRPr="006E5068">
          <w:rPr>
            <w:rStyle w:val="Hyperlink"/>
            <w:rFonts w:ascii="Times New Roman" w:hAnsi="Times New Roman"/>
          </w:rPr>
          <w:t>Liberia and Sierra Leone</w:t>
        </w:r>
      </w:hyperlink>
      <w:r w:rsidRPr="006E5068">
        <w:rPr>
          <w:rFonts w:ascii="Times New Roman" w:hAnsi="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AB5633" w14:textId="77777777" w:rsidR="00A2626C" w:rsidRDefault="00A2626C" w:rsidP="00031D08">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65E1FF" w14:textId="77777777" w:rsidR="00A606FB" w:rsidRDefault="00A606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8B3176"/>
    <w:multiLevelType w:val="hybridMultilevel"/>
    <w:tmpl w:val="68C4B1A0"/>
    <w:lvl w:ilvl="0" w:tplc="04090019">
      <w:start w:val="1"/>
      <w:numFmt w:val="lowerLetter"/>
      <w:lvlText w:val="%1."/>
      <w:lvlJc w:val="left"/>
      <w:pPr>
        <w:ind w:left="1080" w:hanging="360"/>
      </w:pPr>
      <w:rPr>
        <w:b w:val="0"/>
        <w:bCs w:val="0"/>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1" w15:restartNumberingAfterBreak="0">
    <w:nsid w:val="204124A7"/>
    <w:multiLevelType w:val="hybridMultilevel"/>
    <w:tmpl w:val="C0027E72"/>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2A3F7FB1"/>
    <w:multiLevelType w:val="hybridMultilevel"/>
    <w:tmpl w:val="57EC715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F8D5FAF"/>
    <w:multiLevelType w:val="hybridMultilevel"/>
    <w:tmpl w:val="3EAE1244"/>
    <w:lvl w:ilvl="0" w:tplc="058051CA">
      <w:start w:val="1"/>
      <w:numFmt w:val="decimal"/>
      <w:lvlText w:val="%1."/>
      <w:lvlJc w:val="left"/>
      <w:pPr>
        <w:ind w:left="720" w:hanging="360"/>
      </w:pPr>
      <w:rPr>
        <w:rFonts w:eastAsia="Times New Roman"/>
        <w:b w:val="0"/>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3BBA030D"/>
    <w:multiLevelType w:val="hybridMultilevel"/>
    <w:tmpl w:val="6212D59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C25171F"/>
    <w:multiLevelType w:val="hybridMultilevel"/>
    <w:tmpl w:val="8DB01B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F2C29F1"/>
    <w:multiLevelType w:val="hybridMultilevel"/>
    <w:tmpl w:val="B4A22118"/>
    <w:lvl w:ilvl="0" w:tplc="04090019">
      <w:start w:val="1"/>
      <w:numFmt w:val="lowerLetter"/>
      <w:lvlText w:val="%1."/>
      <w:lvlJc w:val="left"/>
      <w:pPr>
        <w:ind w:left="1080" w:hanging="360"/>
      </w:pPr>
      <w:rPr>
        <w:b w:val="0"/>
        <w:bCs w:val="0"/>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7" w15:restartNumberingAfterBreak="0">
    <w:nsid w:val="3F961A74"/>
    <w:multiLevelType w:val="hybridMultilevel"/>
    <w:tmpl w:val="2B4C4D36"/>
    <w:lvl w:ilvl="0" w:tplc="924879A8">
      <w:start w:val="1"/>
      <w:numFmt w:val="lowerLetter"/>
      <w:lvlText w:val="%1."/>
      <w:lvlJc w:val="left"/>
      <w:pPr>
        <w:ind w:left="1080" w:hanging="360"/>
      </w:pPr>
      <w:rPr>
        <w:rFonts w:ascii="Times New Roman" w:eastAsia="Times New Roman" w:hAnsi="Times New Roman" w:cs="Times New Roman"/>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FC9365A"/>
    <w:multiLevelType w:val="hybridMultilevel"/>
    <w:tmpl w:val="B6124382"/>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43E27465"/>
    <w:multiLevelType w:val="hybridMultilevel"/>
    <w:tmpl w:val="77380290"/>
    <w:lvl w:ilvl="0" w:tplc="98E6515E">
      <w:start w:val="1"/>
      <w:numFmt w:val="low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57F6A39"/>
    <w:multiLevelType w:val="hybridMultilevel"/>
    <w:tmpl w:val="B8F42294"/>
    <w:lvl w:ilvl="0" w:tplc="CB4829E6">
      <w:start w:val="1"/>
      <w:numFmt w:val="lowerLetter"/>
      <w:lvlText w:val="%1."/>
      <w:lvlJc w:val="left"/>
      <w:pPr>
        <w:ind w:left="1080" w:hanging="360"/>
      </w:pPr>
      <w:rPr>
        <w:b w:val="0"/>
        <w:bCs w:val="0"/>
      </w:rPr>
    </w:lvl>
    <w:lvl w:ilvl="1" w:tplc="0409001B">
      <w:start w:val="1"/>
      <w:numFmt w:val="lowerRoman"/>
      <w:lvlText w:val="%2."/>
      <w:lvlJc w:val="right"/>
      <w:pPr>
        <w:ind w:left="216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1EA31BD"/>
    <w:multiLevelType w:val="multilevel"/>
    <w:tmpl w:val="AB4E43C0"/>
    <w:lvl w:ilvl="0">
      <w:start w:val="1"/>
      <w:numFmt w:val="bullet"/>
      <w:lvlText w:val="o"/>
      <w:lvlJc w:val="left"/>
      <w:pPr>
        <w:tabs>
          <w:tab w:val="num" w:pos="1800"/>
        </w:tabs>
        <w:ind w:left="1800" w:hanging="360"/>
      </w:pPr>
      <w:rPr>
        <w:rFonts w:ascii="Courier New" w:hAnsi="Courier New" w:hint="default"/>
        <w:sz w:val="20"/>
      </w:rPr>
    </w:lvl>
    <w:lvl w:ilvl="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o"/>
      <w:lvlJc w:val="left"/>
      <w:pPr>
        <w:tabs>
          <w:tab w:val="num" w:pos="3240"/>
        </w:tabs>
        <w:ind w:left="3240" w:hanging="360"/>
      </w:pPr>
      <w:rPr>
        <w:rFonts w:ascii="Courier New" w:hAnsi="Courier New" w:hint="default"/>
        <w:sz w:val="20"/>
      </w:rPr>
    </w:lvl>
    <w:lvl w:ilvl="3" w:tentative="1">
      <w:start w:val="1"/>
      <w:numFmt w:val="bullet"/>
      <w:lvlText w:val="o"/>
      <w:lvlJc w:val="left"/>
      <w:pPr>
        <w:tabs>
          <w:tab w:val="num" w:pos="3960"/>
        </w:tabs>
        <w:ind w:left="3960" w:hanging="360"/>
      </w:pPr>
      <w:rPr>
        <w:rFonts w:ascii="Courier New" w:hAnsi="Courier New" w:hint="default"/>
        <w:sz w:val="20"/>
      </w:rPr>
    </w:lvl>
    <w:lvl w:ilvl="4" w:tentative="1">
      <w:start w:val="1"/>
      <w:numFmt w:val="bullet"/>
      <w:lvlText w:val="o"/>
      <w:lvlJc w:val="left"/>
      <w:pPr>
        <w:tabs>
          <w:tab w:val="num" w:pos="4680"/>
        </w:tabs>
        <w:ind w:left="4680" w:hanging="360"/>
      </w:pPr>
      <w:rPr>
        <w:rFonts w:ascii="Courier New" w:hAnsi="Courier New" w:hint="default"/>
        <w:sz w:val="20"/>
      </w:rPr>
    </w:lvl>
    <w:lvl w:ilvl="5" w:tentative="1">
      <w:start w:val="1"/>
      <w:numFmt w:val="bullet"/>
      <w:lvlText w:val="o"/>
      <w:lvlJc w:val="left"/>
      <w:pPr>
        <w:tabs>
          <w:tab w:val="num" w:pos="5400"/>
        </w:tabs>
        <w:ind w:left="5400" w:hanging="360"/>
      </w:pPr>
      <w:rPr>
        <w:rFonts w:ascii="Courier New" w:hAnsi="Courier New" w:hint="default"/>
        <w:sz w:val="20"/>
      </w:rPr>
    </w:lvl>
    <w:lvl w:ilvl="6" w:tentative="1">
      <w:start w:val="1"/>
      <w:numFmt w:val="bullet"/>
      <w:lvlText w:val="o"/>
      <w:lvlJc w:val="left"/>
      <w:pPr>
        <w:tabs>
          <w:tab w:val="num" w:pos="6120"/>
        </w:tabs>
        <w:ind w:left="6120" w:hanging="360"/>
      </w:pPr>
      <w:rPr>
        <w:rFonts w:ascii="Courier New" w:hAnsi="Courier New" w:hint="default"/>
        <w:sz w:val="20"/>
      </w:rPr>
    </w:lvl>
    <w:lvl w:ilvl="7" w:tentative="1">
      <w:start w:val="1"/>
      <w:numFmt w:val="bullet"/>
      <w:lvlText w:val="o"/>
      <w:lvlJc w:val="left"/>
      <w:pPr>
        <w:tabs>
          <w:tab w:val="num" w:pos="6840"/>
        </w:tabs>
        <w:ind w:left="6840" w:hanging="360"/>
      </w:pPr>
      <w:rPr>
        <w:rFonts w:ascii="Courier New" w:hAnsi="Courier New" w:hint="default"/>
        <w:sz w:val="20"/>
      </w:rPr>
    </w:lvl>
    <w:lvl w:ilvl="8" w:tentative="1">
      <w:start w:val="1"/>
      <w:numFmt w:val="bullet"/>
      <w:lvlText w:val="o"/>
      <w:lvlJc w:val="left"/>
      <w:pPr>
        <w:tabs>
          <w:tab w:val="num" w:pos="7560"/>
        </w:tabs>
        <w:ind w:left="7560" w:hanging="360"/>
      </w:pPr>
      <w:rPr>
        <w:rFonts w:ascii="Courier New" w:hAnsi="Courier New" w:hint="default"/>
        <w:sz w:val="20"/>
      </w:rPr>
    </w:lvl>
  </w:abstractNum>
  <w:abstractNum w:abstractNumId="12" w15:restartNumberingAfterBreak="0">
    <w:nsid w:val="62581FF4"/>
    <w:multiLevelType w:val="multilevel"/>
    <w:tmpl w:val="049E75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8B364DE"/>
    <w:multiLevelType w:val="hybridMultilevel"/>
    <w:tmpl w:val="F8A0B80A"/>
    <w:lvl w:ilvl="0" w:tplc="FFFFFFFF">
      <w:start w:val="1"/>
      <w:numFmt w:val="decimal"/>
      <w:lvlText w:val="%1."/>
      <w:lvlJc w:val="left"/>
      <w:pPr>
        <w:ind w:left="720" w:hanging="360"/>
      </w:pPr>
      <w:rPr>
        <w:rFonts w:eastAsia="Times New Roman"/>
        <w:b w:val="0"/>
        <w:bCs/>
      </w:rPr>
    </w:lvl>
    <w:lvl w:ilvl="1" w:tplc="04090019">
      <w:start w:val="1"/>
      <w:numFmt w:val="lowerLetter"/>
      <w:lvlText w:val="%2."/>
      <w:lvlJc w:val="left"/>
      <w:pPr>
        <w:ind w:left="108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4" w15:restartNumberingAfterBreak="0">
    <w:nsid w:val="7E223301"/>
    <w:multiLevelType w:val="hybridMultilevel"/>
    <w:tmpl w:val="C39E02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922833000">
    <w:abstractNumId w:val="12"/>
  </w:num>
  <w:num w:numId="2" w16cid:durableId="20774312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46466789">
    <w:abstractNumId w:val="10"/>
  </w:num>
  <w:num w:numId="4" w16cid:durableId="1066730823">
    <w:abstractNumId w:val="0"/>
  </w:num>
  <w:num w:numId="5" w16cid:durableId="1281451303">
    <w:abstractNumId w:val="6"/>
  </w:num>
  <w:num w:numId="6" w16cid:durableId="1801419995">
    <w:abstractNumId w:val="7"/>
  </w:num>
  <w:num w:numId="7" w16cid:durableId="1452742228">
    <w:abstractNumId w:val="5"/>
  </w:num>
  <w:num w:numId="8" w16cid:durableId="824470551">
    <w:abstractNumId w:val="14"/>
  </w:num>
  <w:num w:numId="9" w16cid:durableId="1576159966">
    <w:abstractNumId w:val="13"/>
  </w:num>
  <w:num w:numId="10" w16cid:durableId="1596136937">
    <w:abstractNumId w:val="4"/>
  </w:num>
  <w:num w:numId="11" w16cid:durableId="9532552">
    <w:abstractNumId w:val="9"/>
  </w:num>
  <w:num w:numId="12" w16cid:durableId="414594022">
    <w:abstractNumId w:val="8"/>
  </w:num>
  <w:num w:numId="13" w16cid:durableId="777942681">
    <w:abstractNumId w:val="1"/>
  </w:num>
  <w:num w:numId="14" w16cid:durableId="1271821177">
    <w:abstractNumId w:val="11"/>
  </w:num>
  <w:num w:numId="15" w16cid:durableId="15037367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26C"/>
    <w:rsid w:val="0007752D"/>
    <w:rsid w:val="000C77FC"/>
    <w:rsid w:val="00196D40"/>
    <w:rsid w:val="00311F7B"/>
    <w:rsid w:val="003337CC"/>
    <w:rsid w:val="00412F9C"/>
    <w:rsid w:val="004640C5"/>
    <w:rsid w:val="0049175F"/>
    <w:rsid w:val="00577C82"/>
    <w:rsid w:val="00607C97"/>
    <w:rsid w:val="007D3A2E"/>
    <w:rsid w:val="00A2626C"/>
    <w:rsid w:val="00A606FB"/>
    <w:rsid w:val="00AB4173"/>
    <w:rsid w:val="00CA6E9E"/>
    <w:rsid w:val="00DE02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C6B5B"/>
  <w15:chartTrackingRefBased/>
  <w15:docId w15:val="{7568A2EE-0EC7-49EE-BDD3-6113DA925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626C"/>
    <w:pPr>
      <w:spacing w:after="0" w:line="240" w:lineRule="auto"/>
    </w:pPr>
  </w:style>
  <w:style w:type="paragraph" w:styleId="Heading1">
    <w:name w:val="heading 1"/>
    <w:basedOn w:val="Normal"/>
    <w:next w:val="Normal"/>
    <w:link w:val="Heading1Char"/>
    <w:uiPriority w:val="9"/>
    <w:qFormat/>
    <w:rsid w:val="00A2626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2626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2626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2626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2626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2626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2626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2626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2626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626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2626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2626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2626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2626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2626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2626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2626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2626C"/>
    <w:rPr>
      <w:rFonts w:eastAsiaTheme="majorEastAsia" w:cstheme="majorBidi"/>
      <w:color w:val="272727" w:themeColor="text1" w:themeTint="D8"/>
    </w:rPr>
  </w:style>
  <w:style w:type="paragraph" w:styleId="Title">
    <w:name w:val="Title"/>
    <w:basedOn w:val="Normal"/>
    <w:next w:val="Normal"/>
    <w:link w:val="TitleChar"/>
    <w:uiPriority w:val="10"/>
    <w:qFormat/>
    <w:rsid w:val="00A2626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262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2626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262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2626C"/>
    <w:pPr>
      <w:spacing w:before="160"/>
      <w:jc w:val="center"/>
    </w:pPr>
    <w:rPr>
      <w:i/>
      <w:iCs/>
      <w:color w:val="404040" w:themeColor="text1" w:themeTint="BF"/>
    </w:rPr>
  </w:style>
  <w:style w:type="character" w:customStyle="1" w:styleId="QuoteChar">
    <w:name w:val="Quote Char"/>
    <w:basedOn w:val="DefaultParagraphFont"/>
    <w:link w:val="Quote"/>
    <w:uiPriority w:val="29"/>
    <w:rsid w:val="00A2626C"/>
    <w:rPr>
      <w:i/>
      <w:iCs/>
      <w:color w:val="404040" w:themeColor="text1" w:themeTint="BF"/>
    </w:rPr>
  </w:style>
  <w:style w:type="paragraph" w:styleId="ListParagraph">
    <w:name w:val="List Paragraph"/>
    <w:basedOn w:val="Normal"/>
    <w:uiPriority w:val="34"/>
    <w:qFormat/>
    <w:rsid w:val="00A2626C"/>
    <w:pPr>
      <w:ind w:left="720"/>
      <w:contextualSpacing/>
    </w:pPr>
  </w:style>
  <w:style w:type="character" w:styleId="IntenseEmphasis">
    <w:name w:val="Intense Emphasis"/>
    <w:basedOn w:val="DefaultParagraphFont"/>
    <w:uiPriority w:val="21"/>
    <w:qFormat/>
    <w:rsid w:val="00A2626C"/>
    <w:rPr>
      <w:i/>
      <w:iCs/>
      <w:color w:val="0F4761" w:themeColor="accent1" w:themeShade="BF"/>
    </w:rPr>
  </w:style>
  <w:style w:type="paragraph" w:styleId="IntenseQuote">
    <w:name w:val="Intense Quote"/>
    <w:basedOn w:val="Normal"/>
    <w:next w:val="Normal"/>
    <w:link w:val="IntenseQuoteChar"/>
    <w:uiPriority w:val="30"/>
    <w:qFormat/>
    <w:rsid w:val="00A2626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2626C"/>
    <w:rPr>
      <w:i/>
      <w:iCs/>
      <w:color w:val="0F4761" w:themeColor="accent1" w:themeShade="BF"/>
    </w:rPr>
  </w:style>
  <w:style w:type="character" w:styleId="IntenseReference">
    <w:name w:val="Intense Reference"/>
    <w:basedOn w:val="DefaultParagraphFont"/>
    <w:uiPriority w:val="32"/>
    <w:qFormat/>
    <w:rsid w:val="00A2626C"/>
    <w:rPr>
      <w:b/>
      <w:bCs/>
      <w:smallCaps/>
      <w:color w:val="0F4761" w:themeColor="accent1" w:themeShade="BF"/>
      <w:spacing w:val="5"/>
    </w:rPr>
  </w:style>
  <w:style w:type="paragraph" w:styleId="Header">
    <w:name w:val="header"/>
    <w:basedOn w:val="Normal"/>
    <w:link w:val="HeaderChar"/>
    <w:uiPriority w:val="99"/>
    <w:unhideWhenUsed/>
    <w:rsid w:val="00A2626C"/>
    <w:pPr>
      <w:tabs>
        <w:tab w:val="center" w:pos="4680"/>
        <w:tab w:val="right" w:pos="9360"/>
      </w:tabs>
    </w:pPr>
  </w:style>
  <w:style w:type="character" w:customStyle="1" w:styleId="HeaderChar">
    <w:name w:val="Header Char"/>
    <w:basedOn w:val="DefaultParagraphFont"/>
    <w:link w:val="Header"/>
    <w:uiPriority w:val="99"/>
    <w:rsid w:val="00A2626C"/>
  </w:style>
  <w:style w:type="paragraph" w:styleId="Footer">
    <w:name w:val="footer"/>
    <w:basedOn w:val="Normal"/>
    <w:link w:val="FooterChar"/>
    <w:uiPriority w:val="99"/>
    <w:unhideWhenUsed/>
    <w:rsid w:val="00A2626C"/>
    <w:pPr>
      <w:tabs>
        <w:tab w:val="center" w:pos="4680"/>
        <w:tab w:val="right" w:pos="9360"/>
      </w:tabs>
    </w:pPr>
  </w:style>
  <w:style w:type="character" w:customStyle="1" w:styleId="FooterChar">
    <w:name w:val="Footer Char"/>
    <w:basedOn w:val="DefaultParagraphFont"/>
    <w:link w:val="Footer"/>
    <w:uiPriority w:val="99"/>
    <w:rsid w:val="00A2626C"/>
  </w:style>
  <w:style w:type="paragraph" w:styleId="NoSpacing">
    <w:name w:val="No Spacing"/>
    <w:uiPriority w:val="1"/>
    <w:qFormat/>
    <w:rsid w:val="00A2626C"/>
    <w:pPr>
      <w:spacing w:after="0" w:line="240" w:lineRule="auto"/>
    </w:pPr>
  </w:style>
  <w:style w:type="character" w:styleId="Hyperlink">
    <w:name w:val="Hyperlink"/>
    <w:basedOn w:val="DefaultParagraphFont"/>
    <w:uiPriority w:val="99"/>
    <w:unhideWhenUsed/>
    <w:rsid w:val="00A2626C"/>
    <w:rPr>
      <w:color w:val="467886" w:themeColor="hyperlink"/>
      <w:u w:val="single"/>
    </w:rPr>
  </w:style>
  <w:style w:type="paragraph" w:styleId="FootnoteText">
    <w:name w:val="footnote text"/>
    <w:basedOn w:val="Normal"/>
    <w:link w:val="FootnoteTextChar"/>
    <w:uiPriority w:val="99"/>
    <w:semiHidden/>
    <w:unhideWhenUsed/>
    <w:rsid w:val="00A2626C"/>
    <w:rPr>
      <w:rFonts w:cs="Times New Roman"/>
      <w:kern w:val="0"/>
      <w:sz w:val="20"/>
      <w:szCs w:val="20"/>
      <w14:ligatures w14:val="none"/>
    </w:rPr>
  </w:style>
  <w:style w:type="character" w:customStyle="1" w:styleId="FootnoteTextChar">
    <w:name w:val="Footnote Text Char"/>
    <w:basedOn w:val="DefaultParagraphFont"/>
    <w:link w:val="FootnoteText"/>
    <w:uiPriority w:val="99"/>
    <w:semiHidden/>
    <w:rsid w:val="00A2626C"/>
    <w:rPr>
      <w:rFonts w:cs="Times New Roman"/>
      <w:kern w:val="0"/>
      <w:sz w:val="20"/>
      <w:szCs w:val="20"/>
      <w14:ligatures w14:val="none"/>
    </w:rPr>
  </w:style>
  <w:style w:type="character" w:styleId="FootnoteReference">
    <w:name w:val="footnote reference"/>
    <w:basedOn w:val="DefaultParagraphFont"/>
    <w:uiPriority w:val="99"/>
    <w:semiHidden/>
    <w:unhideWhenUsed/>
    <w:rsid w:val="00A2626C"/>
    <w:rPr>
      <w:vertAlign w:val="superscript"/>
    </w:rPr>
  </w:style>
  <w:style w:type="paragraph" w:customStyle="1" w:styleId="paragraph">
    <w:name w:val="paragraph"/>
    <w:basedOn w:val="Normal"/>
    <w:rsid w:val="00A2626C"/>
    <w:pPr>
      <w:spacing w:before="100" w:beforeAutospacing="1" w:after="100" w:afterAutospacing="1"/>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A2626C"/>
  </w:style>
  <w:style w:type="character" w:customStyle="1" w:styleId="eop">
    <w:name w:val="eop"/>
    <w:basedOn w:val="DefaultParagraphFont"/>
    <w:rsid w:val="00A2626C"/>
  </w:style>
  <w:style w:type="character" w:customStyle="1" w:styleId="fs0875">
    <w:name w:val="fs0875"/>
    <w:basedOn w:val="DefaultParagraphFont"/>
    <w:rsid w:val="00A262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immunize.org/catg.d/p3082a.pdf"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hyperlink" Target="https://www.immunize.org/catg.d/p3082.pdf" TargetMode="External"/><Relationship Id="rId17" Type="http://schemas.openxmlformats.org/officeDocument/2006/relationships/hyperlink" Target="https://www.fda.gov/media/186359/download?attachment" TargetMode="External"/><Relationship Id="rId2" Type="http://schemas.openxmlformats.org/officeDocument/2006/relationships/styles" Target="styles.xml"/><Relationship Id="rId16" Type="http://schemas.openxmlformats.org/officeDocument/2006/relationships/hyperlink" Target="https://www.fda.gov/media/131078/download?attachment"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dc.gov/vaccines/hcp/imz-best-practices/preventing-managing-adverse-reactions.html" TargetMode="External"/><Relationship Id="rId5" Type="http://schemas.openxmlformats.org/officeDocument/2006/relationships/footnotes" Target="footnotes.xml"/><Relationship Id="rId15" Type="http://schemas.openxmlformats.org/officeDocument/2006/relationships/hyperlink" Target="https://vaers.hhs.gov/reportevent.html" TargetMode="External"/><Relationship Id="rId10" Type="http://schemas.openxmlformats.org/officeDocument/2006/relationships/hyperlink" Target="https://www.immunize.org/vis/pdf/spanish_smallpox_monkeypox.pdf"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cdc.gov/mpox/vaccines/index.html" TargetMode="External"/><Relationship Id="rId14" Type="http://schemas.openxmlformats.org/officeDocument/2006/relationships/hyperlink" Target="https://vaers.hhs.gov/"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nc.cdc.gov/travel/notices/level2/mpox-sierra-leone-liberia" TargetMode="External"/><Relationship Id="rId2" Type="http://schemas.openxmlformats.org/officeDocument/2006/relationships/hyperlink" Target="https://www.cdc.gov/vaccines/hcp/imz-schedules/child-adolescent-age.html" TargetMode="External"/><Relationship Id="rId1" Type="http://schemas.openxmlformats.org/officeDocument/2006/relationships/hyperlink" Target="https://www.cdc.gov/vaccines/hcp/imz-schedules/adult-ag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f46cb8ea-7900-4d10-8ceb-80e8c1c81ee7}" enabled="0" method="" siteId="{f46cb8ea-7900-4d10-8ceb-80e8c1c81ee7}" removed="1"/>
</clbl:labelList>
</file>

<file path=docProps/app.xml><?xml version="1.0" encoding="utf-8"?>
<Properties xmlns="http://schemas.openxmlformats.org/officeDocument/2006/extended-properties" xmlns:vt="http://schemas.openxmlformats.org/officeDocument/2006/docPropsVTypes">
  <Template>Normal</Template>
  <TotalTime>17</TotalTime>
  <Pages>6</Pages>
  <Words>2215</Words>
  <Characters>12626</Characters>
  <Application>Microsoft Office Word</Application>
  <DocSecurity>0</DocSecurity>
  <Lines>105</Lines>
  <Paragraphs>29</Paragraphs>
  <ScaleCrop>false</ScaleCrop>
  <Company/>
  <LinksUpToDate>false</LinksUpToDate>
  <CharactersWithSpaces>14812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Ervin, Victoria (HEALTH)</dc:creator>
  <cp:keywords/>
  <dc:description/>
  <cp:lastModifiedBy>Ervin, Victoria (HEALTH)</cp:lastModifiedBy>
  <cp:revision>9</cp:revision>
  <dcterms:created xsi:type="dcterms:W3CDTF">2025-09-05T04:16:00Z</dcterms:created>
  <dcterms:modified xsi:type="dcterms:W3CDTF">2025-09-05T13:13:00Z</dcterms:modified>
</cp:coreProperties>
</file>